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7F6D84B2"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7516C2">
        <w:rPr>
          <w:rFonts w:ascii="Times New Roman" w:eastAsia="SimSun" w:hAnsi="Times New Roman" w:cs="Times New Roman"/>
          <w:sz w:val="24"/>
          <w:szCs w:val="24"/>
        </w:rPr>
        <w:t>April 3</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071685F7" w14:textId="77777777" w:rsidR="00B478CC"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ma</w:t>
      </w:r>
    </w:p>
    <w:p w14:paraId="6D4C5345" w14:textId="76E33FE1" w:rsidR="007A16D8" w:rsidRPr="007A16D8" w:rsidRDefault="00952BC6" w:rsidP="007A16D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7A16D8"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37CF2FF5"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r w:rsidR="009F1D40">
        <w:rPr>
          <w:rFonts w:ascii="Times New Roman" w:eastAsia="SimSun" w:hAnsi="Times New Roman" w:cs="Times New Roman"/>
          <w:bCs/>
          <w:sz w:val="24"/>
          <w:szCs w:val="24"/>
        </w:rPr>
        <w:t>assister</w:t>
      </w:r>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w:t>
      </w:r>
      <w:r w:rsidRPr="007A16D8">
        <w:rPr>
          <w:rFonts w:ascii="Times New Roman" w:eastAsia="Times New Roman" w:hAnsi="Times New Roman" w:cs="Times New Roman"/>
          <w:sz w:val="24"/>
          <w:szCs w:val="24"/>
        </w:rPr>
        <w:lastRenderedPageBreak/>
        <w:t>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assister by calling a hotline.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a text message inviting them to speak with an assister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0D61D48C"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1"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w:t>
      </w:r>
      <w:r w:rsidRPr="007A16D8">
        <w:rPr>
          <w:rFonts w:ascii="Times New Roman" w:eastAsia="Calibri" w:hAnsi="Times New Roman" w:cs="Times New Roman"/>
          <w:sz w:val="24"/>
          <w:szCs w:val="24"/>
        </w:rPr>
        <w:lastRenderedPageBreak/>
        <w:t xml:space="preserve">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2"/>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00C2ED1D"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 xml:space="preserve">Medicaid eligibility categories </w:t>
      </w:r>
      <w:r w:rsidR="005411CF">
        <w:rPr>
          <w:rFonts w:ascii="Times New Roman" w:eastAsia="Calibri" w:hAnsi="Times New Roman" w:cs="Times New Roman"/>
          <w:sz w:val="24"/>
          <w:szCs w:val="24"/>
        </w:rPr>
        <w:t xml:space="preserve">particularly relevant to ease of renewal, </w:t>
      </w:r>
      <w:r w:rsidRPr="007A16D8">
        <w:rPr>
          <w:rFonts w:ascii="Times New Roman" w:eastAsia="Calibri" w:hAnsi="Times New Roman" w:cs="Times New Roman"/>
          <w:sz w:val="24"/>
          <w:szCs w:val="24"/>
        </w:rPr>
        <w:t>defined at the case level at baseline</w:t>
      </w:r>
      <w:r w:rsidR="005411CF">
        <w:rPr>
          <w:rFonts w:ascii="Times New Roman" w:eastAsia="Calibri" w:hAnsi="Times New Roman" w:cs="Times New Roman"/>
          <w:sz w:val="24"/>
          <w:szCs w:val="24"/>
        </w:rPr>
        <w:t xml:space="preserve"> (being aged or disabled, </w:t>
      </w:r>
      <w:r w:rsidR="00B1409C">
        <w:rPr>
          <w:rFonts w:ascii="Times New Roman" w:eastAsia="Calibri" w:hAnsi="Times New Roman" w:cs="Times New Roman"/>
          <w:sz w:val="24"/>
          <w:szCs w:val="24"/>
        </w:rPr>
        <w:t xml:space="preserve">or being part of </w:t>
      </w:r>
      <w:r w:rsidR="005411CF">
        <w:rPr>
          <w:rFonts w:ascii="Times New Roman" w:eastAsia="Calibri" w:hAnsi="Times New Roman" w:cs="Times New Roman"/>
          <w:sz w:val="24"/>
          <w:szCs w:val="24"/>
        </w:rPr>
        <w:t>the “manually extended” population)</w:t>
      </w:r>
      <w:r w:rsidRPr="007A16D8">
        <w:rPr>
          <w:rFonts w:ascii="Times New Roman" w:eastAsia="Calibri" w:hAnsi="Times New Roman" w:cs="Times New Roman"/>
          <w:sz w:val="24"/>
          <w:szCs w:val="24"/>
        </w:rPr>
        <w:t>,</w:t>
      </w:r>
      <w:r w:rsidRPr="007A16D8">
        <w:rPr>
          <w:rFonts w:ascii="Times New Roman" w:eastAsia="Calibri" w:hAnsi="Times New Roman" w:cs="Times New Roman"/>
          <w:sz w:val="24"/>
          <w:szCs w:val="24"/>
          <w:vertAlign w:val="superscript"/>
        </w:rPr>
        <w:footnoteReference w:id="1"/>
      </w:r>
      <w:r w:rsidRPr="007A16D8">
        <w:rPr>
          <w:rFonts w:ascii="Times New Roman" w:eastAsia="Calibri" w:hAnsi="Times New Roman" w:cs="Times New Roman"/>
          <w:sz w:val="24"/>
          <w:szCs w:val="24"/>
        </w:rPr>
        <w:t xml:space="preserve"> whether there are enrolled children in the case at baseline, rural/urban residency of the primary person on the case,</w:t>
      </w:r>
      <w:r w:rsidRPr="007A16D8">
        <w:rPr>
          <w:rFonts w:ascii="Times New Roman" w:eastAsia="Calibri" w:hAnsi="Times New Roman" w:cs="Times New Roman"/>
          <w:sz w:val="24"/>
          <w:szCs w:val="24"/>
          <w:vertAlign w:val="superscript"/>
        </w:rPr>
        <w:footnoteReference w:id="2"/>
      </w:r>
      <w:r w:rsidRPr="007A16D8">
        <w:rPr>
          <w:rFonts w:ascii="Times New Roman" w:eastAsia="Calibri" w:hAnsi="Times New Roman" w:cs="Times New Roman"/>
          <w:sz w:val="24"/>
          <w:szCs w:val="24"/>
        </w:rPr>
        <w:t xml:space="preserve"> </w:t>
      </w:r>
      <w:r w:rsidR="005411CF">
        <w:rPr>
          <w:rFonts w:ascii="Times New Roman" w:eastAsia="Calibri" w:hAnsi="Times New Roman" w:cs="Times New Roman"/>
          <w:sz w:val="24"/>
          <w:szCs w:val="24"/>
        </w:rPr>
        <w:t>Black race</w:t>
      </w:r>
      <w:r w:rsidRPr="007A16D8">
        <w:rPr>
          <w:rFonts w:ascii="Times New Roman" w:eastAsia="Calibri" w:hAnsi="Times New Roman" w:cs="Times New Roman"/>
          <w:sz w:val="24"/>
          <w:szCs w:val="24"/>
        </w:rPr>
        <w:t xml:space="preserve"> and tribal members</w:t>
      </w:r>
      <w:bookmarkEnd w:id="23"/>
      <w:r w:rsidRPr="007A16D8">
        <w:rPr>
          <w:rFonts w:ascii="Times New Roman" w:eastAsia="Calibri" w:hAnsi="Times New Roman" w:cs="Times New Roman"/>
          <w:sz w:val="24"/>
          <w:szCs w:val="24"/>
        </w:rPr>
        <w:t xml:space="preserve">hip of the primary person on the case; for each stratification variable, missing data will be its own stratification category. </w:t>
      </w:r>
      <w:r w:rsidRPr="007A16D8">
        <w:rPr>
          <w:rFonts w:ascii="Times New Roman" w:eastAsia="SimSun" w:hAnsi="Times New Roman" w:cs="Times New Roman"/>
          <w:bCs/>
          <w:sz w:val="24"/>
          <w:szCs w:val="24"/>
        </w:rPr>
        <w:t xml:space="preserve">The consumers to receive address updating will be selected using stratified randomization, with additional stratification by outreach arm. </w:t>
      </w:r>
      <w:r w:rsidRPr="007A16D8">
        <w:rPr>
          <w:rFonts w:ascii="Times New Roman" w:eastAsia="Calibri" w:hAnsi="Times New Roman" w:cs="Times New Roman"/>
          <w:sz w:val="24"/>
          <w:szCs w:val="24"/>
        </w:rPr>
        <w:t>Outreach messages will be sent to the primary individual on each case</w:t>
      </w:r>
      <w:r w:rsidR="006B35B1">
        <w:rPr>
          <w:rFonts w:ascii="Times New Roman" w:eastAsia="Calibri" w:hAnsi="Times New Roman" w:cs="Times New Roman"/>
          <w:sz w:val="24"/>
          <w:szCs w:val="24"/>
        </w:rPr>
        <w:t xml:space="preserve"> (or a</w:t>
      </w:r>
      <w:r w:rsidR="005411CF">
        <w:rPr>
          <w:rFonts w:ascii="Times New Roman" w:eastAsia="Calibri" w:hAnsi="Times New Roman" w:cs="Times New Roman"/>
          <w:sz w:val="24"/>
          <w:szCs w:val="24"/>
        </w:rPr>
        <w:t xml:space="preserve"> randomly chosen adult with complete contact information</w:t>
      </w:r>
      <w:r w:rsidR="006B35B1">
        <w:rPr>
          <w:rFonts w:ascii="Times New Roman" w:eastAsia="Calibri" w:hAnsi="Times New Roman" w:cs="Times New Roman"/>
          <w:sz w:val="24"/>
          <w:szCs w:val="24"/>
        </w:rPr>
        <w:t xml:space="preserve"> if no primary individual is noted on the record)</w:t>
      </w:r>
      <w:r w:rsidRPr="007A16D8">
        <w:rPr>
          <w:rFonts w:ascii="Times New Roman" w:eastAsia="Calibri" w:hAnsi="Times New Roman" w:cs="Times New Roman"/>
          <w:sz w:val="24"/>
          <w:szCs w:val="24"/>
        </w:rPr>
        <w:t>.</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6C391D1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7E15E94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63FB395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7E3E772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633DD11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0ACDA89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4E0BAD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ED71D4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34A6494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0EB611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76C3260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1FF6AB1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8022C3" w:rsidRPr="007A16D8" w14:paraId="68DED4EF"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12D341E4" w14:textId="4EB1EB3C"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9A3058"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4D937B9A" w14:textId="283D67C0"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2DF9B07E" w14:textId="6D2E53C0"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4FD3C7"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5EF49AAD" w14:textId="027C49D8"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8022C3"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68B85D8"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BBB851D"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6C19A640"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7402F0B8"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14D8537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invalid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r w:rsidR="00A428B7">
        <w:rPr>
          <w:rFonts w:ascii="Times New Roman" w:eastAsia="SimSun" w:hAnsi="Times New Roman" w:cs="Times New Roman"/>
          <w:sz w:val="24"/>
          <w:szCs w:val="24"/>
        </w:rPr>
        <w:t>bouncebacks)</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w:t>
      </w:r>
      <w:r w:rsidRPr="007A16D8">
        <w:rPr>
          <w:rFonts w:ascii="Times New Roman" w:eastAsia="SimSun" w:hAnsi="Times New Roman" w:cs="Times New Roman"/>
          <w:sz w:val="24"/>
          <w:szCs w:val="24"/>
        </w:rPr>
        <w:lastRenderedPageBreak/>
        <w:t>receive their postcard or text message. In the statistical analysis described below, we will plan to analyze not only the impact of randomization to specific treatment arms (intent to 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20022290"/>
      <w:r w:rsidRPr="007A16D8">
        <w:rPr>
          <w:rFonts w:ascii="Times New Roman" w:eastAsia="SimSun" w:hAnsi="Times New Roman" w:cs="Times New Roman"/>
          <w:b/>
          <w:bCs/>
          <w:sz w:val="24"/>
          <w:szCs w:val="24"/>
        </w:rPr>
        <w:t>2.5 Power and Effect Size</w:t>
      </w:r>
      <w:bookmarkEnd w:id="24"/>
      <w:bookmarkEnd w:id="25"/>
      <w:bookmarkEnd w:id="26"/>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The study has 80% power to detect a 0.69 percentage point change in enrollment rates, a 0.59 percentage point change in the proportion of enrollees preferring Spanish and a 0.68 percentage point change in the health care needs of enrollees due to variation in the content, modality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 xml:space="preserve">We will consider the intervention to have a meaningful effect if we detect a statistically significant difference in our key outcomes (e.g. application and enrollment increases) between the treatment arms of the RCT. Other measures of the success of the intervention will include </w:t>
      </w:r>
      <w:r w:rsidRPr="007A16D8">
        <w:rPr>
          <w:rFonts w:ascii="Times New Roman" w:eastAsia="SimSun" w:hAnsi="Times New Roman" w:cs="Times New Roman"/>
          <w:sz w:val="24"/>
          <w:szCs w:val="24"/>
        </w:rPr>
        <w:lastRenderedPageBreak/>
        <w:t xml:space="preserve">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20022291"/>
      <w:r w:rsidRPr="007A16D8">
        <w:rPr>
          <w:rFonts w:ascii="Times New Roman" w:eastAsia="Arial" w:hAnsi="Times New Roman" w:cs="Times New Roman"/>
          <w:b/>
          <w:bCs/>
          <w:sz w:val="24"/>
          <w:szCs w:val="24"/>
        </w:rPr>
        <w:t xml:space="preserve">3. Data and Key </w:t>
      </w:r>
      <w:bookmarkEnd w:id="28"/>
      <w:r w:rsidRPr="007A16D8">
        <w:rPr>
          <w:rFonts w:ascii="Times New Roman" w:eastAsia="Arial" w:hAnsi="Times New Roman" w:cs="Times New Roman"/>
          <w:b/>
          <w:bCs/>
          <w:sz w:val="24"/>
          <w:szCs w:val="24"/>
        </w:rPr>
        <w:t>Variables</w:t>
      </w:r>
      <w:bookmarkEnd w:id="29"/>
      <w:bookmarkEnd w:id="30"/>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20022292"/>
      <w:r w:rsidRPr="007A16D8">
        <w:rPr>
          <w:rFonts w:ascii="Times New Roman" w:eastAsia="SimSun" w:hAnsi="Times New Roman" w:cs="Times New Roman"/>
          <w:b/>
          <w:bCs/>
          <w:sz w:val="24"/>
          <w:szCs w:val="24"/>
        </w:rPr>
        <w:t>3.1 Data Sources</w:t>
      </w:r>
      <w:bookmarkEnd w:id="31"/>
      <w:bookmarkEnd w:id="32"/>
      <w:bookmarkEnd w:id="33"/>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20022293"/>
      <w:r w:rsidRPr="007A16D8">
        <w:rPr>
          <w:rFonts w:ascii="Times New Roman" w:eastAsia="SimSun" w:hAnsi="Times New Roman" w:cs="Times New Roman"/>
          <w:b/>
          <w:bCs/>
          <w:i/>
          <w:iCs/>
          <w:sz w:val="24"/>
          <w:szCs w:val="24"/>
        </w:rPr>
        <w:t>Data File 1: Medicaid claims and CARES enrollment file</w:t>
      </w:r>
      <w:bookmarkEnd w:id="34"/>
      <w:r w:rsidRPr="007A16D8">
        <w:rPr>
          <w:rFonts w:ascii="Times New Roman" w:eastAsia="SimSun" w:hAnsi="Times New Roman" w:cs="Times New Roman"/>
          <w:b/>
          <w:bCs/>
          <w:i/>
          <w:iCs/>
          <w:sz w:val="24"/>
          <w:szCs w:val="24"/>
        </w:rPr>
        <w:t>s</w:t>
      </w:r>
      <w:bookmarkEnd w:id="35"/>
      <w:bookmarkEnd w:id="36"/>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7" w:name="_Hlk115269774"/>
      <w:r w:rsidRPr="007A16D8">
        <w:rPr>
          <w:rFonts w:ascii="Times New Roman" w:eastAsia="Times New Roman" w:hAnsi="Times New Roman" w:cs="Times New Roman"/>
          <w:sz w:val="24"/>
          <w:szCs w:val="24"/>
        </w:rPr>
        <w:t xml:space="preserve">One record for each person with </w:t>
      </w:r>
      <w:bookmarkEnd w:id="37"/>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20022294"/>
      <w:r w:rsidRPr="007A16D8">
        <w:rPr>
          <w:rFonts w:ascii="Times New Roman" w:eastAsia="SimSun" w:hAnsi="Times New Roman" w:cs="Times New Roman"/>
          <w:b/>
          <w:bCs/>
          <w:i/>
          <w:iCs/>
          <w:sz w:val="24"/>
          <w:szCs w:val="24"/>
        </w:rPr>
        <w:t xml:space="preserve">Data File 2: </w:t>
      </w:r>
      <w:bookmarkEnd w:id="38"/>
      <w:r w:rsidRPr="007A16D8">
        <w:rPr>
          <w:rFonts w:ascii="Times New Roman" w:eastAsia="SimSun" w:hAnsi="Times New Roman" w:cs="Times New Roman"/>
          <w:b/>
          <w:bCs/>
          <w:i/>
          <w:iCs/>
          <w:sz w:val="24"/>
          <w:szCs w:val="24"/>
        </w:rPr>
        <w:t>Access Tables</w:t>
      </w:r>
      <w:bookmarkEnd w:id="39"/>
      <w:bookmarkEnd w:id="40"/>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20022295"/>
      <w:r w:rsidRPr="007A16D8">
        <w:rPr>
          <w:rFonts w:ascii="Times New Roman" w:eastAsia="SimSun" w:hAnsi="Times New Roman" w:cs="Times New Roman"/>
          <w:b/>
          <w:bCs/>
          <w:i/>
          <w:iCs/>
          <w:sz w:val="24"/>
          <w:szCs w:val="24"/>
        </w:rPr>
        <w:t xml:space="preserve">Data File 3: </w:t>
      </w:r>
      <w:bookmarkEnd w:id="41"/>
      <w:r w:rsidRPr="007A16D8">
        <w:rPr>
          <w:rFonts w:ascii="Times New Roman" w:eastAsia="SimSun" w:hAnsi="Times New Roman" w:cs="Times New Roman"/>
          <w:b/>
          <w:bCs/>
          <w:i/>
          <w:iCs/>
          <w:sz w:val="24"/>
          <w:szCs w:val="24"/>
        </w:rPr>
        <w:t>DHS reports to Covering Wisconsin</w:t>
      </w:r>
      <w:bookmarkEnd w:id="42"/>
      <w:bookmarkEnd w:id="43"/>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Cell phone number if available for each individual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Age of each individual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Tribal membership for each individual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for each individual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4"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4"/>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20022296"/>
      <w:r w:rsidRPr="007A16D8">
        <w:rPr>
          <w:rFonts w:ascii="Times New Roman" w:eastAsia="SimSun" w:hAnsi="Times New Roman" w:cs="Times New Roman"/>
          <w:b/>
          <w:bCs/>
          <w:sz w:val="24"/>
          <w:szCs w:val="24"/>
        </w:rPr>
        <w:t>3.2 Key Variables</w:t>
      </w:r>
      <w:bookmarkStart w:id="48" w:name="_Toc49523936"/>
      <w:bookmarkEnd w:id="45"/>
      <w:bookmarkEnd w:id="46"/>
      <w:bookmarkEnd w:id="47"/>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48"/>
      <w:r w:rsidRPr="007A16D8">
        <w:rPr>
          <w:rFonts w:ascii="Times New Roman" w:eastAsia="Calibri" w:hAnsi="Times New Roman" w:cs="Times New Roman"/>
          <w:i/>
          <w:iCs/>
          <w:sz w:val="24"/>
          <w:szCs w:val="24"/>
        </w:rPr>
        <w:t xml:space="preserve">. </w:t>
      </w:r>
      <w:bookmarkStart w:id="49" w:name="OLE_LINK15"/>
      <w:bookmarkStart w:id="50"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1"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49"/>
      <w:bookmarkEnd w:id="50"/>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1"/>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2"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This </w:t>
      </w:r>
      <w:r>
        <w:rPr>
          <w:rFonts w:ascii="Times New Roman" w:eastAsia="Calibri" w:hAnsi="Times New Roman"/>
          <w:sz w:val="24"/>
          <w:szCs w:val="24"/>
        </w:rPr>
        <w:lastRenderedPageBreak/>
        <w:t>responses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3"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lastRenderedPageBreak/>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Other household characteristics: number of enrolled childless adults with baseline household income over 50% of FPL; number of enrolled children with baseline household income over 200% of FPL; whether or not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4"/>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5"/>
      <w:bookmarkEnd w:id="56"/>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20022297"/>
      <w:r w:rsidRPr="007A16D8">
        <w:rPr>
          <w:rFonts w:ascii="Times New Roman" w:eastAsia="SimSun" w:hAnsi="Times New Roman" w:cs="Times New Roman"/>
          <w:b/>
          <w:bCs/>
          <w:sz w:val="24"/>
          <w:szCs w:val="24"/>
        </w:rPr>
        <w:lastRenderedPageBreak/>
        <w:t>3.3 Treatment of Missing Data</w:t>
      </w:r>
      <w:bookmarkEnd w:id="57"/>
      <w:bookmarkEnd w:id="58"/>
      <w:bookmarkEnd w:id="59"/>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20022298"/>
      <w:r w:rsidRPr="007A16D8">
        <w:rPr>
          <w:rFonts w:ascii="Times New Roman" w:eastAsia="Arial" w:hAnsi="Times New Roman" w:cs="Times New Roman"/>
          <w:b/>
          <w:bCs/>
          <w:sz w:val="24"/>
          <w:szCs w:val="24"/>
        </w:rPr>
        <w:t xml:space="preserve">4. </w:t>
      </w:r>
      <w:bookmarkEnd w:id="60"/>
      <w:r w:rsidRPr="007A16D8">
        <w:rPr>
          <w:rFonts w:ascii="Times New Roman" w:eastAsia="Arial" w:hAnsi="Times New Roman" w:cs="Times New Roman"/>
          <w:b/>
          <w:bCs/>
          <w:sz w:val="24"/>
          <w:szCs w:val="24"/>
        </w:rPr>
        <w:t>Balance Checks</w:t>
      </w:r>
      <w:bookmarkEnd w:id="61"/>
      <w:bookmarkEnd w:id="62"/>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3" w:name="OLE_LINK6"/>
      <w:bookmarkStart w:id="64"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20022299"/>
      <w:r w:rsidRPr="007A16D8">
        <w:rPr>
          <w:rFonts w:ascii="Times New Roman" w:eastAsia="Arial" w:hAnsi="Times New Roman" w:cs="Times New Roman"/>
          <w:b/>
          <w:bCs/>
          <w:sz w:val="24"/>
          <w:szCs w:val="24"/>
        </w:rPr>
        <w:t xml:space="preserve">5. </w:t>
      </w:r>
      <w:bookmarkEnd w:id="65"/>
      <w:r w:rsidRPr="007A16D8">
        <w:rPr>
          <w:rFonts w:ascii="Times New Roman" w:eastAsia="Arial" w:hAnsi="Times New Roman" w:cs="Times New Roman"/>
          <w:b/>
          <w:bCs/>
          <w:sz w:val="24"/>
          <w:szCs w:val="24"/>
        </w:rPr>
        <w:t>Risks and Mitigation</w:t>
      </w:r>
      <w:bookmarkEnd w:id="66"/>
      <w:bookmarkEnd w:id="67"/>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3"/>
      <w:bookmarkEnd w:id="64"/>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_Toc120022300"/>
      <w:bookmarkStart w:id="71" w:name="OLE_LINK10"/>
      <w:bookmarkStart w:id="72" w:name="OLE_LINK12"/>
      <w:r w:rsidRPr="007A16D8">
        <w:rPr>
          <w:rFonts w:ascii="Times New Roman" w:eastAsia="Arial" w:hAnsi="Times New Roman" w:cs="Times New Roman"/>
          <w:b/>
          <w:bCs/>
          <w:sz w:val="24"/>
          <w:szCs w:val="24"/>
        </w:rPr>
        <w:lastRenderedPageBreak/>
        <w:t>6. Statistical Models &amp; Hypothesis Tests</w:t>
      </w:r>
      <w:bookmarkEnd w:id="68"/>
      <w:bookmarkEnd w:id="69"/>
      <w:bookmarkEnd w:id="70"/>
    </w:p>
    <w:bookmarkEnd w:id="71"/>
    <w:bookmarkEnd w:id="72"/>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4"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
    <w:bookmarkEnd w:id="74"/>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outreach;</w:t>
      </w:r>
    </w:p>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w:t>
      </w:r>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first; </w:t>
      </w:r>
    </w:p>
    <w:bookmarkStart w:id="75" w:name="_Hlk117849930"/>
    <w:p w14:paraId="600AFC39"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added to a waitlist to receive an outbound call</w:t>
      </w:r>
      <w:bookmarkEnd w:id="75"/>
      <w:r w:rsidR="007A16D8" w:rsidRPr="007A16D8">
        <w:rPr>
          <w:rFonts w:ascii="Times New Roman" w:eastAsia="SimSun" w:hAnsi="Times New Roman" w:cs="Times New Roman"/>
          <w:sz w:val="24"/>
          <w:szCs w:val="24"/>
        </w:rPr>
        <w:t>;</w:t>
      </w:r>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6"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assister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6"/>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2D1891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went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7" w:name="_Hlk118372911"/>
    <w:p w14:paraId="4B270F54"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7"/>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00000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lastRenderedPageBreak/>
        <w:t>In robustness checks, we will use logit or probit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8"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79" w:name="_Toc115436512"/>
      <w:bookmarkStart w:id="80" w:name="_Toc120022301"/>
      <w:r w:rsidRPr="007A16D8">
        <w:rPr>
          <w:rFonts w:ascii="Times New Roman" w:eastAsia="Arial" w:hAnsi="Times New Roman" w:cs="Times New Roman"/>
          <w:b/>
          <w:bCs/>
          <w:sz w:val="24"/>
          <w:szCs w:val="24"/>
        </w:rPr>
        <w:t>References</w:t>
      </w:r>
      <w:bookmarkEnd w:id="78"/>
      <w:bookmarkEnd w:id="79"/>
      <w:bookmarkEnd w:id="80"/>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1"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2" w:name="_Toc51832002"/>
      <w:bookmarkStart w:id="83"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4"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2"/>
      <w:bookmarkEnd w:id="83"/>
      <w:bookmarkEnd w:id="84"/>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5" w:name="_Toc50844125"/>
      <w:bookmarkStart w:id="86" w:name="_Toc51832004"/>
      <w:bookmarkStart w:id="87" w:name="_Toc115436514"/>
      <w:bookmarkStart w:id="88" w:name="_Toc120022303"/>
      <w:r w:rsidRPr="007A16D8">
        <w:rPr>
          <w:rFonts w:ascii="Times New Roman" w:eastAsia="SimSun" w:hAnsi="Times New Roman" w:cs="Times New Roman"/>
          <w:b/>
          <w:bCs/>
          <w:sz w:val="24"/>
          <w:szCs w:val="24"/>
        </w:rPr>
        <w:t>Appendix Table 1: Balance Tests</w:t>
      </w:r>
      <w:bookmarkEnd w:id="85"/>
      <w:bookmarkEnd w:id="86"/>
      <w:bookmarkEnd w:id="87"/>
      <w:r w:rsidRPr="007A16D8">
        <w:rPr>
          <w:rFonts w:ascii="Times New Roman" w:eastAsia="SimSun" w:hAnsi="Times New Roman" w:cs="Times New Roman"/>
          <w:b/>
          <w:bCs/>
          <w:sz w:val="24"/>
          <w:szCs w:val="24"/>
        </w:rPr>
        <w:t xml:space="preserve"> Across All Treatment Arms</w:t>
      </w:r>
      <w:bookmarkEnd w:id="88"/>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89"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89"/>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0"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0"/>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1"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1"/>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2" w:name="_Toc120022305"/>
      <w:bookmarkStart w:id="93" w:name="_Toc51832005"/>
      <w:bookmarkStart w:id="94" w:name="_Toc50844126"/>
      <w:bookmarkStart w:id="95"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2"/>
      <w:r w:rsidRPr="007A16D8">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6"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7178161"/>
            <w:bookmarkStart w:id="98"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97"/>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99"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0" w:name="_Hlk107398003"/>
            <w:bookmarkStart w:id="101" w:name="_Hlk107311180"/>
            <w:bookmarkEnd w:id="99"/>
            <w:r w:rsidRPr="007A16D8">
              <w:rPr>
                <w:rFonts w:ascii="Times New Roman" w:eastAsia="SimSun" w:hAnsi="Times New Roman" w:cs="Times New Roman"/>
                <w:i/>
                <w:sz w:val="20"/>
                <w:szCs w:val="20"/>
              </w:rPr>
              <w:t>No application filed by end of redetermination deadline</w:t>
            </w:r>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2" w:name="_Hlk107398054"/>
            <w:bookmarkEnd w:id="100"/>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3" w:name="_Hlk108684734"/>
            <w:bookmarkEnd w:id="101"/>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3"/>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2"/>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96"/>
      <w:bookmarkEnd w:id="98"/>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4"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4"/>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05"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05"/>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0B2069" w:rsidRPr="007A16D8" w14:paraId="18FDD5A6" w14:textId="65A0C51E" w:rsidTr="006004D8">
        <w:tc>
          <w:tcPr>
            <w:tcW w:w="1483" w:type="dxa"/>
          </w:tcPr>
          <w:p w14:paraId="382CCF01" w14:textId="77777777" w:rsidR="000B2069" w:rsidRPr="007A16D8" w:rsidRDefault="000B2069" w:rsidP="007A16D8">
            <w:pPr>
              <w:rPr>
                <w:rFonts w:ascii="Times New Roman" w:hAnsi="Times New Roman"/>
              </w:rPr>
            </w:pPr>
            <w:r w:rsidRPr="007A16D8">
              <w:rPr>
                <w:rFonts w:ascii="Times New Roman" w:hAnsi="Times New Roman"/>
              </w:rPr>
              <w:t>Not enrolled long enough to have been required to do a prior redetermination</w:t>
            </w:r>
          </w:p>
        </w:tc>
        <w:tc>
          <w:tcPr>
            <w:tcW w:w="1072" w:type="dxa"/>
          </w:tcPr>
          <w:p w14:paraId="2A0E35E7" w14:textId="77777777" w:rsidR="000B2069" w:rsidRPr="007A16D8" w:rsidRDefault="000B2069" w:rsidP="007A16D8">
            <w:pPr>
              <w:rPr>
                <w:rFonts w:ascii="Times New Roman" w:hAnsi="Times New Roman"/>
              </w:rPr>
            </w:pPr>
          </w:p>
        </w:tc>
        <w:tc>
          <w:tcPr>
            <w:tcW w:w="1072" w:type="dxa"/>
          </w:tcPr>
          <w:p w14:paraId="7E369EE7" w14:textId="77777777" w:rsidR="000B2069" w:rsidRPr="007A16D8" w:rsidRDefault="000B2069" w:rsidP="007A16D8">
            <w:pPr>
              <w:rPr>
                <w:rFonts w:ascii="Times New Roman" w:hAnsi="Times New Roman"/>
              </w:rPr>
            </w:pPr>
          </w:p>
        </w:tc>
        <w:tc>
          <w:tcPr>
            <w:tcW w:w="1471" w:type="dxa"/>
          </w:tcPr>
          <w:p w14:paraId="7BA7314D" w14:textId="77777777" w:rsidR="000B2069" w:rsidRPr="007A16D8" w:rsidRDefault="000B2069" w:rsidP="007A16D8">
            <w:pPr>
              <w:rPr>
                <w:rFonts w:ascii="Times New Roman" w:hAnsi="Times New Roman"/>
              </w:rPr>
            </w:pPr>
          </w:p>
        </w:tc>
        <w:tc>
          <w:tcPr>
            <w:tcW w:w="1484" w:type="dxa"/>
          </w:tcPr>
          <w:p w14:paraId="581B5EAB" w14:textId="77777777" w:rsidR="000B2069" w:rsidRPr="007A16D8" w:rsidRDefault="000B2069" w:rsidP="007A16D8">
            <w:pPr>
              <w:rPr>
                <w:rFonts w:ascii="Times New Roman" w:hAnsi="Times New Roman"/>
              </w:rPr>
            </w:pPr>
          </w:p>
        </w:tc>
        <w:tc>
          <w:tcPr>
            <w:tcW w:w="1305" w:type="dxa"/>
          </w:tcPr>
          <w:p w14:paraId="2D0B9E2A" w14:textId="77777777" w:rsidR="000B2069" w:rsidRPr="007A16D8" w:rsidRDefault="000B2069" w:rsidP="007A16D8">
            <w:pPr>
              <w:rPr>
                <w:rFonts w:ascii="Times New Roman" w:hAnsi="Times New Roman"/>
              </w:rPr>
            </w:pPr>
          </w:p>
        </w:tc>
        <w:tc>
          <w:tcPr>
            <w:tcW w:w="1161" w:type="dxa"/>
          </w:tcPr>
          <w:p w14:paraId="31BF7525" w14:textId="77777777" w:rsidR="000B2069" w:rsidRPr="007A16D8" w:rsidRDefault="000B2069" w:rsidP="007A16D8">
            <w:pPr>
              <w:rPr>
                <w:rFonts w:ascii="Times New Roman" w:hAnsi="Times New Roman"/>
              </w:rPr>
            </w:pPr>
          </w:p>
        </w:tc>
        <w:tc>
          <w:tcPr>
            <w:tcW w:w="1072" w:type="dxa"/>
          </w:tcPr>
          <w:p w14:paraId="5118F07C" w14:textId="77777777" w:rsidR="000B2069" w:rsidRPr="007A16D8" w:rsidRDefault="000B2069" w:rsidP="007A16D8">
            <w:pPr>
              <w:rPr>
                <w:rFonts w:ascii="Times New Roman" w:hAnsi="Times New Roman"/>
              </w:rPr>
            </w:pPr>
          </w:p>
        </w:tc>
        <w:tc>
          <w:tcPr>
            <w:tcW w:w="2026" w:type="dxa"/>
          </w:tcPr>
          <w:p w14:paraId="63B6EF35" w14:textId="77777777" w:rsidR="000B2069" w:rsidRPr="007A16D8" w:rsidRDefault="000B2069" w:rsidP="007A16D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3FB67257"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Self-reported receipt of outreach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77777777"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06" w:name="RANGE!A4"/>
            <w:r w:rsidRPr="001E6314">
              <w:rPr>
                <w:rFonts w:ascii="Times New Roman" w:eastAsia="SimSun" w:hAnsi="Times New Roman" w:cs="Times New Roman"/>
                <w:b/>
                <w:bCs/>
                <w:color w:val="000000"/>
                <w:sz w:val="20"/>
                <w:szCs w:val="20"/>
              </w:rPr>
              <w:t> </w:t>
            </w:r>
            <w:bookmarkEnd w:id="106"/>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77777777" w:rsidR="006004D8" w:rsidRPr="001E6314" w:rsidRDefault="006004D8">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004D8" w:rsidRPr="001E6314" w14:paraId="7421ACCA" w14:textId="77777777" w:rsidTr="00766F83">
        <w:trPr>
          <w:trHeight w:val="804"/>
        </w:trPr>
        <w:tc>
          <w:tcPr>
            <w:tcW w:w="2555" w:type="dxa"/>
            <w:tcBorders>
              <w:top w:val="nil"/>
              <w:left w:val="single" w:sz="8" w:space="0" w:color="auto"/>
              <w:bottom w:val="single" w:sz="8" w:space="0" w:color="auto"/>
              <w:right w:val="single" w:sz="8" w:space="0" w:color="auto"/>
            </w:tcBorders>
            <w:shd w:val="clear" w:color="auto" w:fill="auto"/>
            <w:vAlign w:val="center"/>
          </w:tcPr>
          <w:p w14:paraId="5BDD927C" w14:textId="220E8EEF" w:rsidR="006004D8" w:rsidRPr="001E6314" w:rsidRDefault="006004D8">
            <w:pPr>
              <w:rPr>
                <w:rFonts w:ascii="Times New Roman" w:eastAsia="SimSun" w:hAnsi="Times New Roman" w:cs="Times New Roman"/>
                <w:color w:val="000000"/>
                <w:sz w:val="20"/>
                <w:szCs w:val="20"/>
              </w:rPr>
            </w:pPr>
            <w:r w:rsidRPr="001E6314">
              <w:rPr>
                <w:rFonts w:ascii="Times New Roman" w:eastAsia="SimSun" w:hAnsi="Times New Roman" w:cs="Times New Roman"/>
                <w:color w:val="000000"/>
                <w:sz w:val="20"/>
                <w:szCs w:val="20"/>
              </w:rPr>
              <w:t>Total Sample</w:t>
            </w:r>
          </w:p>
        </w:tc>
        <w:tc>
          <w:tcPr>
            <w:tcW w:w="2113" w:type="dxa"/>
            <w:tcBorders>
              <w:top w:val="nil"/>
              <w:left w:val="nil"/>
              <w:bottom w:val="single" w:sz="8" w:space="0" w:color="auto"/>
              <w:right w:val="single" w:sz="8" w:space="0" w:color="auto"/>
            </w:tcBorders>
            <w:shd w:val="clear" w:color="auto" w:fill="auto"/>
            <w:vAlign w:val="center"/>
          </w:tcPr>
          <w:p w14:paraId="5E498865" w14:textId="77777777" w:rsidR="006004D8" w:rsidRPr="001E6314" w:rsidRDefault="006004D8">
            <w:pPr>
              <w:rPr>
                <w:rFonts w:ascii="Times New Roman" w:eastAsia="SimSu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602735E" w14:textId="77777777" w:rsidR="006004D8" w:rsidRPr="001E6314" w:rsidRDefault="006004D8">
            <w:pPr>
              <w:rPr>
                <w:rFonts w:ascii="Times New Roman" w:eastAsia="SimSun" w:hAnsi="Times New Roman" w:cs="Times New Roman"/>
                <w:color w:val="000000"/>
                <w:sz w:val="20"/>
                <w:szCs w:val="20"/>
              </w:rPr>
            </w:pPr>
          </w:p>
        </w:tc>
        <w:tc>
          <w:tcPr>
            <w:tcW w:w="2268" w:type="dxa"/>
            <w:tcBorders>
              <w:top w:val="nil"/>
              <w:left w:val="single" w:sz="8" w:space="0" w:color="auto"/>
              <w:bottom w:val="single" w:sz="8" w:space="0" w:color="auto"/>
              <w:right w:val="single" w:sz="8" w:space="0" w:color="auto"/>
            </w:tcBorders>
            <w:shd w:val="clear" w:color="auto" w:fill="auto"/>
            <w:vAlign w:val="center"/>
          </w:tcPr>
          <w:p w14:paraId="6710AD78" w14:textId="77777777" w:rsidR="006004D8" w:rsidRPr="001E6314" w:rsidRDefault="006004D8">
            <w:pPr>
              <w:rPr>
                <w:rFonts w:ascii="Times New Roman" w:eastAsia="SimSu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vAlign w:val="center"/>
          </w:tcPr>
          <w:p w14:paraId="5BE17A67" w14:textId="77777777" w:rsidR="006004D8" w:rsidRPr="001E6314" w:rsidRDefault="006004D8">
            <w:pPr>
              <w:rPr>
                <w:rFonts w:ascii="Times New Roman" w:hAnsi="Times New Roman" w:cs="Times New Roman"/>
                <w:color w:val="000000"/>
                <w:sz w:val="20"/>
                <w:szCs w:val="20"/>
              </w:rPr>
            </w:pP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77777777" w:rsidR="00016933" w:rsidRDefault="00016933" w:rsidP="00016933">
      <w:pPr>
        <w:rPr>
          <w:rFonts w:ascii="Times New Roman" w:eastAsia="Calibri" w:hAnsi="Times New Roman" w:cs="Times New Roman"/>
          <w:b/>
          <w:bCs/>
          <w:sz w:val="24"/>
          <w:szCs w:val="24"/>
        </w:rPr>
      </w:pP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1"/>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73FC994D" w14:textId="2A50A04B" w:rsidR="00F16651"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092" w:type="pct"/>
        <w:tblLook w:val="04A0" w:firstRow="1" w:lastRow="0" w:firstColumn="1" w:lastColumn="0" w:noHBand="0" w:noVBand="1"/>
      </w:tblPr>
      <w:tblGrid>
        <w:gridCol w:w="3150"/>
        <w:gridCol w:w="3724"/>
        <w:gridCol w:w="3724"/>
      </w:tblGrid>
      <w:tr w:rsidR="00F16651" w:rsidRPr="001E6314" w14:paraId="077CC6CB" w14:textId="77777777" w:rsidTr="00163867">
        <w:tc>
          <w:tcPr>
            <w:tcW w:w="1486" w:type="pct"/>
          </w:tcPr>
          <w:p w14:paraId="4D57BA2A" w14:textId="77777777" w:rsidR="00F16651" w:rsidRPr="001E6314" w:rsidRDefault="00F16651" w:rsidP="00163867">
            <w:pPr>
              <w:jc w:val="center"/>
              <w:rPr>
                <w:rFonts w:ascii="Times New Roman" w:hAnsi="Times New Roman"/>
                <w:b/>
                <w:bCs/>
              </w:rPr>
            </w:pPr>
          </w:p>
        </w:tc>
        <w:tc>
          <w:tcPr>
            <w:tcW w:w="1757" w:type="pct"/>
          </w:tcPr>
          <w:p w14:paraId="398DC33C" w14:textId="77777777" w:rsidR="00F16651" w:rsidRPr="001E6314" w:rsidRDefault="00F16651" w:rsidP="00163867">
            <w:pPr>
              <w:jc w:val="center"/>
              <w:rPr>
                <w:rFonts w:ascii="Times New Roman" w:hAnsi="Times New Roman"/>
                <w:b/>
                <w:bCs/>
              </w:rPr>
            </w:pPr>
            <w:r w:rsidRPr="001E6314">
              <w:rPr>
                <w:rFonts w:ascii="Times New Roman" w:hAnsi="Times New Roman"/>
                <w:b/>
                <w:bCs/>
              </w:rPr>
              <w:t>Hotline Group</w:t>
            </w:r>
          </w:p>
        </w:tc>
        <w:tc>
          <w:tcPr>
            <w:tcW w:w="1757" w:type="pct"/>
          </w:tcPr>
          <w:p w14:paraId="0E87B6CE" w14:textId="77777777" w:rsidR="00F16651" w:rsidRPr="001E6314" w:rsidRDefault="00F16651" w:rsidP="00163867">
            <w:pPr>
              <w:jc w:val="center"/>
              <w:rPr>
                <w:rFonts w:ascii="Times New Roman" w:hAnsi="Times New Roman"/>
                <w:b/>
                <w:bCs/>
              </w:rPr>
            </w:pPr>
            <w:r w:rsidRPr="001E6314">
              <w:rPr>
                <w:rFonts w:ascii="Times New Roman" w:hAnsi="Times New Roman"/>
                <w:b/>
                <w:bCs/>
              </w:rPr>
              <w:t>Chatbot Group</w:t>
            </w:r>
          </w:p>
        </w:tc>
      </w:tr>
      <w:tr w:rsidR="00F16651" w:rsidRPr="001E6314" w14:paraId="60E67215" w14:textId="77777777" w:rsidTr="00163867">
        <w:tc>
          <w:tcPr>
            <w:tcW w:w="1486" w:type="pct"/>
          </w:tcPr>
          <w:p w14:paraId="58E317EF" w14:textId="77777777" w:rsidR="00F16651" w:rsidRPr="001E6314" w:rsidRDefault="00F16651" w:rsidP="00163867">
            <w:pPr>
              <w:rPr>
                <w:rFonts w:ascii="Times New Roman" w:hAnsi="Times New Roman"/>
              </w:rPr>
            </w:pPr>
            <w:r w:rsidRPr="001E6314">
              <w:rPr>
                <w:rFonts w:ascii="Times New Roman" w:hAnsi="Times New Roman"/>
              </w:rPr>
              <w:t>Message A Initial Text—iC only</w:t>
            </w:r>
          </w:p>
        </w:tc>
        <w:tc>
          <w:tcPr>
            <w:tcW w:w="1757" w:type="pct"/>
          </w:tcPr>
          <w:p w14:paraId="1B1A22E3"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reapply for BadgerCare or Medicaid! To get free, local help, call 877-942-6837 or visit </w:t>
            </w:r>
            <w:hyperlink r:id="rId9" w:history="1">
              <w:r w:rsidRPr="001E6314">
                <w:rPr>
                  <w:rStyle w:val="Hyperlink"/>
                  <w:rFonts w:ascii="Times New Roman" w:hAnsi="Times New Roman"/>
                  <w:bCs/>
                </w:rPr>
                <w:t>www.coveringwi.org</w:t>
              </w:r>
            </w:hyperlink>
            <w:r w:rsidRPr="001E6314">
              <w:rPr>
                <w:rFonts w:ascii="Times New Roman" w:hAnsi="Times New Roman"/>
                <w:bCs/>
              </w:rPr>
              <w:t>.</w:t>
            </w:r>
          </w:p>
          <w:p w14:paraId="54B929FE" w14:textId="77777777" w:rsidR="00F16651" w:rsidRPr="001E6314" w:rsidRDefault="00F16651" w:rsidP="00163867">
            <w:pPr>
              <w:pStyle w:val="NoSpacing"/>
              <w:rPr>
                <w:rFonts w:ascii="Times New Roman" w:hAnsi="Times New Roman"/>
                <w:bCs/>
              </w:rPr>
            </w:pPr>
          </w:p>
          <w:p w14:paraId="5E8CD2B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 Msg &amp; Data Rates May Apply.</w:t>
            </w:r>
          </w:p>
        </w:tc>
        <w:tc>
          <w:tcPr>
            <w:tcW w:w="1757" w:type="pct"/>
            <w:shd w:val="clear" w:color="auto" w:fill="BFBFBF" w:themeFill="background1" w:themeFillShade="BF"/>
          </w:tcPr>
          <w:p w14:paraId="5B7C56F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reapply for BadgerCare or Medicaid! To get free, local help, text COVER to 920-507-5295 or visit </w:t>
            </w:r>
            <w:hyperlink r:id="rId10"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4C226E65" w14:textId="77777777" w:rsidR="00F16651" w:rsidRPr="001E6314" w:rsidRDefault="00F16651" w:rsidP="00163867">
            <w:pPr>
              <w:pStyle w:val="NoSpacing"/>
              <w:rPr>
                <w:rFonts w:ascii="Times New Roman" w:hAnsi="Times New Roman"/>
                <w:bCs/>
              </w:rPr>
            </w:pPr>
          </w:p>
          <w:p w14:paraId="5FF1F8E6"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 Msg &amp; Data Rates May Apply.</w:t>
            </w:r>
          </w:p>
        </w:tc>
      </w:tr>
      <w:tr w:rsidR="00F16651" w:rsidRPr="001E6314" w14:paraId="3115657E" w14:textId="77777777" w:rsidTr="00163867">
        <w:tc>
          <w:tcPr>
            <w:tcW w:w="1486" w:type="pct"/>
          </w:tcPr>
          <w:p w14:paraId="03B38A5E" w14:textId="77777777" w:rsidR="00F16651" w:rsidRPr="001E6314" w:rsidRDefault="00F16651" w:rsidP="00163867">
            <w:pPr>
              <w:rPr>
                <w:rFonts w:ascii="Times New Roman" w:hAnsi="Times New Roman"/>
              </w:rPr>
            </w:pPr>
            <w:r w:rsidRPr="001E6314">
              <w:rPr>
                <w:rFonts w:ascii="Times New Roman" w:hAnsi="Times New Roman"/>
              </w:rPr>
              <w:t>Message A Reminder Text—iC only</w:t>
            </w:r>
          </w:p>
        </w:tc>
        <w:tc>
          <w:tcPr>
            <w:tcW w:w="1757" w:type="pct"/>
          </w:tcPr>
          <w:p w14:paraId="19CFD97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reapply for BadgerCare or Medicaid. To get free, local help, call 877-942-6837 or visit </w:t>
            </w:r>
            <w:hyperlink r:id="rId11" w:history="1">
              <w:r w:rsidRPr="001E6314">
                <w:rPr>
                  <w:rStyle w:val="Hyperlink"/>
                  <w:rFonts w:ascii="Times New Roman" w:hAnsi="Times New Roman"/>
                  <w:bCs/>
                </w:rPr>
                <w:t>www.coveringwi.org</w:t>
              </w:r>
            </w:hyperlink>
            <w:r w:rsidRPr="001E6314">
              <w:rPr>
                <w:rFonts w:ascii="Times New Roman" w:hAnsi="Times New Roman"/>
                <w:bCs/>
              </w:rPr>
              <w:t>.</w:t>
            </w:r>
          </w:p>
          <w:p w14:paraId="55D78A18" w14:textId="77777777" w:rsidR="00F16651" w:rsidRPr="001E6314" w:rsidRDefault="00F16651" w:rsidP="00163867">
            <w:pPr>
              <w:pStyle w:val="NoSpacing"/>
              <w:rPr>
                <w:rFonts w:ascii="Times New Roman" w:hAnsi="Times New Roman"/>
                <w:bCs/>
              </w:rPr>
            </w:pPr>
          </w:p>
          <w:p w14:paraId="48D993F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w:t>
            </w:r>
          </w:p>
        </w:tc>
        <w:tc>
          <w:tcPr>
            <w:tcW w:w="1757" w:type="pct"/>
            <w:shd w:val="clear" w:color="auto" w:fill="BFBFBF" w:themeFill="background1" w:themeFillShade="BF"/>
          </w:tcPr>
          <w:p w14:paraId="5E0E04A7"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reapply for BadgerCare or Medicaid. To get free, local help, text COVER to 920-507-5295 or visit </w:t>
            </w:r>
            <w:hyperlink r:id="rId12"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5AD57506" w14:textId="77777777" w:rsidR="00F16651" w:rsidRPr="001E6314" w:rsidRDefault="00F16651" w:rsidP="00163867">
            <w:pPr>
              <w:pStyle w:val="NoSpacing"/>
              <w:rPr>
                <w:rFonts w:ascii="Times New Roman" w:hAnsi="Times New Roman"/>
                <w:bCs/>
              </w:rPr>
            </w:pPr>
          </w:p>
          <w:p w14:paraId="49F758C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w:t>
            </w:r>
          </w:p>
        </w:tc>
      </w:tr>
      <w:tr w:rsidR="00F16651" w:rsidRPr="001E6314" w14:paraId="3966D39D" w14:textId="77777777" w:rsidTr="00163867">
        <w:tc>
          <w:tcPr>
            <w:tcW w:w="1486" w:type="pct"/>
          </w:tcPr>
          <w:p w14:paraId="1CE36A24" w14:textId="77777777" w:rsidR="00F16651" w:rsidRPr="001E6314" w:rsidRDefault="00F16651" w:rsidP="00163867">
            <w:pPr>
              <w:rPr>
                <w:rFonts w:ascii="Times New Roman" w:hAnsi="Times New Roman"/>
              </w:rPr>
            </w:pPr>
            <w:r w:rsidRPr="001E6314">
              <w:rPr>
                <w:rFonts w:ascii="Times New Roman" w:hAnsi="Times New Roman"/>
              </w:rPr>
              <w:t>Message A Initial Text—regular monthly renewals</w:t>
            </w:r>
          </w:p>
          <w:p w14:paraId="5B6BB8F9" w14:textId="77777777" w:rsidR="00F16651" w:rsidRPr="001E6314" w:rsidRDefault="00F16651" w:rsidP="00163867">
            <w:pPr>
              <w:rPr>
                <w:rFonts w:ascii="Times New Roman" w:hAnsi="Times New Roman"/>
              </w:rPr>
            </w:pPr>
          </w:p>
        </w:tc>
        <w:tc>
          <w:tcPr>
            <w:tcW w:w="1757" w:type="pct"/>
          </w:tcPr>
          <w:p w14:paraId="4EA416C0"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renew your BadgerCare or Medicaid! To get free, local help, call 877-942-6837 or visit </w:t>
            </w:r>
            <w:hyperlink r:id="rId13"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0809ABFB" w14:textId="77777777" w:rsidR="00F16651" w:rsidRPr="001E6314" w:rsidRDefault="00F16651" w:rsidP="00163867">
            <w:pPr>
              <w:pStyle w:val="NoSpacing"/>
              <w:rPr>
                <w:rFonts w:ascii="Times New Roman" w:hAnsi="Times New Roman"/>
                <w:bCs/>
              </w:rPr>
            </w:pPr>
          </w:p>
          <w:p w14:paraId="761762B2"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renewal. STOP to end. Msg &amp; Data Rates May Apply.</w:t>
            </w:r>
          </w:p>
        </w:tc>
        <w:tc>
          <w:tcPr>
            <w:tcW w:w="1757" w:type="pct"/>
            <w:shd w:val="clear" w:color="auto" w:fill="BFBFBF" w:themeFill="background1" w:themeFillShade="BF"/>
          </w:tcPr>
          <w:p w14:paraId="7A322E70"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renew your BadgerCare or Medicaid! To get free, local help, text COVER to 920-507-5295 or visit </w:t>
            </w:r>
            <w:hyperlink r:id="rId14"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722C6E8D" w14:textId="77777777" w:rsidR="00F16651" w:rsidRPr="001E6314" w:rsidRDefault="00F16651" w:rsidP="00163867">
            <w:pPr>
              <w:pStyle w:val="NoSpacing"/>
              <w:rPr>
                <w:rFonts w:ascii="Times New Roman" w:hAnsi="Times New Roman"/>
                <w:bCs/>
              </w:rPr>
            </w:pPr>
          </w:p>
          <w:p w14:paraId="2D9A1EC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renewal. STOP to end. Msg &amp; Data Rates May Apply.</w:t>
            </w:r>
          </w:p>
          <w:p w14:paraId="0C9B35AD" w14:textId="77777777" w:rsidR="00F16651" w:rsidRPr="001E6314" w:rsidRDefault="00F16651" w:rsidP="00163867">
            <w:pPr>
              <w:pStyle w:val="NoSpacing"/>
              <w:rPr>
                <w:rFonts w:ascii="Times New Roman" w:hAnsi="Times New Roman"/>
                <w:bCs/>
              </w:rPr>
            </w:pPr>
          </w:p>
        </w:tc>
      </w:tr>
      <w:tr w:rsidR="00F16651" w:rsidRPr="001E6314" w14:paraId="4E4F3C9F" w14:textId="77777777" w:rsidTr="00163867">
        <w:tc>
          <w:tcPr>
            <w:tcW w:w="1486" w:type="pct"/>
          </w:tcPr>
          <w:p w14:paraId="38D0F67E" w14:textId="77777777" w:rsidR="00F16651" w:rsidRPr="001E6314" w:rsidRDefault="00F16651" w:rsidP="00163867">
            <w:pPr>
              <w:rPr>
                <w:rFonts w:ascii="Times New Roman" w:hAnsi="Times New Roman"/>
              </w:rPr>
            </w:pPr>
            <w:r w:rsidRPr="001E6314">
              <w:rPr>
                <w:rFonts w:ascii="Times New Roman" w:hAnsi="Times New Roman"/>
              </w:rPr>
              <w:t>Message A Reminder Text—regular monthly renewals</w:t>
            </w:r>
          </w:p>
        </w:tc>
        <w:tc>
          <w:tcPr>
            <w:tcW w:w="1757" w:type="pct"/>
          </w:tcPr>
          <w:p w14:paraId="438D0C0D"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renew your BadgerCare or Medicaid. To get free, local help, call 877-942-6837 or visit </w:t>
            </w:r>
            <w:hyperlink r:id="rId15"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514251E" w14:textId="77777777" w:rsidR="00F16651" w:rsidRPr="001E6314" w:rsidRDefault="00F16651" w:rsidP="00163867">
            <w:pPr>
              <w:pStyle w:val="NoSpacing"/>
              <w:rPr>
                <w:rFonts w:ascii="Times New Roman" w:hAnsi="Times New Roman"/>
                <w:bCs/>
              </w:rPr>
            </w:pPr>
          </w:p>
          <w:p w14:paraId="40E0B3EF"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Text DONE if you already submitted your renewal. STOP to end.</w:t>
            </w:r>
          </w:p>
        </w:tc>
        <w:tc>
          <w:tcPr>
            <w:tcW w:w="1757" w:type="pct"/>
            <w:shd w:val="clear" w:color="auto" w:fill="BFBFBF" w:themeFill="background1" w:themeFillShade="BF"/>
          </w:tcPr>
          <w:p w14:paraId="0763AEF8"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 xml:space="preserve">Hi again, this is nonprofit Covering WI, for the WI Dept of Health Services, with a reminder that it’s time to renew your BadgerCare or Medicaid. To get free, local help, text COVER to 920-507-5295 or visit </w:t>
            </w:r>
            <w:hyperlink r:id="rId16"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63C1D17" w14:textId="77777777" w:rsidR="00F16651" w:rsidRPr="001E6314" w:rsidRDefault="00F16651" w:rsidP="00163867">
            <w:pPr>
              <w:pStyle w:val="NoSpacing"/>
              <w:rPr>
                <w:rFonts w:ascii="Times New Roman" w:hAnsi="Times New Roman"/>
                <w:bCs/>
              </w:rPr>
            </w:pPr>
          </w:p>
          <w:p w14:paraId="1B34A94A"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Text DONE if you already submitted your renewal. STOP to end.</w:t>
            </w:r>
          </w:p>
        </w:tc>
      </w:tr>
      <w:tr w:rsidR="00F16651" w:rsidRPr="001E6314" w14:paraId="223295BC" w14:textId="77777777" w:rsidTr="00163867">
        <w:tc>
          <w:tcPr>
            <w:tcW w:w="1486" w:type="pct"/>
          </w:tcPr>
          <w:p w14:paraId="50D57734" w14:textId="77777777" w:rsidR="00F16651" w:rsidRPr="001E6314" w:rsidRDefault="00F16651" w:rsidP="00163867">
            <w:pPr>
              <w:rPr>
                <w:rFonts w:ascii="Times New Roman" w:hAnsi="Times New Roman"/>
              </w:rPr>
            </w:pPr>
            <w:r w:rsidRPr="001E6314">
              <w:rPr>
                <w:rFonts w:ascii="Times New Roman" w:hAnsi="Times New Roman"/>
              </w:rPr>
              <w:lastRenderedPageBreak/>
              <w:t>Message B Initial Text</w:t>
            </w:r>
          </w:p>
          <w:p w14:paraId="284ADEC2" w14:textId="77777777" w:rsidR="00F16651" w:rsidRPr="001E6314" w:rsidRDefault="00F16651" w:rsidP="00163867">
            <w:pPr>
              <w:rPr>
                <w:rFonts w:ascii="Times New Roman" w:hAnsi="Times New Roman"/>
              </w:rPr>
            </w:pPr>
          </w:p>
          <w:p w14:paraId="5B507C49" w14:textId="77777777" w:rsidR="00F16651" w:rsidRPr="001E6314" w:rsidRDefault="00F16651" w:rsidP="00163867">
            <w:pPr>
              <w:rPr>
                <w:rFonts w:ascii="Times New Roman" w:hAnsi="Times New Roman"/>
              </w:rPr>
            </w:pPr>
          </w:p>
        </w:tc>
        <w:tc>
          <w:tcPr>
            <w:tcW w:w="1757" w:type="pct"/>
          </w:tcPr>
          <w:p w14:paraId="39BCE51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Lost your BadgerCare or Medicaid? We can help you find other low-cost options. For free, local help, call 877-942-6837 or visit </w:t>
            </w:r>
            <w:hyperlink r:id="rId17"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EAE9F9E" w14:textId="77777777" w:rsidR="00F16651" w:rsidRPr="001E6314" w:rsidRDefault="00F16651" w:rsidP="00163867">
            <w:pPr>
              <w:pStyle w:val="NoSpacing"/>
              <w:rPr>
                <w:rFonts w:ascii="Times New Roman" w:hAnsi="Times New Roman"/>
                <w:bCs/>
              </w:rPr>
            </w:pPr>
          </w:p>
          <w:p w14:paraId="2C2E4392"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 Msg &amp; Data Rates May Apply.</w:t>
            </w:r>
          </w:p>
        </w:tc>
        <w:tc>
          <w:tcPr>
            <w:tcW w:w="1757" w:type="pct"/>
            <w:shd w:val="clear" w:color="auto" w:fill="BFBFBF" w:themeFill="background1" w:themeFillShade="BF"/>
          </w:tcPr>
          <w:p w14:paraId="05E30359"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Lost your BadgerCare or Medicaid? We can help you find other low-cost options. For free, local help, text COVER to 920-507-5295 or visit </w:t>
            </w:r>
            <w:hyperlink r:id="rId18" w:history="1">
              <w:r w:rsidRPr="001E6314">
                <w:rPr>
                  <w:rStyle w:val="Hyperlink"/>
                  <w:rFonts w:ascii="Times New Roman" w:hAnsi="Times New Roman"/>
                  <w:bCs/>
                </w:rPr>
                <w:t>www.coveringwi.org</w:t>
              </w:r>
            </w:hyperlink>
            <w:r w:rsidRPr="001E6314">
              <w:rPr>
                <w:rFonts w:ascii="Times New Roman" w:hAnsi="Times New Roman"/>
                <w:bCs/>
              </w:rPr>
              <w:t>.</w:t>
            </w:r>
          </w:p>
          <w:p w14:paraId="71040F7F" w14:textId="77777777" w:rsidR="00F16651" w:rsidRPr="001E6314" w:rsidRDefault="00F16651" w:rsidP="00163867">
            <w:pPr>
              <w:pStyle w:val="NoSpacing"/>
              <w:rPr>
                <w:rFonts w:ascii="Times New Roman" w:hAnsi="Times New Roman"/>
                <w:bCs/>
              </w:rPr>
            </w:pPr>
          </w:p>
          <w:p w14:paraId="43D374BF"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 Msg &amp; Data Rates May Apply.</w:t>
            </w:r>
          </w:p>
        </w:tc>
      </w:tr>
      <w:tr w:rsidR="00F16651" w:rsidRPr="001E6314" w14:paraId="4F68DDA8" w14:textId="77777777" w:rsidTr="00163867">
        <w:tc>
          <w:tcPr>
            <w:tcW w:w="1486" w:type="pct"/>
          </w:tcPr>
          <w:p w14:paraId="09A718AE" w14:textId="77777777" w:rsidR="00F16651" w:rsidRPr="001E6314" w:rsidRDefault="00F16651" w:rsidP="00163867">
            <w:pPr>
              <w:rPr>
                <w:rFonts w:ascii="Times New Roman" w:hAnsi="Times New Roman"/>
              </w:rPr>
            </w:pPr>
            <w:r w:rsidRPr="001E6314">
              <w:rPr>
                <w:rFonts w:ascii="Times New Roman" w:hAnsi="Times New Roman"/>
              </w:rPr>
              <w:t>Message B Reminder Text</w:t>
            </w:r>
          </w:p>
        </w:tc>
        <w:tc>
          <w:tcPr>
            <w:tcW w:w="1757" w:type="pct"/>
          </w:tcPr>
          <w:p w14:paraId="6A6A7458"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Just a reminder: If you lost your BadgerCare or Medicaid, we can help you find other low-cost options. For free, local help, call 877-942-6837 or visit </w:t>
            </w:r>
            <w:hyperlink r:id="rId19"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0FE4976" w14:textId="77777777" w:rsidR="00F16651" w:rsidRPr="001E6314" w:rsidRDefault="00F16651" w:rsidP="00163867">
            <w:pPr>
              <w:pStyle w:val="NoSpacing"/>
              <w:rPr>
                <w:rFonts w:ascii="Times New Roman" w:hAnsi="Times New Roman"/>
                <w:bCs/>
              </w:rPr>
            </w:pPr>
          </w:p>
          <w:p w14:paraId="0654E027"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w:t>
            </w:r>
          </w:p>
        </w:tc>
        <w:tc>
          <w:tcPr>
            <w:tcW w:w="1757" w:type="pct"/>
            <w:shd w:val="clear" w:color="auto" w:fill="BFBFBF" w:themeFill="background1" w:themeFillShade="BF"/>
          </w:tcPr>
          <w:p w14:paraId="0127F90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Just a reminder: If you lost your BadgerCare or Medicaid, we can help you find other low-cost options. For free, local help, text COVER to 920-507-5295 or visit </w:t>
            </w:r>
            <w:hyperlink r:id="rId20" w:history="1">
              <w:r w:rsidRPr="001E6314">
                <w:rPr>
                  <w:rStyle w:val="Hyperlink"/>
                  <w:rFonts w:ascii="Times New Roman" w:hAnsi="Times New Roman"/>
                  <w:bCs/>
                </w:rPr>
                <w:t>www.coveringwi.org</w:t>
              </w:r>
            </w:hyperlink>
            <w:r w:rsidRPr="001E6314">
              <w:rPr>
                <w:rFonts w:ascii="Times New Roman" w:hAnsi="Times New Roman"/>
                <w:bCs/>
              </w:rPr>
              <w:t>.</w:t>
            </w:r>
          </w:p>
          <w:p w14:paraId="758A7376" w14:textId="77777777" w:rsidR="00F16651" w:rsidRPr="001E6314" w:rsidRDefault="00F16651" w:rsidP="00163867">
            <w:pPr>
              <w:pStyle w:val="NoSpacing"/>
              <w:rPr>
                <w:rFonts w:ascii="Times New Roman" w:hAnsi="Times New Roman"/>
                <w:bCs/>
              </w:rPr>
            </w:pPr>
          </w:p>
          <w:p w14:paraId="5B7C6CDA"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w:t>
            </w:r>
          </w:p>
        </w:tc>
      </w:tr>
      <w:tr w:rsidR="00F16651" w:rsidRPr="001E6314" w14:paraId="7C25E500" w14:textId="77777777" w:rsidTr="00163867">
        <w:tc>
          <w:tcPr>
            <w:tcW w:w="1486" w:type="pct"/>
          </w:tcPr>
          <w:p w14:paraId="050C568B" w14:textId="77777777" w:rsidR="00F16651" w:rsidRPr="001E6314" w:rsidRDefault="00F16651" w:rsidP="00163867">
            <w:pPr>
              <w:rPr>
                <w:rFonts w:ascii="Times New Roman" w:hAnsi="Times New Roman"/>
              </w:rPr>
            </w:pPr>
            <w:r w:rsidRPr="001E6314">
              <w:rPr>
                <w:rFonts w:ascii="Times New Roman" w:hAnsi="Times New Roman"/>
              </w:rPr>
              <w:t>Auto-Reply: DONE</w:t>
            </w:r>
          </w:p>
        </w:tc>
        <w:tc>
          <w:tcPr>
            <w:tcW w:w="1757" w:type="pct"/>
          </w:tcPr>
          <w:p w14:paraId="4560C42C" w14:textId="77777777" w:rsidR="00F16651" w:rsidRPr="001E6314" w:rsidRDefault="00F16651" w:rsidP="00163867">
            <w:pPr>
              <w:pStyle w:val="NoSpacing"/>
              <w:rPr>
                <w:rFonts w:ascii="Times New Roman" w:hAnsi="Times New Roman"/>
                <w:bCs/>
              </w:rPr>
            </w:pPr>
            <w:r w:rsidRPr="001E6314">
              <w:rPr>
                <w:rFonts w:ascii="Times New Roman" w:hAnsi="Times New Roman"/>
                <w:bCs/>
              </w:rPr>
              <w:t>Thank you for letting us know! You will not receive a reminder message. Have questions or need help finding other low-cost insurance options? Call us at 1-877-942-6837 to get free, local help.</w:t>
            </w:r>
          </w:p>
        </w:tc>
        <w:tc>
          <w:tcPr>
            <w:tcW w:w="1757" w:type="pct"/>
          </w:tcPr>
          <w:p w14:paraId="2C52B63C" w14:textId="77777777" w:rsidR="00F16651" w:rsidRPr="001E6314" w:rsidRDefault="00F16651" w:rsidP="00163867">
            <w:pPr>
              <w:pStyle w:val="NoSpacing"/>
              <w:rPr>
                <w:rFonts w:ascii="Times New Roman" w:hAnsi="Times New Roman"/>
                <w:bCs/>
              </w:rPr>
            </w:pPr>
            <w:r w:rsidRPr="001E6314">
              <w:rPr>
                <w:rFonts w:ascii="Times New Roman" w:hAnsi="Times New Roman"/>
                <w:bCs/>
              </w:rPr>
              <w:t>Thank you for letting us know! You will not receive a reminder message. Have questions or need help finding other low-cost insurance options? Text COVER to 920-507-5295 to get free, local help.</w:t>
            </w:r>
          </w:p>
        </w:tc>
      </w:tr>
      <w:tr w:rsidR="00F16651" w:rsidRPr="001E6314" w14:paraId="4F8BA9DB" w14:textId="77777777" w:rsidTr="00163867">
        <w:tc>
          <w:tcPr>
            <w:tcW w:w="1486" w:type="pct"/>
          </w:tcPr>
          <w:p w14:paraId="54CF1C99" w14:textId="77777777" w:rsidR="00F16651" w:rsidRPr="001E6314" w:rsidRDefault="00F16651" w:rsidP="00163867">
            <w:pPr>
              <w:rPr>
                <w:rFonts w:ascii="Times New Roman" w:hAnsi="Times New Roman"/>
              </w:rPr>
            </w:pPr>
            <w:r w:rsidRPr="001E6314">
              <w:rPr>
                <w:rFonts w:ascii="Times New Roman" w:hAnsi="Times New Roman"/>
              </w:rPr>
              <w:t>Auto-Reply: [Other text]</w:t>
            </w:r>
          </w:p>
        </w:tc>
        <w:tc>
          <w:tcPr>
            <w:tcW w:w="1757" w:type="pct"/>
          </w:tcPr>
          <w:p w14:paraId="2888ED21"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we don’t check this inbox. Call us at 877-942-6837 to get in touch. Or visit </w:t>
            </w:r>
            <w:hyperlink r:id="rId21" w:history="1">
              <w:r w:rsidRPr="001E6314">
                <w:rPr>
                  <w:rStyle w:val="Hyperlink"/>
                  <w:rFonts w:ascii="Times New Roman" w:hAnsi="Times New Roman"/>
                  <w:bCs/>
                </w:rPr>
                <w:t>www.coveringwi.org</w:t>
              </w:r>
            </w:hyperlink>
            <w:r w:rsidRPr="001E6314">
              <w:rPr>
                <w:rFonts w:ascii="Times New Roman" w:hAnsi="Times New Roman"/>
                <w:bCs/>
              </w:rPr>
              <w:t>. Text STOP to end.</w:t>
            </w:r>
          </w:p>
        </w:tc>
        <w:tc>
          <w:tcPr>
            <w:tcW w:w="1757" w:type="pct"/>
          </w:tcPr>
          <w:p w14:paraId="27FDD2C5"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we don’t check this inbox. Text COVER to 920-507-5295 to get in touch. Or visit </w:t>
            </w:r>
            <w:hyperlink r:id="rId22" w:history="1">
              <w:r w:rsidRPr="001E6314">
                <w:rPr>
                  <w:rStyle w:val="Hyperlink"/>
                  <w:rFonts w:ascii="Times New Roman" w:hAnsi="Times New Roman"/>
                  <w:bCs/>
                </w:rPr>
                <w:t>www.coveringwi.org</w:t>
              </w:r>
            </w:hyperlink>
            <w:r w:rsidRPr="001E6314">
              <w:rPr>
                <w:rFonts w:ascii="Times New Roman" w:hAnsi="Times New Roman"/>
                <w:bCs/>
              </w:rPr>
              <w:t>. Text STOP to end.</w:t>
            </w:r>
          </w:p>
        </w:tc>
      </w:tr>
      <w:tr w:rsidR="00F16651" w:rsidRPr="001E6314" w14:paraId="0B4780D2" w14:textId="77777777" w:rsidTr="00163867">
        <w:tc>
          <w:tcPr>
            <w:tcW w:w="1486" w:type="pct"/>
          </w:tcPr>
          <w:p w14:paraId="3C000BAD" w14:textId="77777777" w:rsidR="00F16651" w:rsidRPr="001E6314" w:rsidRDefault="00F16651" w:rsidP="00163867">
            <w:pPr>
              <w:rPr>
                <w:rFonts w:ascii="Times New Roman" w:hAnsi="Times New Roman"/>
              </w:rPr>
            </w:pPr>
            <w:r w:rsidRPr="001E6314">
              <w:rPr>
                <w:rFonts w:ascii="Times New Roman" w:hAnsi="Times New Roman"/>
              </w:rPr>
              <w:t>Auto-Reply: [Inbound Voice call]</w:t>
            </w:r>
          </w:p>
        </w:tc>
        <w:tc>
          <w:tcPr>
            <w:tcW w:w="1757" w:type="pct"/>
          </w:tcPr>
          <w:p w14:paraId="68CCD2D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this number does not take voice calls. Call us at 877-942-6837 to get in touch. Or visit </w:t>
            </w:r>
            <w:hyperlink r:id="rId23" w:history="1">
              <w:r w:rsidRPr="001E6314">
                <w:rPr>
                  <w:rStyle w:val="Hyperlink"/>
                  <w:rFonts w:ascii="Times New Roman" w:hAnsi="Times New Roman"/>
                  <w:bCs/>
                </w:rPr>
                <w:t>www.coveringwi.org</w:t>
              </w:r>
            </w:hyperlink>
            <w:r w:rsidRPr="001E6314">
              <w:rPr>
                <w:rFonts w:ascii="Times New Roman" w:hAnsi="Times New Roman"/>
                <w:bCs/>
              </w:rPr>
              <w:t>. STOP to end.</w:t>
            </w:r>
          </w:p>
        </w:tc>
        <w:tc>
          <w:tcPr>
            <w:tcW w:w="1757" w:type="pct"/>
          </w:tcPr>
          <w:p w14:paraId="14C2ABDA"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this number does not take voice calls. Text COVER to 920-507-5295 to get in touch. Or visit </w:t>
            </w:r>
            <w:hyperlink r:id="rId24" w:history="1">
              <w:r w:rsidRPr="001E6314">
                <w:rPr>
                  <w:rStyle w:val="Hyperlink"/>
                  <w:rFonts w:ascii="Times New Roman" w:hAnsi="Times New Roman"/>
                  <w:bCs/>
                </w:rPr>
                <w:t>www.coveringwi.org</w:t>
              </w:r>
            </w:hyperlink>
            <w:r w:rsidRPr="001E6314">
              <w:rPr>
                <w:rFonts w:ascii="Times New Roman" w:hAnsi="Times New Roman"/>
                <w:bCs/>
              </w:rPr>
              <w:t>. Text STOP to end.</w:t>
            </w:r>
          </w:p>
        </w:tc>
      </w:tr>
      <w:tr w:rsidR="00F16651" w:rsidRPr="001E6314" w14:paraId="180A387A" w14:textId="77777777" w:rsidTr="00163867">
        <w:tc>
          <w:tcPr>
            <w:tcW w:w="1486" w:type="pct"/>
          </w:tcPr>
          <w:p w14:paraId="5125BBB9" w14:textId="77777777" w:rsidR="00F16651" w:rsidRPr="001E6314" w:rsidRDefault="00F16651" w:rsidP="00163867">
            <w:pPr>
              <w:rPr>
                <w:rFonts w:ascii="Times New Roman" w:hAnsi="Times New Roman"/>
                <w:color w:val="00B050"/>
              </w:rPr>
            </w:pPr>
            <w:r w:rsidRPr="001E6314">
              <w:rPr>
                <w:rFonts w:ascii="Times New Roman" w:hAnsi="Times New Roman"/>
              </w:rPr>
              <w:t>Auto-Reply: STOP</w:t>
            </w:r>
          </w:p>
        </w:tc>
        <w:tc>
          <w:tcPr>
            <w:tcW w:w="3514" w:type="pct"/>
            <w:gridSpan w:val="2"/>
          </w:tcPr>
          <w:p w14:paraId="2F9F9454" w14:textId="77777777" w:rsidR="00F16651" w:rsidRPr="001E6314" w:rsidRDefault="00F16651" w:rsidP="00163867">
            <w:pPr>
              <w:pStyle w:val="NoSpacing"/>
              <w:rPr>
                <w:rFonts w:ascii="Times New Roman" w:hAnsi="Times New Roman"/>
                <w:bCs/>
              </w:rPr>
            </w:pPr>
            <w:r w:rsidRPr="001E6314">
              <w:rPr>
                <w:rFonts w:ascii="Times New Roman" w:hAnsi="Times New Roman"/>
                <w:bCs/>
              </w:rPr>
              <w:t>You have successfully opted out. Covering Wisconsin will stop sending texts to this number.</w:t>
            </w:r>
          </w:p>
        </w:tc>
      </w:tr>
    </w:tbl>
    <w:p w14:paraId="5B25719E" w14:textId="77777777"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512AC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FRONT</w:t>
            </w:r>
          </w:p>
          <w:p w14:paraId="7F26DD9D" w14:textId="4F933C9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Worried about losing health insurance? [</w:t>
            </w:r>
            <w:r w:rsidRPr="00881AAD">
              <w:rPr>
                <w:rFonts w:ascii="Calibri" w:eastAsia="Times New Roman" w:hAnsi="Calibri" w:cs="Calibri"/>
                <w:i/>
                <w:iCs/>
                <w:color w:val="212121"/>
              </w:rPr>
              <w:t>Second round of outreach cards use instead this text:</w:t>
            </w:r>
            <w:r w:rsidRPr="00512ACD">
              <w:rPr>
                <w:rFonts w:ascii="Calibri" w:eastAsia="Times New Roman" w:hAnsi="Calibri" w:cs="Calibri"/>
                <w:i/>
                <w:iCs/>
                <w:color w:val="212121"/>
              </w:rPr>
              <w:t> </w:t>
            </w:r>
            <w:r w:rsidRPr="00512ACD">
              <w:rPr>
                <w:rFonts w:ascii="Calibri" w:eastAsia="Times New Roman" w:hAnsi="Calibri" w:cs="Calibri"/>
                <w:color w:val="212121"/>
              </w:rPr>
              <w:t>Need help with health insurance?]</w:t>
            </w:r>
          </w:p>
          <w:p w14:paraId="1110CCC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Get </w:t>
            </w:r>
            <w:r w:rsidRPr="00512ACD">
              <w:rPr>
                <w:rFonts w:ascii="Calibri" w:eastAsia="Times New Roman" w:hAnsi="Calibri" w:cs="Calibri"/>
                <w:b/>
                <w:bCs/>
                <w:color w:val="212121"/>
              </w:rPr>
              <w:t>free local help</w:t>
            </w:r>
            <w:r w:rsidRPr="00512ACD">
              <w:rPr>
                <w:rFonts w:ascii="Calibri" w:eastAsia="Times New Roman" w:hAnsi="Calibri" w:cs="Calibri"/>
                <w:color w:val="212121"/>
              </w:rPr>
              <w:t> to renew, apply for coverage, or find financial help</w:t>
            </w:r>
          </w:p>
          <w:p w14:paraId="4C8D4BD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[CWI logo] (877) 942-6837</w:t>
            </w:r>
          </w:p>
        </w:tc>
      </w:tr>
      <w:tr w:rsidR="00881AAD" w:rsidRPr="00512AC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BACK</w:t>
            </w:r>
          </w:p>
          <w:p w14:paraId="035C78B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Covering Wisconsin is a nonprofit program of UW Extension that helps people in Wisconsin find and use health insurance. </w:t>
            </w:r>
          </w:p>
          <w:p w14:paraId="0D905B27"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Our federal and state-licensed Health Insurance Navigators provide free help to:</w:t>
            </w:r>
          </w:p>
          <w:p w14:paraId="7605AA00"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 Help you apply or renew</w:t>
            </w:r>
          </w:p>
          <w:p w14:paraId="5257C31A"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Know your plan options</w:t>
            </w:r>
          </w:p>
          <w:p w14:paraId="0BE49517"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Solve billing or coverage questions</w:t>
            </w:r>
          </w:p>
          <w:p w14:paraId="5B384242"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Find financial help available to you</w:t>
            </w:r>
          </w:p>
          <w:p w14:paraId="1852D2F1"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To learn more:</w:t>
            </w:r>
          </w:p>
          <w:p w14:paraId="3C732FC8"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(877) 942-6837</w:t>
            </w:r>
          </w:p>
          <w:p w14:paraId="29FCE965" w14:textId="77777777" w:rsidR="00881AAD" w:rsidRPr="00512ACD" w:rsidRDefault="00000000" w:rsidP="00163867">
            <w:pPr>
              <w:spacing w:after="60"/>
              <w:rPr>
                <w:rFonts w:ascii="Calibri" w:eastAsia="Times New Roman" w:hAnsi="Calibri" w:cs="Calibri"/>
                <w:color w:val="212121"/>
              </w:rPr>
            </w:pPr>
            <w:hyperlink r:id="rId25" w:tooltip="http://www.coveringwi.org" w:history="1">
              <w:r w:rsidR="00881AAD" w:rsidRPr="00512ACD">
                <w:rPr>
                  <w:rFonts w:ascii="Calibri" w:eastAsia="Times New Roman" w:hAnsi="Calibri" w:cs="Calibri"/>
                  <w:color w:val="0078D7"/>
                  <w:u w:val="single"/>
                </w:rPr>
                <w:t>www.coveringwi.org</w:t>
              </w:r>
            </w:hyperlink>
            <w:r w:rsidR="00881AAD" w:rsidRPr="00512ACD">
              <w:rPr>
                <w:rFonts w:ascii="Calibri" w:eastAsia="Times New Roman" w:hAnsi="Calibri" w:cs="Calibri"/>
                <w:color w:val="212121"/>
              </w:rPr>
              <w:t> [landing page URL tk]</w:t>
            </w:r>
          </w:p>
          <w:p w14:paraId="66928415"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[QR code] Scan with your phone camera</w:t>
            </w:r>
          </w:p>
        </w:tc>
      </w:tr>
      <w:tr w:rsidR="00881AAD" w:rsidRPr="00512AC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512ACD" w:rsidRDefault="00881AAD" w:rsidP="00163867">
            <w:pPr>
              <w:spacing w:after="60"/>
              <w:rPr>
                <w:rFonts w:ascii="Calibri" w:eastAsia="Times New Roman" w:hAnsi="Calibri" w:cs="Calibri"/>
                <w:color w:val="212121"/>
                <w:u w:val="single"/>
              </w:rPr>
            </w:pP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5257" w14:textId="77777777" w:rsidR="00FF4E1F" w:rsidRDefault="00FF4E1F" w:rsidP="007A16D8">
      <w:pPr>
        <w:spacing w:after="0" w:line="240" w:lineRule="auto"/>
      </w:pPr>
      <w:r>
        <w:separator/>
      </w:r>
    </w:p>
  </w:endnote>
  <w:endnote w:type="continuationSeparator" w:id="0">
    <w:p w14:paraId="3721AC51" w14:textId="77777777" w:rsidR="00FF4E1F" w:rsidRDefault="00FF4E1F"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11FE" w14:textId="77777777" w:rsidR="00FF4E1F" w:rsidRDefault="00FF4E1F" w:rsidP="007A16D8">
      <w:pPr>
        <w:spacing w:after="0" w:line="240" w:lineRule="auto"/>
      </w:pPr>
      <w:r>
        <w:separator/>
      </w:r>
    </w:p>
  </w:footnote>
  <w:footnote w:type="continuationSeparator" w:id="0">
    <w:p w14:paraId="215EB3E1" w14:textId="77777777" w:rsidR="00FF4E1F" w:rsidRDefault="00FF4E1F" w:rsidP="007A16D8">
      <w:pPr>
        <w:spacing w:after="0" w:line="240" w:lineRule="auto"/>
      </w:pPr>
      <w:r>
        <w:continuationSeparator/>
      </w:r>
    </w:p>
  </w:footnote>
  <w:footnote w:id="1">
    <w:p w14:paraId="45806AAD" w14:textId="73A74210"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Medicaid eligibility categories defined at the household level indicate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 </w:t>
      </w:r>
      <w:r w:rsidR="00B353EC" w:rsidRPr="00B353EC">
        <w:rPr>
          <w:rFonts w:ascii="Times New Roman" w:hAnsi="Times New Roman"/>
        </w:rPr>
        <w:t>“manually extended” population</w:t>
      </w:r>
      <w:r w:rsidR="00B353EC">
        <w:rPr>
          <w:rFonts w:ascii="Times New Roman" w:hAnsi="Times New Roman"/>
        </w:rPr>
        <w:t>.</w:t>
      </w:r>
      <w:r w:rsidRPr="00F204C4">
        <w:rPr>
          <w:rFonts w:ascii="Times New Roman" w:hAnsi="Times New Roman"/>
        </w:rPr>
        <w:t xml:space="preserve">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0"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19"/>
  </w:num>
  <w:num w:numId="2" w16cid:durableId="1717467524">
    <w:abstractNumId w:val="17"/>
  </w:num>
  <w:num w:numId="3" w16cid:durableId="38018224">
    <w:abstractNumId w:val="16"/>
  </w:num>
  <w:num w:numId="4" w16cid:durableId="1144204498">
    <w:abstractNumId w:val="6"/>
  </w:num>
  <w:num w:numId="5" w16cid:durableId="904529698">
    <w:abstractNumId w:val="7"/>
  </w:num>
  <w:num w:numId="6" w16cid:durableId="20475913">
    <w:abstractNumId w:val="2"/>
  </w:num>
  <w:num w:numId="7" w16cid:durableId="1816023964">
    <w:abstractNumId w:val="18"/>
  </w:num>
  <w:num w:numId="8" w16cid:durableId="484203950">
    <w:abstractNumId w:val="15"/>
  </w:num>
  <w:num w:numId="9" w16cid:durableId="911810951">
    <w:abstractNumId w:val="10"/>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4"/>
  </w:num>
  <w:num w:numId="15" w16cid:durableId="989217341">
    <w:abstractNumId w:val="9"/>
  </w:num>
  <w:num w:numId="16" w16cid:durableId="1497380776">
    <w:abstractNumId w:val="13"/>
  </w:num>
  <w:num w:numId="17" w16cid:durableId="743651575">
    <w:abstractNumId w:val="11"/>
  </w:num>
  <w:num w:numId="18" w16cid:durableId="654728224">
    <w:abstractNumId w:val="21"/>
  </w:num>
  <w:num w:numId="19" w16cid:durableId="1291746285">
    <w:abstractNumId w:val="4"/>
  </w:num>
  <w:num w:numId="20" w16cid:durableId="926381501">
    <w:abstractNumId w:val="12"/>
  </w:num>
  <w:num w:numId="21" w16cid:durableId="921984436">
    <w:abstractNumId w:val="20"/>
  </w:num>
  <w:num w:numId="22" w16cid:durableId="199368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47C3C"/>
    <w:rsid w:val="000B2069"/>
    <w:rsid w:val="001419C2"/>
    <w:rsid w:val="001543E3"/>
    <w:rsid w:val="00176564"/>
    <w:rsid w:val="00192AF0"/>
    <w:rsid w:val="001B7FE8"/>
    <w:rsid w:val="001D15CA"/>
    <w:rsid w:val="001E6314"/>
    <w:rsid w:val="00243B17"/>
    <w:rsid w:val="00285C69"/>
    <w:rsid w:val="002A79C6"/>
    <w:rsid w:val="002C18DA"/>
    <w:rsid w:val="003124E8"/>
    <w:rsid w:val="00313611"/>
    <w:rsid w:val="00327FC0"/>
    <w:rsid w:val="00385BF0"/>
    <w:rsid w:val="003F330C"/>
    <w:rsid w:val="003F4984"/>
    <w:rsid w:val="0041621E"/>
    <w:rsid w:val="00426024"/>
    <w:rsid w:val="004E1AD1"/>
    <w:rsid w:val="00500CB0"/>
    <w:rsid w:val="005411CF"/>
    <w:rsid w:val="00547D12"/>
    <w:rsid w:val="00550FB7"/>
    <w:rsid w:val="00575A43"/>
    <w:rsid w:val="00584008"/>
    <w:rsid w:val="005B4944"/>
    <w:rsid w:val="005D029E"/>
    <w:rsid w:val="005E6428"/>
    <w:rsid w:val="006004D8"/>
    <w:rsid w:val="00691FB3"/>
    <w:rsid w:val="006B35B1"/>
    <w:rsid w:val="006C57F4"/>
    <w:rsid w:val="00717B4B"/>
    <w:rsid w:val="00735F02"/>
    <w:rsid w:val="0073761D"/>
    <w:rsid w:val="007516C2"/>
    <w:rsid w:val="00794055"/>
    <w:rsid w:val="007956EC"/>
    <w:rsid w:val="007A16D8"/>
    <w:rsid w:val="007F0551"/>
    <w:rsid w:val="008022C3"/>
    <w:rsid w:val="008102A1"/>
    <w:rsid w:val="008356FD"/>
    <w:rsid w:val="008561A9"/>
    <w:rsid w:val="00860CBA"/>
    <w:rsid w:val="00881AAD"/>
    <w:rsid w:val="00892E1B"/>
    <w:rsid w:val="008A30EB"/>
    <w:rsid w:val="008B089E"/>
    <w:rsid w:val="008B4011"/>
    <w:rsid w:val="008C328E"/>
    <w:rsid w:val="008D0028"/>
    <w:rsid w:val="008D2D5F"/>
    <w:rsid w:val="008E29B8"/>
    <w:rsid w:val="00952BC6"/>
    <w:rsid w:val="009630B7"/>
    <w:rsid w:val="00977E83"/>
    <w:rsid w:val="009A5274"/>
    <w:rsid w:val="009F1D40"/>
    <w:rsid w:val="009F38F0"/>
    <w:rsid w:val="00A30FE5"/>
    <w:rsid w:val="00A35D72"/>
    <w:rsid w:val="00A406C7"/>
    <w:rsid w:val="00A428B7"/>
    <w:rsid w:val="00AA51F0"/>
    <w:rsid w:val="00B1409C"/>
    <w:rsid w:val="00B158E4"/>
    <w:rsid w:val="00B353EC"/>
    <w:rsid w:val="00B478CC"/>
    <w:rsid w:val="00B66F4D"/>
    <w:rsid w:val="00B777FE"/>
    <w:rsid w:val="00B942DE"/>
    <w:rsid w:val="00BB4943"/>
    <w:rsid w:val="00BE58CE"/>
    <w:rsid w:val="00C15A7C"/>
    <w:rsid w:val="00C21327"/>
    <w:rsid w:val="00C23E13"/>
    <w:rsid w:val="00C5314B"/>
    <w:rsid w:val="00C677E7"/>
    <w:rsid w:val="00C71313"/>
    <w:rsid w:val="00C71F5C"/>
    <w:rsid w:val="00C76933"/>
    <w:rsid w:val="00CA4D1B"/>
    <w:rsid w:val="00CE43CE"/>
    <w:rsid w:val="00CF122E"/>
    <w:rsid w:val="00D02EA6"/>
    <w:rsid w:val="00D7768A"/>
    <w:rsid w:val="00D92B2E"/>
    <w:rsid w:val="00DC16AD"/>
    <w:rsid w:val="00E411A0"/>
    <w:rsid w:val="00E7777D"/>
    <w:rsid w:val="00E83787"/>
    <w:rsid w:val="00EB7764"/>
    <w:rsid w:val="00F07412"/>
    <w:rsid w:val="00F16651"/>
    <w:rsid w:val="00F22CEE"/>
    <w:rsid w:val="00F23C00"/>
    <w:rsid w:val="00F2566D"/>
    <w:rsid w:val="00F5369D"/>
    <w:rsid w:val="00F5455D"/>
    <w:rsid w:val="00F5539E"/>
    <w:rsid w:val="00F5731B"/>
    <w:rsid w:val="00F662F9"/>
    <w:rsid w:val="00F82A67"/>
    <w:rsid w:val="00F840D1"/>
    <w:rsid w:val="00F935DF"/>
    <w:rsid w:val="00FD22C4"/>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veringwi.org" TargetMode="External"/><Relationship Id="rId18" Type="http://schemas.openxmlformats.org/officeDocument/2006/relationships/hyperlink" Target="http://www.coveringw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veringwi.org" TargetMode="External"/><Relationship Id="rId7" Type="http://schemas.openxmlformats.org/officeDocument/2006/relationships/endnotes" Target="endnotes.xml"/><Relationship Id="rId12" Type="http://schemas.openxmlformats.org/officeDocument/2006/relationships/hyperlink" Target="http://www.coveringwi.org" TargetMode="External"/><Relationship Id="rId17" Type="http://schemas.openxmlformats.org/officeDocument/2006/relationships/hyperlink" Target="http://www.coveringwi.org" TargetMode="External"/><Relationship Id="rId25" Type="http://schemas.openxmlformats.org/officeDocument/2006/relationships/hyperlink" Target="http://www.coveringwi.org" TargetMode="External"/><Relationship Id="rId2" Type="http://schemas.openxmlformats.org/officeDocument/2006/relationships/numbering" Target="numbering.xml"/><Relationship Id="rId16" Type="http://schemas.openxmlformats.org/officeDocument/2006/relationships/hyperlink" Target="http://www.coveringwi.org" TargetMode="External"/><Relationship Id="rId20" Type="http://schemas.openxmlformats.org/officeDocument/2006/relationships/hyperlink" Target="http://www.coveringw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ringwi.org" TargetMode="External"/><Relationship Id="rId24" Type="http://schemas.openxmlformats.org/officeDocument/2006/relationships/hyperlink" Target="http://www.coveringwi.org" TargetMode="External"/><Relationship Id="rId5" Type="http://schemas.openxmlformats.org/officeDocument/2006/relationships/webSettings" Target="webSettings.xml"/><Relationship Id="rId15" Type="http://schemas.openxmlformats.org/officeDocument/2006/relationships/hyperlink" Target="http://www.coveringwi.org" TargetMode="External"/><Relationship Id="rId23" Type="http://schemas.openxmlformats.org/officeDocument/2006/relationships/hyperlink" Target="http://www.coveringwi.org" TargetMode="External"/><Relationship Id="rId10" Type="http://schemas.openxmlformats.org/officeDocument/2006/relationships/hyperlink" Target="http://www.coveringwi.org" TargetMode="External"/><Relationship Id="rId19" Type="http://schemas.openxmlformats.org/officeDocument/2006/relationships/hyperlink" Target="http://www.coveringwi.org" TargetMode="External"/><Relationship Id="rId4" Type="http://schemas.openxmlformats.org/officeDocument/2006/relationships/settings" Target="settings.xml"/><Relationship Id="rId9" Type="http://schemas.openxmlformats.org/officeDocument/2006/relationships/hyperlink" Target="http://www.coveringwi.org" TargetMode="External"/><Relationship Id="rId14" Type="http://schemas.openxmlformats.org/officeDocument/2006/relationships/hyperlink" Target="http://www.coveringwi.org" TargetMode="External"/><Relationship Id="rId22" Type="http://schemas.openxmlformats.org/officeDocument/2006/relationships/hyperlink" Target="http://www.coveringw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22341</Words>
  <Characters>127350</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3</cp:revision>
  <dcterms:created xsi:type="dcterms:W3CDTF">2023-04-03T15:39:00Z</dcterms:created>
  <dcterms:modified xsi:type="dcterms:W3CDTF">2023-04-03T15:40:00Z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