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58C5" w14:textId="77777777" w:rsidR="00096408" w:rsidRPr="00ED30E1" w:rsidRDefault="00096408" w:rsidP="00096408">
      <w:pPr>
        <w:rPr>
          <w:b/>
          <w:bCs/>
        </w:rPr>
      </w:pPr>
      <w:r w:rsidRPr="00ED30E1">
        <w:rPr>
          <w:b/>
          <w:bCs/>
        </w:rPr>
        <w:t>Title</w:t>
      </w:r>
    </w:p>
    <w:p w14:paraId="50C83649" w14:textId="77777777" w:rsidR="00096408" w:rsidRPr="00ED30E1" w:rsidRDefault="00096408" w:rsidP="00096408">
      <w:r w:rsidRPr="00ED30E1">
        <w:t>Co-producing environmental conservation and social equity: Is conditionality in Payments for</w:t>
      </w:r>
    </w:p>
    <w:p w14:paraId="2BD77B9E" w14:textId="77777777" w:rsidR="00096408" w:rsidRPr="00ED30E1" w:rsidRDefault="00096408" w:rsidP="00096408">
      <w:r w:rsidRPr="00ED30E1">
        <w:t>Ecosystem Services a necessity or impediment?</w:t>
      </w:r>
    </w:p>
    <w:p w14:paraId="04AE21DC" w14:textId="77777777" w:rsidR="00096408" w:rsidRPr="00ED30E1" w:rsidRDefault="00096408" w:rsidP="00096408"/>
    <w:p w14:paraId="2755B703" w14:textId="77777777" w:rsidR="00096408" w:rsidRPr="00ED30E1" w:rsidRDefault="00096408" w:rsidP="00096408">
      <w:pPr>
        <w:rPr>
          <w:b/>
          <w:bCs/>
        </w:rPr>
      </w:pPr>
      <w:r w:rsidRPr="00ED30E1">
        <w:rPr>
          <w:b/>
          <w:bCs/>
        </w:rPr>
        <w:t>RCT ID</w:t>
      </w:r>
    </w:p>
    <w:p w14:paraId="1E5AA983" w14:textId="77777777" w:rsidR="00814A91" w:rsidRPr="00ED30E1" w:rsidRDefault="00096408" w:rsidP="00096408">
      <w:r w:rsidRPr="00ED30E1">
        <w:t>AEARCTR-0008286</w:t>
      </w:r>
    </w:p>
    <w:p w14:paraId="1725BBA4" w14:textId="77777777" w:rsidR="00096408" w:rsidRPr="00ED30E1" w:rsidRDefault="00096408" w:rsidP="00096408"/>
    <w:p w14:paraId="1D9C4D22" w14:textId="0E2CEF22" w:rsidR="00096408" w:rsidRPr="00ED30E1" w:rsidRDefault="00096408" w:rsidP="00096408">
      <w:pPr>
        <w:rPr>
          <w:b/>
          <w:bCs/>
        </w:rPr>
      </w:pPr>
      <w:r w:rsidRPr="00ED30E1">
        <w:rPr>
          <w:b/>
          <w:bCs/>
        </w:rPr>
        <w:t>Update</w:t>
      </w:r>
      <w:r w:rsidR="00BC08B2" w:rsidRPr="00C247DB">
        <w:rPr>
          <w:b/>
          <w:bCs/>
        </w:rPr>
        <w:t>s</w:t>
      </w:r>
      <w:r w:rsidRPr="00ED30E1">
        <w:rPr>
          <w:b/>
          <w:bCs/>
        </w:rPr>
        <w:t xml:space="preserve"> to registry, </w:t>
      </w:r>
      <w:r w:rsidR="00727403">
        <w:rPr>
          <w:b/>
          <w:bCs/>
        </w:rPr>
        <w:t>December</w:t>
      </w:r>
      <w:r w:rsidRPr="00ED30E1">
        <w:rPr>
          <w:b/>
          <w:bCs/>
        </w:rPr>
        <w:t xml:space="preserve"> 2022</w:t>
      </w:r>
    </w:p>
    <w:p w14:paraId="1047E0EE" w14:textId="247DC14E" w:rsidR="00096408" w:rsidRDefault="00096408" w:rsidP="00096408">
      <w:pPr>
        <w:pStyle w:val="ListParagraph"/>
        <w:numPr>
          <w:ilvl w:val="0"/>
          <w:numId w:val="1"/>
        </w:numPr>
      </w:pPr>
      <w:r w:rsidRPr="00ED30E1">
        <w:t>Set end date to 2023-12-31 (instead of 2022-12-31)</w:t>
      </w:r>
    </w:p>
    <w:p w14:paraId="076DA06F" w14:textId="614E883F" w:rsidR="005E7E68" w:rsidRPr="00ED30E1" w:rsidRDefault="005E7E68" w:rsidP="00096408">
      <w:pPr>
        <w:pStyle w:val="ListParagraph"/>
        <w:numPr>
          <w:ilvl w:val="0"/>
          <w:numId w:val="1"/>
        </w:numPr>
      </w:pPr>
      <w:r>
        <w:t>Add IRB protocol number for 2021 data collection</w:t>
      </w:r>
    </w:p>
    <w:p w14:paraId="308CBA31" w14:textId="77777777" w:rsidR="00096408" w:rsidRPr="00ED30E1" w:rsidRDefault="00096408" w:rsidP="00096408">
      <w:pPr>
        <w:pStyle w:val="ListParagraph"/>
        <w:numPr>
          <w:ilvl w:val="0"/>
          <w:numId w:val="1"/>
        </w:numPr>
      </w:pPr>
      <w:r w:rsidRPr="00ED30E1">
        <w:t>Add analysis plan (below)</w:t>
      </w:r>
    </w:p>
    <w:p w14:paraId="21CFB854" w14:textId="77777777" w:rsidR="00096408" w:rsidRPr="00ED30E1" w:rsidRDefault="00096408" w:rsidP="00096408"/>
    <w:p w14:paraId="38DF2FC7" w14:textId="77777777" w:rsidR="00096408" w:rsidRPr="00ED30E1" w:rsidRDefault="00096408" w:rsidP="00096408">
      <w:pPr>
        <w:rPr>
          <w:b/>
          <w:bCs/>
        </w:rPr>
      </w:pPr>
      <w:r w:rsidRPr="00ED30E1">
        <w:rPr>
          <w:b/>
          <w:bCs/>
        </w:rPr>
        <w:t>Analysis plan</w:t>
      </w:r>
    </w:p>
    <w:p w14:paraId="6538C726" w14:textId="77777777" w:rsidR="00B923DB" w:rsidRPr="00ED30E1" w:rsidRDefault="00C631A3" w:rsidP="00B923DB">
      <w:pPr>
        <w:rPr>
          <w:u w:val="single"/>
        </w:rPr>
      </w:pPr>
      <w:r w:rsidRPr="00ED30E1">
        <w:rPr>
          <w:u w:val="single"/>
        </w:rPr>
        <w:t>D</w:t>
      </w:r>
      <w:r w:rsidR="00B923DB" w:rsidRPr="00ED30E1">
        <w:rPr>
          <w:u w:val="single"/>
        </w:rPr>
        <w:t>ata sources</w:t>
      </w:r>
    </w:p>
    <w:p w14:paraId="4E3CDF2F" w14:textId="77777777" w:rsidR="00606D22" w:rsidRPr="00ED30E1" w:rsidRDefault="003F7DA9" w:rsidP="005B5E7A">
      <w:pPr>
        <w:pStyle w:val="ListParagraph"/>
        <w:numPr>
          <w:ilvl w:val="0"/>
          <w:numId w:val="3"/>
        </w:numPr>
        <w:rPr>
          <w:lang w:val="es-BO"/>
        </w:rPr>
      </w:pPr>
      <w:r w:rsidRPr="00ED30E1">
        <w:rPr>
          <w:lang w:val="es-BO"/>
        </w:rPr>
        <w:t xml:space="preserve">Fundación </w:t>
      </w:r>
      <w:r w:rsidR="00606D22" w:rsidRPr="00ED30E1">
        <w:rPr>
          <w:lang w:val="es-BO"/>
        </w:rPr>
        <w:t xml:space="preserve">Natura </w:t>
      </w:r>
      <w:r w:rsidR="00C028A9" w:rsidRPr="00ED30E1">
        <w:rPr>
          <w:lang w:val="es-BO"/>
        </w:rPr>
        <w:t xml:space="preserve">Bolivia </w:t>
      </w:r>
      <w:r w:rsidR="006D39F8" w:rsidRPr="00ED30E1">
        <w:rPr>
          <w:lang w:val="es-BO"/>
        </w:rPr>
        <w:t xml:space="preserve">(“Natura”) </w:t>
      </w:r>
      <w:r w:rsidR="00606D22" w:rsidRPr="00ED30E1">
        <w:rPr>
          <w:lang w:val="es-BO"/>
        </w:rPr>
        <w:t>administrative data</w:t>
      </w:r>
    </w:p>
    <w:p w14:paraId="104AFAE0" w14:textId="1EE60D0B" w:rsidR="00606D22" w:rsidRPr="00ED30E1" w:rsidRDefault="00606D22" w:rsidP="005B5E7A">
      <w:pPr>
        <w:pStyle w:val="ListParagraph"/>
        <w:numPr>
          <w:ilvl w:val="1"/>
          <w:numId w:val="3"/>
        </w:numPr>
      </w:pPr>
      <w:r w:rsidRPr="00CB5FAA">
        <w:t xml:space="preserve">Includes list of participants in </w:t>
      </w:r>
      <w:r w:rsidR="003F7DA9" w:rsidRPr="00CB5FAA">
        <w:t>Natura’s program</w:t>
      </w:r>
      <w:r w:rsidR="00941A96" w:rsidRPr="00ED30E1">
        <w:t xml:space="preserve"> (Acuerdos Rec</w:t>
      </w:r>
      <w:r w:rsidR="00BD28D3">
        <w:t>í</w:t>
      </w:r>
      <w:r w:rsidR="00941A96" w:rsidRPr="00ED30E1">
        <w:t>procos por Agua, ARA)</w:t>
      </w:r>
      <w:r w:rsidR="006B68E8" w:rsidRPr="00ED30E1">
        <w:t>, hectares enrolled, incentive chosen.</w:t>
      </w:r>
    </w:p>
    <w:p w14:paraId="27870CF6" w14:textId="3121B36D" w:rsidR="005B5E7A" w:rsidRPr="00ED30E1" w:rsidRDefault="005B5E7A" w:rsidP="005B5E7A">
      <w:pPr>
        <w:pStyle w:val="ListParagraph"/>
        <w:numPr>
          <w:ilvl w:val="1"/>
          <w:numId w:val="3"/>
        </w:numPr>
      </w:pPr>
      <w:r w:rsidRPr="00ED30E1">
        <w:t>Includes data on compliance with program conditions, in both conditional and unconditional groups. In conditional group</w:t>
      </w:r>
      <w:r w:rsidR="003F7DA9" w:rsidRPr="00ED30E1">
        <w:t xml:space="preserve">, </w:t>
      </w:r>
      <w:r w:rsidRPr="00ED30E1">
        <w:t xml:space="preserve">compliance </w:t>
      </w:r>
      <w:r w:rsidR="003F7DA9" w:rsidRPr="00ED30E1">
        <w:t xml:space="preserve">was </w:t>
      </w:r>
      <w:r w:rsidRPr="00ED30E1">
        <w:t>measured yearly. In unconditional group</w:t>
      </w:r>
      <w:r w:rsidR="003F7DA9" w:rsidRPr="00ED30E1">
        <w:t xml:space="preserve">, </w:t>
      </w:r>
      <w:r w:rsidRPr="00ED30E1">
        <w:t xml:space="preserve">compliance </w:t>
      </w:r>
      <w:r w:rsidR="003F7DA9" w:rsidRPr="00ED30E1">
        <w:t xml:space="preserve">was </w:t>
      </w:r>
      <w:r w:rsidRPr="00ED30E1">
        <w:t>measured once</w:t>
      </w:r>
      <w:r w:rsidR="000C3216" w:rsidRPr="00ED30E1">
        <w:t>,</w:t>
      </w:r>
      <w:r w:rsidRPr="00ED30E1">
        <w:t xml:space="preserve"> in 2020-2021</w:t>
      </w:r>
      <w:r w:rsidR="003F7DA9" w:rsidRPr="00ED30E1">
        <w:t>, to allow for comparison with conditional group (not enforced with participants)</w:t>
      </w:r>
      <w:r w:rsidRPr="00ED30E1">
        <w:t>.</w:t>
      </w:r>
    </w:p>
    <w:p w14:paraId="03090BF1" w14:textId="77777777" w:rsidR="002E47F6" w:rsidRPr="00ED30E1" w:rsidRDefault="002E47F6" w:rsidP="005B5E7A">
      <w:pPr>
        <w:pStyle w:val="ListParagraph"/>
        <w:numPr>
          <w:ilvl w:val="0"/>
          <w:numId w:val="3"/>
        </w:numPr>
      </w:pPr>
      <w:r w:rsidRPr="00ED30E1">
        <w:t>Community survey</w:t>
      </w:r>
    </w:p>
    <w:p w14:paraId="0D1BD679" w14:textId="77777777" w:rsidR="002E47F6" w:rsidRPr="00ED30E1" w:rsidRDefault="002E47F6" w:rsidP="002E47F6">
      <w:pPr>
        <w:pStyle w:val="ListParagraph"/>
        <w:numPr>
          <w:ilvl w:val="1"/>
          <w:numId w:val="2"/>
        </w:numPr>
      </w:pPr>
      <w:r w:rsidRPr="00ED30E1">
        <w:t xml:space="preserve">Survey up to 3 authorities in each village. E.g., president of the </w:t>
      </w:r>
      <w:r w:rsidR="003F7DA9" w:rsidRPr="00ED30E1">
        <w:t>community (“</w:t>
      </w:r>
      <w:r w:rsidRPr="00ED30E1">
        <w:t>O</w:t>
      </w:r>
      <w:r w:rsidR="003F7DA9" w:rsidRPr="00ED30E1">
        <w:t xml:space="preserve">rganización </w:t>
      </w:r>
      <w:r w:rsidRPr="00ED30E1">
        <w:t>T</w:t>
      </w:r>
      <w:r w:rsidR="003F7DA9" w:rsidRPr="00ED30E1">
        <w:t xml:space="preserve">erritorial de </w:t>
      </w:r>
      <w:r w:rsidRPr="00ED30E1">
        <w:t>B</w:t>
      </w:r>
      <w:r w:rsidR="003F7DA9" w:rsidRPr="00ED30E1">
        <w:t>ase,” OTB)</w:t>
      </w:r>
      <w:r w:rsidRPr="00ED30E1">
        <w:t>, vice-president of OTB, doctor/nurse, teacher.</w:t>
      </w:r>
    </w:p>
    <w:p w14:paraId="7FFFA317" w14:textId="77777777" w:rsidR="002E47F6" w:rsidRPr="00ED30E1" w:rsidRDefault="002E47F6" w:rsidP="005B5E7A">
      <w:pPr>
        <w:pStyle w:val="ListParagraph"/>
        <w:numPr>
          <w:ilvl w:val="0"/>
          <w:numId w:val="3"/>
        </w:numPr>
      </w:pPr>
      <w:r w:rsidRPr="00ED30E1">
        <w:t>Household survey</w:t>
      </w:r>
    </w:p>
    <w:p w14:paraId="0D20B6F7" w14:textId="77777777" w:rsidR="002E47F6" w:rsidRPr="00ED30E1" w:rsidRDefault="002E47F6" w:rsidP="005B5E7A">
      <w:pPr>
        <w:pStyle w:val="ListParagraph"/>
        <w:numPr>
          <w:ilvl w:val="1"/>
          <w:numId w:val="3"/>
        </w:numPr>
      </w:pPr>
      <w:r w:rsidRPr="00ED30E1">
        <w:t xml:space="preserve">In all in-sample villages offered Natura’s program between 2016 and June 2021. </w:t>
      </w:r>
    </w:p>
    <w:p w14:paraId="3B17D19C" w14:textId="6250A940" w:rsidR="002E47F6" w:rsidRPr="00ED30E1" w:rsidRDefault="002E47F6" w:rsidP="005B5E7A">
      <w:pPr>
        <w:pStyle w:val="ListParagraph"/>
        <w:numPr>
          <w:ilvl w:val="1"/>
          <w:numId w:val="3"/>
        </w:numPr>
      </w:pPr>
      <w:r w:rsidRPr="00ED30E1">
        <w:t xml:space="preserve">Included participants and non-participants in Natura’s program. The list of participants was given to us by Natura. The list of non-participants was created in several steps: (1) community survey enumerator obtained list of households living in the village (e.g. from health center), (2) </w:t>
      </w:r>
      <w:r w:rsidR="00941A96" w:rsidRPr="00ED30E1">
        <w:t>program</w:t>
      </w:r>
      <w:r w:rsidRPr="00ED30E1">
        <w:t xml:space="preserve"> participants were taken out of the list, (3) survey supervisor randomly selected </w:t>
      </w:r>
      <w:r w:rsidR="00372E9B" w:rsidRPr="00ED30E1">
        <w:t>half</w:t>
      </w:r>
      <w:r w:rsidR="00584688" w:rsidRPr="00ED30E1">
        <w:t xml:space="preserve"> of the number of participants in that village (round up if odd number of participants)</w:t>
      </w:r>
      <w:r w:rsidR="00372E9B" w:rsidRPr="00ED30E1">
        <w:t xml:space="preserve"> and 5 households if that number was &lt;5. </w:t>
      </w:r>
      <w:r w:rsidR="00D6268A" w:rsidRPr="00ED30E1">
        <w:t>From the list, surveyors used a (</w:t>
      </w:r>
      <w:r w:rsidR="00CC2735" w:rsidRPr="00ED30E1">
        <w:t>pre-</w:t>
      </w:r>
      <w:r w:rsidR="00D6268A" w:rsidRPr="00ED30E1">
        <w:t xml:space="preserve">printed) list of random numbers </w:t>
      </w:r>
      <w:r w:rsidR="00927D71" w:rsidRPr="00ED30E1">
        <w:t xml:space="preserve">(range: 0-1) </w:t>
      </w:r>
      <w:r w:rsidR="00D6268A" w:rsidRPr="00ED30E1">
        <w:t xml:space="preserve">to select households for the survey: </w:t>
      </w:r>
      <w:r w:rsidR="00CC2735" w:rsidRPr="00ED30E1">
        <w:t xml:space="preserve">match the list with a column of random numbers, survey households for whom the number was </w:t>
      </w:r>
      <w:r w:rsidR="00927D71" w:rsidRPr="00ED30E1">
        <w:rPr>
          <w:rFonts w:cs="Times New Roman"/>
        </w:rPr>
        <w:t>≥</w:t>
      </w:r>
      <w:r w:rsidR="00CC2735" w:rsidRPr="00ED30E1">
        <w:t>0.500</w:t>
      </w:r>
      <w:r w:rsidR="0069116F" w:rsidRPr="00ED30E1">
        <w:t xml:space="preserve">, starting from the top of the list and until the desired number of households (with random number </w:t>
      </w:r>
      <w:r w:rsidR="00927D71" w:rsidRPr="00ED30E1">
        <w:rPr>
          <w:rFonts w:cs="Times New Roman"/>
        </w:rPr>
        <w:t>≥</w:t>
      </w:r>
      <w:r w:rsidR="0069116F" w:rsidRPr="00ED30E1">
        <w:t>0.500) was reached.</w:t>
      </w:r>
    </w:p>
    <w:p w14:paraId="1BD12A23" w14:textId="77777777" w:rsidR="005B5E7A" w:rsidRPr="00ED30E1" w:rsidRDefault="0005318E" w:rsidP="005B5E7A">
      <w:pPr>
        <w:pStyle w:val="ListParagraph"/>
        <w:numPr>
          <w:ilvl w:val="0"/>
          <w:numId w:val="3"/>
        </w:numPr>
      </w:pPr>
      <w:r w:rsidRPr="00ED30E1">
        <w:t>Satellite data on forest cover</w:t>
      </w:r>
    </w:p>
    <w:p w14:paraId="424A39BC" w14:textId="7EDEB3DE" w:rsidR="0005318E" w:rsidRPr="00ED30E1" w:rsidRDefault="00390254" w:rsidP="0005318E">
      <w:pPr>
        <w:pStyle w:val="ListParagraph"/>
        <w:numPr>
          <w:ilvl w:val="1"/>
          <w:numId w:val="3"/>
        </w:numPr>
      </w:pPr>
      <w:r w:rsidRPr="00ED30E1">
        <w:t xml:space="preserve">We are exploring options for downloading satellite imagery on forest cover pre- and post-program (2010-2016, and 2020-2022, respectively). </w:t>
      </w:r>
    </w:p>
    <w:p w14:paraId="3495C3E7" w14:textId="77777777" w:rsidR="002E47F6" w:rsidRPr="00CB5FAA" w:rsidRDefault="002E47F6" w:rsidP="00B923DB">
      <w:pPr>
        <w:rPr>
          <w:u w:val="single"/>
        </w:rPr>
      </w:pPr>
    </w:p>
    <w:p w14:paraId="70895041" w14:textId="77777777" w:rsidR="00B923DB" w:rsidRPr="00ED30E1" w:rsidRDefault="00B923DB" w:rsidP="00B923DB">
      <w:pPr>
        <w:rPr>
          <w:u w:val="single"/>
        </w:rPr>
      </w:pPr>
      <w:r w:rsidRPr="00ED30E1">
        <w:rPr>
          <w:u w:val="single"/>
        </w:rPr>
        <w:t xml:space="preserve">Hypotheses </w:t>
      </w:r>
      <w:r w:rsidR="00134300" w:rsidRPr="00ED30E1">
        <w:rPr>
          <w:u w:val="single"/>
        </w:rPr>
        <w:t xml:space="preserve">and </w:t>
      </w:r>
      <w:r w:rsidR="00450DB1" w:rsidRPr="00ED30E1">
        <w:rPr>
          <w:u w:val="single"/>
        </w:rPr>
        <w:t>Outcomes</w:t>
      </w:r>
    </w:p>
    <w:p w14:paraId="5ED8B78F" w14:textId="63F37781" w:rsidR="004B272B" w:rsidRPr="00ED30E1" w:rsidRDefault="004B272B" w:rsidP="00B923DB">
      <w:r w:rsidRPr="00ED30E1">
        <w:t>The analysis will test 7 hypothese</w:t>
      </w:r>
      <w:r w:rsidR="00A82D85" w:rsidRPr="00ED30E1">
        <w:t>s</w:t>
      </w:r>
      <w:r w:rsidR="00994D73" w:rsidRPr="00ED30E1">
        <w:t xml:space="preserve"> that were included in the </w:t>
      </w:r>
      <w:r w:rsidR="00A82D85" w:rsidRPr="00ED30E1">
        <w:t xml:space="preserve">project </w:t>
      </w:r>
      <w:r w:rsidR="00994D73" w:rsidRPr="00ED30E1">
        <w:t>proposal (</w:t>
      </w:r>
      <w:r w:rsidR="00A82D85" w:rsidRPr="00ED30E1">
        <w:t>National Science Foundation award #1660481</w:t>
      </w:r>
      <w:r w:rsidR="00FF62A5">
        <w:t>; “</w:t>
      </w:r>
      <w:r w:rsidR="00FF62A5" w:rsidRPr="00FF62A5">
        <w:t>Co-Production of Environmental Conservation and Social Equity: Is Conditionality in Payments for Ecosystem Services a Necessity or an Impediment?</w:t>
      </w:r>
      <w:r w:rsidR="00FF62A5">
        <w:t xml:space="preserve">”; </w:t>
      </w:r>
      <w:r w:rsidR="00FF62A5" w:rsidRPr="00FF62A5">
        <w:lastRenderedPageBreak/>
        <w:t>06/15/2017</w:t>
      </w:r>
      <w:r w:rsidR="00FF62A5">
        <w:t xml:space="preserve">-11/30/2022; </w:t>
      </w:r>
      <w:r w:rsidR="00FF62A5" w:rsidRPr="00FF62A5">
        <w:t>Principal Investigator:</w:t>
      </w:r>
      <w:r w:rsidR="003D467E">
        <w:t xml:space="preserve"> </w:t>
      </w:r>
      <w:r w:rsidR="00FF62A5" w:rsidRPr="00FF62A5">
        <w:t>Zhao Ma</w:t>
      </w:r>
      <w:r w:rsidR="00994D73" w:rsidRPr="00ED30E1">
        <w:t>)</w:t>
      </w:r>
      <w:r w:rsidR="0051686D">
        <w:t>.</w:t>
      </w:r>
      <w:r w:rsidR="00450DB1" w:rsidRPr="00ED30E1">
        <w:t xml:space="preserve"> Specific outcomes are listed in bullet points below each hypothesis.</w:t>
      </w:r>
    </w:p>
    <w:p w14:paraId="3B06E328" w14:textId="77777777" w:rsidR="004B272B" w:rsidRPr="00ED30E1" w:rsidRDefault="004B272B" w:rsidP="00B923DB"/>
    <w:p w14:paraId="12455930" w14:textId="190C2B4A" w:rsidR="004B272B" w:rsidRPr="00ED30E1" w:rsidRDefault="004B272B" w:rsidP="004B272B">
      <w:r w:rsidRPr="00ED30E1">
        <w:rPr>
          <w:rFonts w:eastAsia="Times New Roman" w:cs="Times New Roman"/>
          <w:b/>
          <w:bCs/>
          <w:szCs w:val="24"/>
        </w:rPr>
        <w:t>H1:</w:t>
      </w:r>
      <w:r w:rsidRPr="00ED30E1">
        <w:rPr>
          <w:rFonts w:eastAsia="Times New Roman" w:cs="Times New Roman"/>
          <w:szCs w:val="24"/>
        </w:rPr>
        <w:t xml:space="preserve"> </w:t>
      </w:r>
      <w:bookmarkStart w:id="0" w:name="_Hlk118982329"/>
      <w:r w:rsidR="00AB48C6" w:rsidRPr="00ED30E1">
        <w:rPr>
          <w:rFonts w:eastAsia="Times New Roman" w:cs="Times New Roman"/>
          <w:szCs w:val="24"/>
        </w:rPr>
        <w:t xml:space="preserve">Compared to traditional (conditional) Payments for Ecosystem Services (PES) programs, unconditional PES </w:t>
      </w:r>
      <w:bookmarkEnd w:id="0"/>
      <w:r w:rsidR="00AB48C6" w:rsidRPr="00ED30E1">
        <w:rPr>
          <w:rFonts w:eastAsia="Times New Roman" w:cs="Times New Roman"/>
          <w:szCs w:val="24"/>
        </w:rPr>
        <w:t>r</w:t>
      </w:r>
      <w:r w:rsidRPr="00ED30E1">
        <w:rPr>
          <w:rFonts w:eastAsia="Times New Roman" w:cs="Times New Roman"/>
          <w:szCs w:val="24"/>
        </w:rPr>
        <w:t>esult</w:t>
      </w:r>
      <w:r w:rsidR="00AB48C6" w:rsidRPr="00ED30E1">
        <w:rPr>
          <w:rFonts w:eastAsia="Times New Roman" w:cs="Times New Roman"/>
          <w:szCs w:val="24"/>
        </w:rPr>
        <w:t>s</w:t>
      </w:r>
      <w:r w:rsidRPr="00ED30E1">
        <w:rPr>
          <w:rFonts w:eastAsia="Times New Roman" w:cs="Times New Roman"/>
          <w:szCs w:val="24"/>
        </w:rPr>
        <w:t xml:space="preserve"> in higher participation rates, because removing conditionality alleviates household members’ concerns about penalty for non-compliance and lowering barriers to participation.</w:t>
      </w:r>
    </w:p>
    <w:p w14:paraId="097B503F" w14:textId="213DE487" w:rsidR="004B272B" w:rsidRPr="00ED30E1" w:rsidRDefault="00994D73" w:rsidP="00681F21">
      <w:pPr>
        <w:pStyle w:val="ListParagraph"/>
        <w:numPr>
          <w:ilvl w:val="0"/>
          <w:numId w:val="4"/>
        </w:numPr>
      </w:pPr>
      <w:r w:rsidRPr="00ED30E1">
        <w:t xml:space="preserve">Share of land-owning </w:t>
      </w:r>
      <w:r w:rsidR="00D82A44" w:rsidRPr="00ED30E1">
        <w:t>households</w:t>
      </w:r>
      <w:r w:rsidRPr="00ED30E1">
        <w:t xml:space="preserve"> that signed up </w:t>
      </w:r>
      <w:r w:rsidR="005E16EF" w:rsidRPr="00ED30E1">
        <w:t>in a village</w:t>
      </w:r>
    </w:p>
    <w:p w14:paraId="66E40B04" w14:textId="4219D37A" w:rsidR="004B272B" w:rsidRPr="00ED30E1" w:rsidRDefault="00C56F0C" w:rsidP="00681F21">
      <w:pPr>
        <w:pStyle w:val="ListParagraph"/>
        <w:numPr>
          <w:ilvl w:val="0"/>
          <w:numId w:val="4"/>
        </w:numPr>
      </w:pPr>
      <w:r w:rsidRPr="00ED30E1">
        <w:t xml:space="preserve">Descriptive </w:t>
      </w:r>
      <w:r w:rsidR="00761785" w:rsidRPr="00ED30E1">
        <w:t xml:space="preserve">statistics on </w:t>
      </w:r>
      <w:r w:rsidRPr="00ED30E1">
        <w:t>r</w:t>
      </w:r>
      <w:r w:rsidR="004B272B" w:rsidRPr="00ED30E1">
        <w:t xml:space="preserve">easons for </w:t>
      </w:r>
      <w:r w:rsidR="00555FA9">
        <w:t xml:space="preserve">participating and </w:t>
      </w:r>
      <w:r w:rsidR="004B272B" w:rsidRPr="00ED30E1">
        <w:t>not participating</w:t>
      </w:r>
    </w:p>
    <w:p w14:paraId="55878998" w14:textId="77777777" w:rsidR="004B272B" w:rsidRPr="00ED30E1" w:rsidRDefault="004B272B" w:rsidP="004B272B"/>
    <w:p w14:paraId="4BB670B2" w14:textId="07BC7D73" w:rsidR="004B272B" w:rsidRPr="00ED30E1" w:rsidRDefault="004B272B" w:rsidP="004B272B">
      <w:r w:rsidRPr="00ED30E1">
        <w:rPr>
          <w:rFonts w:eastAsia="Times New Roman" w:cs="Times New Roman"/>
          <w:b/>
          <w:bCs/>
          <w:szCs w:val="24"/>
        </w:rPr>
        <w:t>H2</w:t>
      </w:r>
      <w:r w:rsidRPr="00ED30E1">
        <w:rPr>
          <w:rFonts w:eastAsia="Times New Roman" w:cs="Times New Roman"/>
          <w:szCs w:val="24"/>
        </w:rPr>
        <w:t xml:space="preserve">: </w:t>
      </w:r>
      <w:r w:rsidR="00AB48C6" w:rsidRPr="00ED30E1">
        <w:rPr>
          <w:rFonts w:eastAsia="Times New Roman" w:cs="Times New Roman"/>
          <w:szCs w:val="24"/>
        </w:rPr>
        <w:t>Compared to traditional (conditional) Payments for Ecosystem Services (PES) programs, unconditional PES r</w:t>
      </w:r>
      <w:r w:rsidRPr="00ED30E1">
        <w:rPr>
          <w:rFonts w:eastAsia="Times New Roman" w:cs="Times New Roman"/>
          <w:szCs w:val="24"/>
        </w:rPr>
        <w:t>esult</w:t>
      </w:r>
      <w:r w:rsidR="00AB48C6" w:rsidRPr="00ED30E1">
        <w:rPr>
          <w:rFonts w:eastAsia="Times New Roman" w:cs="Times New Roman"/>
          <w:szCs w:val="24"/>
        </w:rPr>
        <w:t>s</w:t>
      </w:r>
      <w:r w:rsidRPr="00ED30E1">
        <w:rPr>
          <w:rFonts w:eastAsia="Times New Roman" w:cs="Times New Roman"/>
          <w:szCs w:val="24"/>
        </w:rPr>
        <w:t xml:space="preserve"> in similar rates of household adoption of conservation behaviors because removing conditionality (i.e., offering payments without a coercive enforcement mechanism that imposes penalty) reinforces the intrinsic motivations of household members to conserve the environment.</w:t>
      </w:r>
      <w:r w:rsidR="005E16EF" w:rsidRPr="00ED30E1">
        <w:rPr>
          <w:rFonts w:eastAsia="Times New Roman" w:cs="Times New Roman"/>
          <w:szCs w:val="24"/>
        </w:rPr>
        <w:t xml:space="preserve"> Indicators of conservation behavior included:</w:t>
      </w:r>
    </w:p>
    <w:p w14:paraId="310E4CC2" w14:textId="77777777" w:rsidR="004B272B" w:rsidRPr="00ED30E1" w:rsidRDefault="004B272B" w:rsidP="00271177">
      <w:pPr>
        <w:pStyle w:val="ListParagraph"/>
        <w:numPr>
          <w:ilvl w:val="0"/>
          <w:numId w:val="4"/>
        </w:numPr>
      </w:pPr>
      <w:r w:rsidRPr="00ED30E1">
        <w:t xml:space="preserve">Whether </w:t>
      </w:r>
      <w:r w:rsidR="00271177" w:rsidRPr="00ED30E1">
        <w:t xml:space="preserve">the household’s </w:t>
      </w:r>
      <w:r w:rsidRPr="00ED30E1">
        <w:t>cows drink in stream</w:t>
      </w:r>
    </w:p>
    <w:p w14:paraId="0CA37E21" w14:textId="77777777" w:rsidR="00E167F9" w:rsidRPr="00ED30E1" w:rsidRDefault="00E167F9" w:rsidP="00271177">
      <w:pPr>
        <w:pStyle w:val="ListParagraph"/>
        <w:numPr>
          <w:ilvl w:val="0"/>
          <w:numId w:val="4"/>
        </w:numPr>
      </w:pPr>
      <w:r w:rsidRPr="00ED30E1">
        <w:t xml:space="preserve">Whether the household fenced its </w:t>
      </w:r>
      <w:r w:rsidR="00DE25DC" w:rsidRPr="00ED30E1">
        <w:t>pasture</w:t>
      </w:r>
      <w:r w:rsidRPr="00ED30E1">
        <w:t>land</w:t>
      </w:r>
    </w:p>
    <w:p w14:paraId="772A6EAF" w14:textId="77777777" w:rsidR="00D57FFD" w:rsidRPr="00ED30E1" w:rsidRDefault="00D57FFD" w:rsidP="00271177">
      <w:pPr>
        <w:pStyle w:val="ListParagraph"/>
        <w:numPr>
          <w:ilvl w:val="0"/>
          <w:numId w:val="4"/>
        </w:numPr>
      </w:pPr>
      <w:r w:rsidRPr="00ED30E1">
        <w:t>Whether the household restricts movement of its cattle</w:t>
      </w:r>
    </w:p>
    <w:p w14:paraId="31E52058" w14:textId="77777777" w:rsidR="004B272B" w:rsidRPr="00ED30E1" w:rsidRDefault="004B272B" w:rsidP="00271177">
      <w:pPr>
        <w:pStyle w:val="ListParagraph"/>
        <w:numPr>
          <w:ilvl w:val="0"/>
          <w:numId w:val="4"/>
        </w:numPr>
      </w:pPr>
      <w:r w:rsidRPr="00ED30E1">
        <w:t xml:space="preserve">Whether </w:t>
      </w:r>
      <w:r w:rsidR="00271177" w:rsidRPr="00ED30E1">
        <w:t xml:space="preserve">the household </w:t>
      </w:r>
      <w:r w:rsidRPr="00ED30E1">
        <w:t xml:space="preserve">cut any forest in </w:t>
      </w:r>
      <w:r w:rsidR="00271177" w:rsidRPr="00ED30E1">
        <w:t xml:space="preserve">the </w:t>
      </w:r>
      <w:r w:rsidRPr="00ED30E1">
        <w:t>last 6</w:t>
      </w:r>
      <w:r w:rsidR="00271177" w:rsidRPr="00ED30E1">
        <w:t xml:space="preserve"> or 12 </w:t>
      </w:r>
      <w:r w:rsidRPr="00ED30E1">
        <w:t>m</w:t>
      </w:r>
      <w:r w:rsidR="00271177" w:rsidRPr="00ED30E1">
        <w:t>onths</w:t>
      </w:r>
    </w:p>
    <w:p w14:paraId="44E8635B" w14:textId="77777777" w:rsidR="004B272B" w:rsidRPr="00ED30E1" w:rsidRDefault="004B272B" w:rsidP="004B272B">
      <w:pPr>
        <w:rPr>
          <w:rFonts w:eastAsia="Times New Roman" w:cs="Times New Roman"/>
          <w:szCs w:val="24"/>
        </w:rPr>
      </w:pPr>
    </w:p>
    <w:p w14:paraId="22386BE2" w14:textId="77DF03D3" w:rsidR="004B272B" w:rsidRPr="00ED30E1" w:rsidRDefault="004B272B" w:rsidP="004B272B">
      <w:r w:rsidRPr="00ED30E1">
        <w:rPr>
          <w:rFonts w:eastAsia="Times New Roman" w:cs="Times New Roman"/>
          <w:b/>
          <w:bCs/>
          <w:szCs w:val="24"/>
        </w:rPr>
        <w:t>H3:</w:t>
      </w:r>
      <w:r w:rsidRPr="00ED30E1">
        <w:rPr>
          <w:rFonts w:eastAsia="Times New Roman" w:cs="Times New Roman"/>
          <w:szCs w:val="24"/>
        </w:rPr>
        <w:t xml:space="preserve"> </w:t>
      </w:r>
      <w:r w:rsidR="00AB48C6" w:rsidRPr="00ED30E1">
        <w:rPr>
          <w:rFonts w:eastAsia="Times New Roman" w:cs="Times New Roman"/>
          <w:szCs w:val="24"/>
        </w:rPr>
        <w:t>Compared to traditional (conditional) Payments for Ecosystem Services (PES) programs, unconditional PES p</w:t>
      </w:r>
      <w:r w:rsidRPr="00ED30E1">
        <w:rPr>
          <w:rFonts w:eastAsia="Times New Roman" w:cs="Times New Roman"/>
          <w:szCs w:val="24"/>
        </w:rPr>
        <w:t>roduce</w:t>
      </w:r>
      <w:r w:rsidR="00AB48C6" w:rsidRPr="00ED30E1">
        <w:rPr>
          <w:rFonts w:eastAsia="Times New Roman" w:cs="Times New Roman"/>
          <w:szCs w:val="24"/>
        </w:rPr>
        <w:t>s</w:t>
      </w:r>
      <w:r w:rsidRPr="00ED30E1">
        <w:rPr>
          <w:rFonts w:eastAsia="Times New Roman" w:cs="Times New Roman"/>
          <w:szCs w:val="24"/>
        </w:rPr>
        <w:t xml:space="preserve"> a similar or higher amount of environmental benefits, because of the combined effect of H1 and H2, thus maintaining or increasing the overall level of environmental conservation outcomes in communities offered labeled unconditional PES.</w:t>
      </w:r>
    </w:p>
    <w:p w14:paraId="698F7E10" w14:textId="77777777" w:rsidR="00271177" w:rsidRPr="00CB5FAA" w:rsidRDefault="00271177" w:rsidP="00271177">
      <w:pPr>
        <w:pStyle w:val="ListParagraph"/>
        <w:numPr>
          <w:ilvl w:val="0"/>
          <w:numId w:val="4"/>
        </w:numPr>
      </w:pPr>
      <w:r w:rsidRPr="00ED30E1">
        <w:t>Forest cover</w:t>
      </w:r>
    </w:p>
    <w:p w14:paraId="633AC2CA" w14:textId="60BC2444" w:rsidR="00BB1802" w:rsidRDefault="00B3485D" w:rsidP="00271177">
      <w:pPr>
        <w:pStyle w:val="ListParagraph"/>
        <w:numPr>
          <w:ilvl w:val="1"/>
          <w:numId w:val="4"/>
        </w:numPr>
      </w:pPr>
      <w:r w:rsidRPr="00ED30E1">
        <w:t xml:space="preserve">Households’ share of land that is </w:t>
      </w:r>
      <w:r w:rsidR="00DE25DC" w:rsidRPr="00ED30E1">
        <w:t>forest</w:t>
      </w:r>
      <w:r w:rsidRPr="00ED30E1">
        <w:t>ed</w:t>
      </w:r>
      <w:r w:rsidR="00271177" w:rsidRPr="00ED30E1">
        <w:t xml:space="preserve"> </w:t>
      </w:r>
      <w:r w:rsidR="00BA5F94" w:rsidRPr="00ED30E1">
        <w:t>(</w:t>
      </w:r>
      <w:r w:rsidRPr="00ED30E1">
        <w:t xml:space="preserve">self-reported </w:t>
      </w:r>
      <w:r w:rsidR="00BA5F94" w:rsidRPr="00ED30E1">
        <w:t xml:space="preserve">from </w:t>
      </w:r>
      <w:r w:rsidR="00271177" w:rsidRPr="00ED30E1">
        <w:t>household survey</w:t>
      </w:r>
      <w:r w:rsidR="00BA5F94" w:rsidRPr="00ED30E1">
        <w:t>)</w:t>
      </w:r>
    </w:p>
    <w:p w14:paraId="4A89BD47" w14:textId="23ED29D4" w:rsidR="00BB1802" w:rsidRDefault="00BB1802" w:rsidP="00BB1802">
      <w:pPr>
        <w:pStyle w:val="ListParagraph"/>
        <w:numPr>
          <w:ilvl w:val="2"/>
          <w:numId w:val="4"/>
        </w:numPr>
      </w:pPr>
      <w:r>
        <w:t>Analyzed at the community level (using average share to account for larger and more populated communities)</w:t>
      </w:r>
    </w:p>
    <w:p w14:paraId="40E41829" w14:textId="2CC81E78" w:rsidR="00271177" w:rsidRPr="00CB5FAA" w:rsidRDefault="00BB1802" w:rsidP="00265702">
      <w:pPr>
        <w:pStyle w:val="ListParagraph"/>
        <w:numPr>
          <w:ilvl w:val="2"/>
          <w:numId w:val="4"/>
        </w:numPr>
      </w:pPr>
      <w:r>
        <w:t>Analyzed at the household level</w:t>
      </w:r>
    </w:p>
    <w:p w14:paraId="097FA966" w14:textId="60AD2A34" w:rsidR="00271177" w:rsidRPr="00ED30E1" w:rsidRDefault="00271177" w:rsidP="00271177">
      <w:pPr>
        <w:pStyle w:val="ListParagraph"/>
        <w:numPr>
          <w:ilvl w:val="1"/>
          <w:numId w:val="4"/>
        </w:numPr>
      </w:pPr>
      <w:r w:rsidRPr="00ED30E1">
        <w:t>Satellite estimates (Normalized Difference Vegetation Index)</w:t>
      </w:r>
      <w:r w:rsidR="005E16EF" w:rsidRPr="00ED30E1">
        <w:t xml:space="preserve"> </w:t>
      </w:r>
      <w:r w:rsidR="00BA5F94" w:rsidRPr="00ED30E1">
        <w:t>of share of community land that is forested</w:t>
      </w:r>
      <w:r w:rsidR="003D0E21">
        <w:t>. We are in the process of obtaining analyzable satellite data; the exact definition may change based on final data available.</w:t>
      </w:r>
    </w:p>
    <w:p w14:paraId="019272FE" w14:textId="2D0B3B57" w:rsidR="00DF2F86" w:rsidRPr="00ED30E1" w:rsidRDefault="00DF2F86" w:rsidP="00DF2F86">
      <w:pPr>
        <w:pStyle w:val="ListParagraph"/>
        <w:numPr>
          <w:ilvl w:val="0"/>
          <w:numId w:val="4"/>
        </w:numPr>
      </w:pPr>
      <w:r w:rsidRPr="00ED30E1">
        <w:t>Rates of compliance with program conditions</w:t>
      </w:r>
      <w:r w:rsidR="00555FA9">
        <w:t xml:space="preserve"> </w:t>
      </w:r>
      <w:r w:rsidR="006A7C80">
        <w:t>(self-reported and Natura administrative data)</w:t>
      </w:r>
    </w:p>
    <w:p w14:paraId="6A5231F1" w14:textId="77777777" w:rsidR="004B272B" w:rsidRPr="00ED30E1" w:rsidRDefault="004B272B" w:rsidP="004B272B"/>
    <w:p w14:paraId="6E52E92E" w14:textId="16C58C29" w:rsidR="004B272B" w:rsidRPr="00ED30E1" w:rsidRDefault="004B272B" w:rsidP="004B272B">
      <w:r w:rsidRPr="00ED30E1">
        <w:rPr>
          <w:rFonts w:eastAsia="Times New Roman" w:cs="Times New Roman"/>
          <w:b/>
          <w:bCs/>
          <w:szCs w:val="24"/>
        </w:rPr>
        <w:t xml:space="preserve">H4: </w:t>
      </w:r>
      <w:r w:rsidR="00284C44" w:rsidRPr="00ED30E1">
        <w:rPr>
          <w:rFonts w:eastAsia="Times New Roman" w:cs="Times New Roman"/>
          <w:szCs w:val="24"/>
        </w:rPr>
        <w:t>Compared to traditional (conditional) Payments for Ecosystem Services (PES) programs, unconditional PES a</w:t>
      </w:r>
      <w:r w:rsidRPr="00ED30E1">
        <w:rPr>
          <w:rFonts w:eastAsia="Times New Roman" w:cs="Times New Roman"/>
          <w:szCs w:val="24"/>
        </w:rPr>
        <w:t>ttract</w:t>
      </w:r>
      <w:r w:rsidR="00284C44" w:rsidRPr="00ED30E1">
        <w:rPr>
          <w:rFonts w:eastAsia="Times New Roman" w:cs="Times New Roman"/>
          <w:szCs w:val="24"/>
        </w:rPr>
        <w:t>s</w:t>
      </w:r>
      <w:r w:rsidRPr="00ED30E1">
        <w:rPr>
          <w:rFonts w:eastAsia="Times New Roman" w:cs="Times New Roman"/>
          <w:szCs w:val="24"/>
        </w:rPr>
        <w:t xml:space="preserve"> different types of participants, because removing conditionality alleviates concerns of those who are poorer, more marginalized, and more risk-averse and who would not participate in a conditional PES program.</w:t>
      </w:r>
    </w:p>
    <w:p w14:paraId="7DC86DF6" w14:textId="77777777" w:rsidR="00E21373" w:rsidRPr="00ED30E1" w:rsidRDefault="00E21373" w:rsidP="00E21373">
      <w:pPr>
        <w:pStyle w:val="ListParagraph"/>
        <w:numPr>
          <w:ilvl w:val="0"/>
          <w:numId w:val="4"/>
        </w:numPr>
      </w:pPr>
      <w:r w:rsidRPr="00ED30E1">
        <w:t>Household demographics: particularly rate of women participants, but also education of household head, age of household head</w:t>
      </w:r>
    </w:p>
    <w:p w14:paraId="0D2F7812" w14:textId="4B0F3AAB" w:rsidR="004B272B" w:rsidRPr="00ED30E1" w:rsidRDefault="00B05D0A" w:rsidP="00E21373">
      <w:pPr>
        <w:pStyle w:val="ListParagraph"/>
        <w:numPr>
          <w:ilvl w:val="0"/>
          <w:numId w:val="4"/>
        </w:numPr>
      </w:pPr>
      <w:r w:rsidRPr="00ED30E1">
        <w:t xml:space="preserve">Household economic status (income, </w:t>
      </w:r>
      <w:r w:rsidR="007E69F1" w:rsidRPr="00ED30E1">
        <w:t xml:space="preserve">land ownership, </w:t>
      </w:r>
      <w:r w:rsidRPr="00ED30E1">
        <w:t>asset ownership)</w:t>
      </w:r>
    </w:p>
    <w:p w14:paraId="711E0E32" w14:textId="77777777" w:rsidR="007D4162" w:rsidRPr="00ED30E1" w:rsidRDefault="007D4162" w:rsidP="00E21373">
      <w:pPr>
        <w:pStyle w:val="ListParagraph"/>
        <w:numPr>
          <w:ilvl w:val="0"/>
          <w:numId w:val="4"/>
        </w:numPr>
      </w:pPr>
      <w:r w:rsidRPr="00ED30E1">
        <w:t>Household civic engagement and participation in local institutions (clubs, political parties, etc.)</w:t>
      </w:r>
    </w:p>
    <w:p w14:paraId="29139531" w14:textId="77777777" w:rsidR="004B272B" w:rsidRPr="00ED30E1" w:rsidRDefault="004B272B" w:rsidP="004B272B">
      <w:pPr>
        <w:rPr>
          <w:rFonts w:eastAsia="Times New Roman" w:cs="Times New Roman"/>
          <w:szCs w:val="24"/>
        </w:rPr>
      </w:pPr>
    </w:p>
    <w:p w14:paraId="6F4F4A8C" w14:textId="3E16C640" w:rsidR="004B272B" w:rsidRPr="00ED30E1" w:rsidRDefault="004B272B" w:rsidP="004B272B">
      <w:r w:rsidRPr="00ED30E1">
        <w:rPr>
          <w:rFonts w:eastAsia="Times New Roman" w:cs="Times New Roman"/>
          <w:b/>
          <w:bCs/>
          <w:szCs w:val="24"/>
        </w:rPr>
        <w:lastRenderedPageBreak/>
        <w:t>H5:</w:t>
      </w:r>
      <w:r w:rsidRPr="00ED30E1">
        <w:rPr>
          <w:rFonts w:eastAsia="Times New Roman" w:cs="Times New Roman"/>
          <w:szCs w:val="24"/>
        </w:rPr>
        <w:t xml:space="preserve"> </w:t>
      </w:r>
      <w:r w:rsidR="00284C44" w:rsidRPr="00ED30E1">
        <w:rPr>
          <w:rFonts w:eastAsia="Times New Roman" w:cs="Times New Roman"/>
          <w:szCs w:val="24"/>
        </w:rPr>
        <w:t>Compared to traditional (conditional) Payments for Ecosystem Services (PES) programs, unconditional PES r</w:t>
      </w:r>
      <w:r w:rsidRPr="00ED30E1">
        <w:rPr>
          <w:rFonts w:eastAsia="Times New Roman" w:cs="Times New Roman"/>
          <w:szCs w:val="24"/>
        </w:rPr>
        <w:t>educe</w:t>
      </w:r>
      <w:r w:rsidR="00284C44" w:rsidRPr="00ED30E1">
        <w:rPr>
          <w:rFonts w:eastAsia="Times New Roman" w:cs="Times New Roman"/>
          <w:szCs w:val="24"/>
        </w:rPr>
        <w:t>s</w:t>
      </w:r>
      <w:r w:rsidRPr="00ED30E1">
        <w:rPr>
          <w:rFonts w:eastAsia="Times New Roman" w:cs="Times New Roman"/>
          <w:szCs w:val="24"/>
        </w:rPr>
        <w:t xml:space="preserve"> economic inequalities within communities, because household members who are poorer, more marginalized, or more risk-averse are more likely to sign up for labeled unconditional PES, thus the overall benefits of payments are more evenly distributed within communities.</w:t>
      </w:r>
    </w:p>
    <w:p w14:paraId="21C6D79A" w14:textId="77777777" w:rsidR="004B272B" w:rsidRPr="00ED30E1" w:rsidRDefault="004B272B" w:rsidP="00093136">
      <w:pPr>
        <w:pStyle w:val="ListParagraph"/>
        <w:numPr>
          <w:ilvl w:val="0"/>
          <w:numId w:val="4"/>
        </w:numPr>
      </w:pPr>
      <w:r w:rsidRPr="00ED30E1">
        <w:t>Income</w:t>
      </w:r>
      <w:r w:rsidR="00093136" w:rsidRPr="00ED30E1">
        <w:t xml:space="preserve"> inequality</w:t>
      </w:r>
    </w:p>
    <w:p w14:paraId="6449E2A5" w14:textId="77777777" w:rsidR="004B272B" w:rsidRPr="00ED30E1" w:rsidRDefault="004B272B" w:rsidP="00093136">
      <w:pPr>
        <w:pStyle w:val="ListParagraph"/>
        <w:numPr>
          <w:ilvl w:val="0"/>
          <w:numId w:val="4"/>
        </w:numPr>
      </w:pPr>
      <w:r w:rsidRPr="00ED30E1">
        <w:t>Assets</w:t>
      </w:r>
      <w:r w:rsidR="00093136" w:rsidRPr="00ED30E1">
        <w:t xml:space="preserve"> inequality</w:t>
      </w:r>
    </w:p>
    <w:p w14:paraId="3D6BF852" w14:textId="1F8A8B86" w:rsidR="004B272B" w:rsidRPr="00ED30E1" w:rsidRDefault="004B272B" w:rsidP="004B272B">
      <w:pPr>
        <w:rPr>
          <w:rFonts w:eastAsia="Times New Roman" w:cs="Times New Roman"/>
          <w:szCs w:val="24"/>
        </w:rPr>
      </w:pPr>
    </w:p>
    <w:p w14:paraId="72222E96" w14:textId="1D01C547" w:rsidR="004B272B" w:rsidRPr="00ED30E1" w:rsidRDefault="004B272B" w:rsidP="004B272B">
      <w:r w:rsidRPr="00ED30E1">
        <w:rPr>
          <w:rFonts w:eastAsia="Times New Roman" w:cs="Times New Roman"/>
          <w:b/>
          <w:bCs/>
          <w:szCs w:val="24"/>
        </w:rPr>
        <w:t>H6:</w:t>
      </w:r>
      <w:r w:rsidRPr="00ED30E1">
        <w:rPr>
          <w:rFonts w:eastAsia="Times New Roman" w:cs="Times New Roman"/>
          <w:szCs w:val="24"/>
        </w:rPr>
        <w:t xml:space="preserve"> </w:t>
      </w:r>
      <w:r w:rsidR="00284C44" w:rsidRPr="00ED30E1">
        <w:rPr>
          <w:rFonts w:eastAsia="Times New Roman" w:cs="Times New Roman"/>
          <w:szCs w:val="24"/>
        </w:rPr>
        <w:t>Compared to traditional (conditional) Payments for Ecosystem Services (PES) programs, unconditional PES r</w:t>
      </w:r>
      <w:r w:rsidRPr="00ED30E1">
        <w:rPr>
          <w:rFonts w:eastAsia="Times New Roman" w:cs="Times New Roman"/>
          <w:szCs w:val="24"/>
        </w:rPr>
        <w:t>esult</w:t>
      </w:r>
      <w:r w:rsidR="00284C44" w:rsidRPr="00ED30E1">
        <w:rPr>
          <w:rFonts w:eastAsia="Times New Roman" w:cs="Times New Roman"/>
          <w:szCs w:val="24"/>
        </w:rPr>
        <w:t>s</w:t>
      </w:r>
      <w:r w:rsidRPr="00ED30E1">
        <w:rPr>
          <w:rFonts w:eastAsia="Times New Roman" w:cs="Times New Roman"/>
          <w:szCs w:val="24"/>
        </w:rPr>
        <w:t xml:space="preserve"> in higher levels of perceived fairness within communities, because non-participants are less likely to perceive themselves as being excluded by an unconditional PES program, while participants are less likely to feel coerced to adopt conservation practices and feel powerless.</w:t>
      </w:r>
    </w:p>
    <w:p w14:paraId="246237AA" w14:textId="410E61D0" w:rsidR="004B272B" w:rsidDel="00C208E7" w:rsidRDefault="004B272B" w:rsidP="006A7C80">
      <w:pPr>
        <w:pStyle w:val="ListParagraph"/>
        <w:numPr>
          <w:ilvl w:val="0"/>
          <w:numId w:val="4"/>
        </w:numPr>
      </w:pPr>
      <w:r w:rsidRPr="00ED30E1" w:rsidDel="00C208E7">
        <w:t>Perceptions of fairness in general, and of PES programs in particular</w:t>
      </w:r>
      <w:r w:rsidR="006A7C80">
        <w:t xml:space="preserve"> (e.g., </w:t>
      </w:r>
      <w:r w:rsidR="00224F93">
        <w:t>p</w:t>
      </w:r>
      <w:r w:rsidR="006A7C80">
        <w:t>erception of fairness in compensation)</w:t>
      </w:r>
    </w:p>
    <w:p w14:paraId="4C8E661D" w14:textId="34023CB6" w:rsidR="00B9701A" w:rsidRPr="00ED30E1" w:rsidRDefault="00B9701A" w:rsidP="00A33B16">
      <w:pPr>
        <w:pStyle w:val="ListParagraph"/>
        <w:numPr>
          <w:ilvl w:val="0"/>
          <w:numId w:val="4"/>
        </w:numPr>
      </w:pPr>
      <w:r>
        <w:t>Trust in the program and the NGO implementing it</w:t>
      </w:r>
    </w:p>
    <w:p w14:paraId="66FE424E" w14:textId="40C590D4" w:rsidR="004B272B" w:rsidRPr="00ED30E1" w:rsidDel="00C208E7" w:rsidRDefault="004B272B" w:rsidP="00A33B16">
      <w:pPr>
        <w:pStyle w:val="ListParagraph"/>
        <w:numPr>
          <w:ilvl w:val="0"/>
          <w:numId w:val="4"/>
        </w:numPr>
      </w:pPr>
      <w:r w:rsidRPr="00CB5FAA" w:rsidDel="00C208E7">
        <w:t>Perception of equity</w:t>
      </w:r>
    </w:p>
    <w:p w14:paraId="3F6E7EEB" w14:textId="0C2B702D" w:rsidR="00C208E7" w:rsidRPr="00ED30E1" w:rsidRDefault="004B272B" w:rsidP="00A33B16">
      <w:pPr>
        <w:pStyle w:val="ListParagraph"/>
        <w:numPr>
          <w:ilvl w:val="0"/>
          <w:numId w:val="4"/>
        </w:numPr>
      </w:pPr>
      <w:r w:rsidRPr="00ED30E1">
        <w:t>Perception of/attitude toward conditionality</w:t>
      </w:r>
    </w:p>
    <w:p w14:paraId="6F9261EE" w14:textId="77777777" w:rsidR="004B272B" w:rsidRPr="00ED30E1" w:rsidRDefault="004B272B" w:rsidP="004B272B"/>
    <w:p w14:paraId="5DC3EB55" w14:textId="096D9897" w:rsidR="006A3746" w:rsidRPr="004D5D58" w:rsidRDefault="004B272B" w:rsidP="004B272B">
      <w:pPr>
        <w:rPr>
          <w:rFonts w:eastAsia="Times New Roman" w:cs="Times New Roman"/>
          <w:szCs w:val="24"/>
        </w:rPr>
      </w:pPr>
      <w:r w:rsidRPr="00ED30E1">
        <w:rPr>
          <w:rFonts w:eastAsia="Times New Roman" w:cs="Times New Roman"/>
          <w:b/>
          <w:bCs/>
          <w:szCs w:val="24"/>
        </w:rPr>
        <w:t>H7:</w:t>
      </w:r>
      <w:r w:rsidRPr="00ED30E1">
        <w:rPr>
          <w:rFonts w:eastAsia="Times New Roman" w:cs="Times New Roman"/>
          <w:szCs w:val="24"/>
        </w:rPr>
        <w:t xml:space="preserve"> </w:t>
      </w:r>
      <w:r w:rsidR="00284C44" w:rsidRPr="00ED30E1">
        <w:rPr>
          <w:rFonts w:eastAsia="Times New Roman" w:cs="Times New Roman"/>
          <w:szCs w:val="24"/>
        </w:rPr>
        <w:t>Compared to traditional (conditional) Payments for Ecosystem Services (PES) programs, unconditional PES i</w:t>
      </w:r>
      <w:r w:rsidRPr="00ED30E1">
        <w:rPr>
          <w:rFonts w:eastAsia="Times New Roman" w:cs="Times New Roman"/>
          <w:szCs w:val="24"/>
        </w:rPr>
        <w:t>ncrease</w:t>
      </w:r>
      <w:r w:rsidR="00284C44" w:rsidRPr="00ED30E1">
        <w:rPr>
          <w:rFonts w:eastAsia="Times New Roman" w:cs="Times New Roman"/>
          <w:szCs w:val="24"/>
        </w:rPr>
        <w:t>s</w:t>
      </w:r>
      <w:r w:rsidRPr="00ED30E1">
        <w:rPr>
          <w:rFonts w:eastAsia="Times New Roman" w:cs="Times New Roman"/>
          <w:szCs w:val="24"/>
        </w:rPr>
        <w:t xml:space="preserve"> gender equalities, because removing conditionality lowers barriers for women to sign up for </w:t>
      </w:r>
      <w:r w:rsidRPr="00400D73">
        <w:rPr>
          <w:rFonts w:eastAsia="Times New Roman" w:cs="Times New Roman"/>
          <w:szCs w:val="24"/>
        </w:rPr>
        <w:t>unconditional PES, thus increasing bargaining power of more women within households and communities.</w:t>
      </w:r>
    </w:p>
    <w:p w14:paraId="40281018" w14:textId="4C838CDB" w:rsidR="00DE25DC" w:rsidRPr="00ED30E1" w:rsidRDefault="007D4162" w:rsidP="006A3746">
      <w:pPr>
        <w:pStyle w:val="ListParagraph"/>
        <w:numPr>
          <w:ilvl w:val="0"/>
          <w:numId w:val="4"/>
        </w:numPr>
        <w:rPr>
          <w:rFonts w:eastAsia="Times New Roman" w:cs="Times New Roman"/>
          <w:szCs w:val="24"/>
        </w:rPr>
      </w:pPr>
      <w:r w:rsidRPr="004D5D58">
        <w:rPr>
          <w:rFonts w:eastAsia="Times New Roman" w:cs="Times New Roman"/>
          <w:szCs w:val="24"/>
        </w:rPr>
        <w:t xml:space="preserve">Index of decision-making about general </w:t>
      </w:r>
      <w:r w:rsidRPr="008344EA">
        <w:rPr>
          <w:rFonts w:eastAsia="Times New Roman" w:cs="Times New Roman"/>
          <w:szCs w:val="24"/>
        </w:rPr>
        <w:t xml:space="preserve">household </w:t>
      </w:r>
      <w:r w:rsidRPr="00ED30E1">
        <w:rPr>
          <w:rFonts w:eastAsia="Times New Roman" w:cs="Times New Roman"/>
          <w:szCs w:val="24"/>
        </w:rPr>
        <w:t>decisions</w:t>
      </w:r>
    </w:p>
    <w:p w14:paraId="5BFE37FE" w14:textId="6DBF89A5" w:rsidR="007D4162" w:rsidRPr="004D5D58" w:rsidRDefault="00A11B00" w:rsidP="006A3746">
      <w:pPr>
        <w:pStyle w:val="ListParagraph"/>
        <w:numPr>
          <w:ilvl w:val="0"/>
          <w:numId w:val="4"/>
        </w:numPr>
        <w:rPr>
          <w:rFonts w:eastAsia="Times New Roman" w:cs="Times New Roman"/>
          <w:szCs w:val="24"/>
        </w:rPr>
      </w:pPr>
      <w:r w:rsidRPr="00ED30E1">
        <w:rPr>
          <w:rFonts w:eastAsia="Times New Roman" w:cs="Times New Roman"/>
          <w:szCs w:val="24"/>
        </w:rPr>
        <w:t>D</w:t>
      </w:r>
      <w:r w:rsidR="007D4162" w:rsidRPr="00ED30E1">
        <w:rPr>
          <w:rFonts w:eastAsia="Times New Roman" w:cs="Times New Roman"/>
          <w:szCs w:val="24"/>
        </w:rPr>
        <w:t>ecision-making about complying with PES program conditions</w:t>
      </w:r>
    </w:p>
    <w:p w14:paraId="42B6EBDB" w14:textId="3C52E41C" w:rsidR="004917E7" w:rsidRPr="00215678" w:rsidRDefault="00A11B00" w:rsidP="00215678">
      <w:pPr>
        <w:pStyle w:val="ListParagraph"/>
        <w:numPr>
          <w:ilvl w:val="0"/>
          <w:numId w:val="4"/>
        </w:numPr>
        <w:rPr>
          <w:rFonts w:eastAsia="Times New Roman" w:cs="Times New Roman"/>
          <w:szCs w:val="24"/>
        </w:rPr>
      </w:pPr>
      <w:r w:rsidRPr="004D5D58">
        <w:rPr>
          <w:rFonts w:eastAsia="Times New Roman" w:cs="Times New Roman"/>
          <w:szCs w:val="24"/>
        </w:rPr>
        <w:t>Women’s and men’s time spent in activities related to the program</w:t>
      </w:r>
    </w:p>
    <w:p w14:paraId="6C829D74" w14:textId="77777777" w:rsidR="00A33B16" w:rsidRPr="008344EA" w:rsidRDefault="00A33B16" w:rsidP="00B923DB"/>
    <w:p w14:paraId="69DF4C52" w14:textId="77777777" w:rsidR="00B923DB" w:rsidRPr="00ED30E1" w:rsidRDefault="00A7175B" w:rsidP="00B923DB">
      <w:pPr>
        <w:rPr>
          <w:u w:val="single"/>
        </w:rPr>
      </w:pPr>
      <w:r w:rsidRPr="00ED30E1">
        <w:rPr>
          <w:u w:val="single"/>
        </w:rPr>
        <w:t>H</w:t>
      </w:r>
      <w:r w:rsidR="00B923DB" w:rsidRPr="00ED30E1">
        <w:rPr>
          <w:u w:val="single"/>
        </w:rPr>
        <w:t>ow variables will be constructed</w:t>
      </w:r>
    </w:p>
    <w:p w14:paraId="367FD642" w14:textId="77777777" w:rsidR="00A7175B" w:rsidRPr="00ED30E1" w:rsidRDefault="007B006A" w:rsidP="00B923DB">
      <w:r w:rsidRPr="00ED30E1">
        <w:t>See bullets points in hypothesis section above.</w:t>
      </w:r>
    </w:p>
    <w:p w14:paraId="614B6E1A" w14:textId="77777777" w:rsidR="007B006A" w:rsidRPr="00ED30E1" w:rsidRDefault="007B006A" w:rsidP="00B923DB"/>
    <w:p w14:paraId="25CBCA44" w14:textId="77777777" w:rsidR="00B923DB" w:rsidRPr="00ED30E1" w:rsidRDefault="00A7175B" w:rsidP="00B923DB">
      <w:pPr>
        <w:rPr>
          <w:u w:val="single"/>
        </w:rPr>
      </w:pPr>
      <w:r w:rsidRPr="00ED30E1">
        <w:rPr>
          <w:u w:val="single"/>
        </w:rPr>
        <w:t>T</w:t>
      </w:r>
      <w:r w:rsidR="00B923DB" w:rsidRPr="00ED30E1">
        <w:rPr>
          <w:u w:val="single"/>
        </w:rPr>
        <w:t>reatment effect equation to be estimated</w:t>
      </w:r>
    </w:p>
    <w:p w14:paraId="161B5EFC" w14:textId="77777777" w:rsidR="00D10164" w:rsidRPr="00ED30E1" w:rsidRDefault="00D10164" w:rsidP="00B923DB">
      <w:r w:rsidRPr="00ED30E1">
        <w:t xml:space="preserve">Analyses will be conducted at the community (e.g., impact of the treatment on </w:t>
      </w:r>
      <w:r w:rsidR="00DE25DC" w:rsidRPr="00ED30E1">
        <w:t xml:space="preserve">share of households in a community that </w:t>
      </w:r>
      <w:r w:rsidR="006D39F8" w:rsidRPr="00ED30E1">
        <w:t>participate</w:t>
      </w:r>
      <w:r w:rsidRPr="00ED30E1">
        <w:t>) and household levels (e.g. impacts of the treatment on compliance, ha of forest preserved).</w:t>
      </w:r>
    </w:p>
    <w:p w14:paraId="33179994" w14:textId="77777777" w:rsidR="00D10164" w:rsidRPr="00ED30E1" w:rsidRDefault="00D10164" w:rsidP="00B923DB">
      <w:pPr>
        <w:rPr>
          <w:u w:val="single"/>
        </w:rPr>
      </w:pPr>
    </w:p>
    <w:p w14:paraId="2B6B86CD" w14:textId="35852161" w:rsidR="001C15A0" w:rsidRPr="00ED30E1" w:rsidRDefault="001C15A0" w:rsidP="001C15A0">
      <w:r w:rsidRPr="00ED30E1">
        <w:t>Community-level</w:t>
      </w:r>
      <w:r w:rsidR="00224F93">
        <w:t xml:space="preserve"> intent-to-treat (ITT)</w:t>
      </w:r>
      <w:r w:rsidRPr="00ED30E1">
        <w:t xml:space="preserve"> regression</w:t>
      </w:r>
      <w:r w:rsidR="009666E3" w:rsidRPr="00ED30E1">
        <w:t>s</w:t>
      </w:r>
      <w:r w:rsidRPr="00ED30E1">
        <w:t>: Y</w:t>
      </w:r>
      <w:r w:rsidRPr="00ED30E1">
        <w:rPr>
          <w:vertAlign w:val="subscript"/>
        </w:rPr>
        <w:t>c</w:t>
      </w:r>
      <w:r w:rsidRPr="00ED30E1">
        <w:t xml:space="preserve"> = α + β*U</w:t>
      </w:r>
      <w:r w:rsidRPr="00ED30E1">
        <w:rPr>
          <w:vertAlign w:val="subscript"/>
        </w:rPr>
        <w:t>c</w:t>
      </w:r>
      <w:r w:rsidRPr="00ED30E1">
        <w:t xml:space="preserve"> + λ*S</w:t>
      </w:r>
      <w:r w:rsidRPr="00ED30E1">
        <w:rPr>
          <w:vertAlign w:val="subscript"/>
        </w:rPr>
        <w:t>c</w:t>
      </w:r>
      <w:r w:rsidRPr="00ED30E1">
        <w:t xml:space="preserve"> + ε</w:t>
      </w:r>
      <w:r w:rsidRPr="00ED30E1">
        <w:rPr>
          <w:vertAlign w:val="subscript"/>
        </w:rPr>
        <w:t>c</w:t>
      </w:r>
    </w:p>
    <w:p w14:paraId="571F3D9D" w14:textId="77777777" w:rsidR="001C15A0" w:rsidRPr="00ED30E1" w:rsidRDefault="001C15A0" w:rsidP="001C15A0">
      <w:pPr>
        <w:pStyle w:val="ListParagraph"/>
        <w:numPr>
          <w:ilvl w:val="0"/>
          <w:numId w:val="5"/>
        </w:numPr>
      </w:pPr>
      <w:r w:rsidRPr="00ED30E1">
        <w:t>c: community</w:t>
      </w:r>
    </w:p>
    <w:p w14:paraId="648B9363" w14:textId="7131611A" w:rsidR="001C15A0" w:rsidRPr="00ED30E1" w:rsidRDefault="001C15A0" w:rsidP="001C15A0">
      <w:pPr>
        <w:pStyle w:val="ListParagraph"/>
        <w:numPr>
          <w:ilvl w:val="0"/>
          <w:numId w:val="5"/>
        </w:numPr>
      </w:pPr>
      <w:r w:rsidRPr="00ED30E1">
        <w:t>Y: outcome</w:t>
      </w:r>
    </w:p>
    <w:p w14:paraId="59A2379F" w14:textId="77777777" w:rsidR="001C15A0" w:rsidRPr="00ED30E1" w:rsidRDefault="001C15A0" w:rsidP="001C15A0">
      <w:pPr>
        <w:pStyle w:val="ListParagraph"/>
        <w:numPr>
          <w:ilvl w:val="0"/>
          <w:numId w:val="5"/>
        </w:numPr>
      </w:pPr>
      <w:r w:rsidRPr="00ED30E1">
        <w:t>U: binary=1 if unconditional community</w:t>
      </w:r>
      <w:r w:rsidR="001B0AD4" w:rsidRPr="00ED30E1">
        <w:t>, =0 if conditional community</w:t>
      </w:r>
    </w:p>
    <w:p w14:paraId="3F3CB5DD" w14:textId="77777777" w:rsidR="001C15A0" w:rsidRPr="00ED30E1" w:rsidRDefault="001C15A0" w:rsidP="001C15A0">
      <w:pPr>
        <w:pStyle w:val="ListParagraph"/>
        <w:numPr>
          <w:ilvl w:val="0"/>
          <w:numId w:val="5"/>
        </w:numPr>
      </w:pPr>
      <w:r w:rsidRPr="00ED30E1">
        <w:t>S: binary=1 if</w:t>
      </w:r>
      <w:r w:rsidR="00DE25DC" w:rsidRPr="00ED30E1">
        <w:t xml:space="preserve"> community</w:t>
      </w:r>
      <w:r w:rsidRPr="00ED30E1">
        <w:t xml:space="preserve"> </w:t>
      </w:r>
      <w:r w:rsidR="009666E3" w:rsidRPr="00ED30E1">
        <w:t xml:space="preserve">was </w:t>
      </w:r>
      <w:r w:rsidRPr="00ED30E1">
        <w:t xml:space="preserve">previously offered </w:t>
      </w:r>
      <w:r w:rsidR="001B0AD4" w:rsidRPr="00ED30E1">
        <w:t>Natura’s program, =0 if not previously offered Natura’s program</w:t>
      </w:r>
      <w:r w:rsidRPr="00ED30E1">
        <w:t xml:space="preserve"> (we stratified our randomization</w:t>
      </w:r>
      <w:r w:rsidR="00DE25DC" w:rsidRPr="00ED30E1">
        <w:t xml:space="preserve"> by this variable</w:t>
      </w:r>
      <w:r w:rsidRPr="00ED30E1">
        <w:t>)</w:t>
      </w:r>
    </w:p>
    <w:p w14:paraId="1719B6BB" w14:textId="7984F8A2" w:rsidR="001C15A0" w:rsidRPr="00ED30E1" w:rsidRDefault="001C15A0" w:rsidP="001C15A0">
      <w:pPr>
        <w:pStyle w:val="ListParagraph"/>
        <w:numPr>
          <w:ilvl w:val="0"/>
          <w:numId w:val="5"/>
        </w:numPr>
      </w:pPr>
      <w:r w:rsidRPr="00ED30E1">
        <w:t xml:space="preserve">ε: </w:t>
      </w:r>
      <w:r w:rsidR="002D2B55" w:rsidRPr="00ED30E1">
        <w:t>heteroskedasticy-</w:t>
      </w:r>
      <w:r w:rsidRPr="00ED30E1">
        <w:t>robust standard errors</w:t>
      </w:r>
      <w:r w:rsidR="005E20EA">
        <w:t xml:space="preserve"> (clustering would be by municipality but there are only 5 municipalities</w:t>
      </w:r>
      <w:r w:rsidR="00394AF7">
        <w:t xml:space="preserve"> – too few</w:t>
      </w:r>
      <w:r w:rsidR="00A84043">
        <w:t xml:space="preserve"> </w:t>
      </w:r>
      <w:r w:rsidR="00A84043">
        <w:fldChar w:fldCharType="begin"/>
      </w:r>
      <w:r w:rsidR="00A84043">
        <w:instrText xml:space="preserve"> ADDIN ZOTERO_ITEM CSL_CITATION {"citationID":"G6twQpyg","properties":{"formattedCitation":"(Cameron &amp; Miller, 2015)","plainCitation":"(Cameron &amp; Miller, 2015)","noteIndex":0},"citationItems":[{"id":745,"uris":["http://zotero.org/users/10003145/items/HFH5ZQV5"],"itemData":{"id":745,"type":"article-journal","abstract":"We consider statistical inference for regression when data are grouped into clusters, with regression model errors independent across clusters but correlated within clusters. Examples include data on individuals with clustering on village or region or other category such as industry, and state-year differences-in-differences studies with clustering on state. In such settings, default standard errors can greatly overstate estimator precision. Instead, if the number of clusters is large, statistical inference after OLS should be based on cluster-robust standard errors. We outline the basic method as well as many complications that can arise in practice. These include cluster-specific fixed effects, few clusters, multiway clustering, and estimators other than OLS.","container-title":"Journal of Human Resources","DOI":"10.3368/jhr.50.2.317","issue":"2","page":"317-372","title":"A Practitioner’s Guide to Cluster-Robust Inference","volume":"50","author":[{"family":"Cameron","given":"A Colin"},{"family":"Miller","given":"Douglas L"}],"issued":{"date-parts":[["2015"]]}}}],"schema":"https://github.com/citation-style-language/schema/raw/master/csl-citation.json"} </w:instrText>
      </w:r>
      <w:r w:rsidR="00A84043">
        <w:fldChar w:fldCharType="separate"/>
      </w:r>
      <w:r w:rsidR="00A84043" w:rsidRPr="00A84043">
        <w:rPr>
          <w:rFonts w:cs="Times New Roman"/>
        </w:rPr>
        <w:t>(Cameron &amp; Miller, 2015)</w:t>
      </w:r>
      <w:r w:rsidR="00A84043">
        <w:fldChar w:fldCharType="end"/>
      </w:r>
      <w:r w:rsidR="00394AF7">
        <w:t>)</w:t>
      </w:r>
      <w:r w:rsidR="005E20EA">
        <w:t xml:space="preserve"> </w:t>
      </w:r>
    </w:p>
    <w:p w14:paraId="5083D66F" w14:textId="6D675938" w:rsidR="00AC5C91" w:rsidRPr="003C2B14" w:rsidRDefault="00AC5C91" w:rsidP="001C15A0">
      <w:pPr>
        <w:pStyle w:val="ListParagraph"/>
        <w:numPr>
          <w:ilvl w:val="0"/>
          <w:numId w:val="5"/>
        </w:numPr>
      </w:pPr>
      <w:r w:rsidRPr="00ED30E1">
        <w:t>Depending on results of tests of randomization balance</w:t>
      </w:r>
      <w:r w:rsidR="003C2B14">
        <w:t xml:space="preserve"> and attrition</w:t>
      </w:r>
      <w:r w:rsidRPr="003C2B14">
        <w:t>, additional variables may be added as control variables.</w:t>
      </w:r>
    </w:p>
    <w:p w14:paraId="6CC64A7F" w14:textId="77777777" w:rsidR="001C15A0" w:rsidRPr="00ED30E1" w:rsidRDefault="001C15A0" w:rsidP="00C577FE"/>
    <w:p w14:paraId="0E24D2BD" w14:textId="77777777" w:rsidR="00C577FE" w:rsidRPr="00ED30E1" w:rsidRDefault="00733AD6" w:rsidP="00C577FE">
      <w:r w:rsidRPr="00ED30E1">
        <w:lastRenderedPageBreak/>
        <w:t xml:space="preserve">Household-level, </w:t>
      </w:r>
      <w:r w:rsidR="009666E3" w:rsidRPr="00ED30E1">
        <w:t>intent-to-treat (</w:t>
      </w:r>
      <w:r w:rsidR="00C577FE" w:rsidRPr="00ED30E1">
        <w:t>ITT</w:t>
      </w:r>
      <w:r w:rsidR="009666E3" w:rsidRPr="00ED30E1">
        <w:t>)</w:t>
      </w:r>
      <w:r w:rsidR="00C577FE" w:rsidRPr="00ED30E1">
        <w:t xml:space="preserve"> regression</w:t>
      </w:r>
      <w:r w:rsidR="009666E3" w:rsidRPr="00ED30E1">
        <w:t>s</w:t>
      </w:r>
      <w:r w:rsidR="00C577FE" w:rsidRPr="00ED30E1">
        <w:t>: Y</w:t>
      </w:r>
      <w:r w:rsidR="00C577FE" w:rsidRPr="00ED30E1">
        <w:rPr>
          <w:vertAlign w:val="subscript"/>
        </w:rPr>
        <w:t>hc</w:t>
      </w:r>
      <w:r w:rsidR="00C577FE" w:rsidRPr="00ED30E1">
        <w:t xml:space="preserve"> = α + β*U</w:t>
      </w:r>
      <w:r w:rsidR="00C577FE" w:rsidRPr="00ED30E1">
        <w:rPr>
          <w:vertAlign w:val="subscript"/>
        </w:rPr>
        <w:t>c</w:t>
      </w:r>
      <w:r w:rsidR="00C577FE" w:rsidRPr="00ED30E1">
        <w:t xml:space="preserve"> + λ*S</w:t>
      </w:r>
      <w:r w:rsidR="00C577FE" w:rsidRPr="00ED30E1">
        <w:rPr>
          <w:vertAlign w:val="subscript"/>
        </w:rPr>
        <w:t>c</w:t>
      </w:r>
      <w:r w:rsidR="00C577FE" w:rsidRPr="00ED30E1">
        <w:t xml:space="preserve"> + ε</w:t>
      </w:r>
      <w:r w:rsidR="00C577FE" w:rsidRPr="00ED30E1">
        <w:rPr>
          <w:vertAlign w:val="subscript"/>
        </w:rPr>
        <w:t>hc</w:t>
      </w:r>
    </w:p>
    <w:p w14:paraId="35B56604" w14:textId="77777777" w:rsidR="00C577FE" w:rsidRPr="00ED30E1" w:rsidRDefault="00C577FE" w:rsidP="00C577FE">
      <w:pPr>
        <w:pStyle w:val="ListParagraph"/>
        <w:numPr>
          <w:ilvl w:val="0"/>
          <w:numId w:val="5"/>
        </w:numPr>
      </w:pPr>
      <w:r w:rsidRPr="00ED30E1">
        <w:t>h: household</w:t>
      </w:r>
    </w:p>
    <w:p w14:paraId="0B177AA1" w14:textId="77777777" w:rsidR="00C577FE" w:rsidRPr="00ED30E1" w:rsidRDefault="00C577FE" w:rsidP="00C577FE">
      <w:pPr>
        <w:pStyle w:val="ListParagraph"/>
        <w:numPr>
          <w:ilvl w:val="0"/>
          <w:numId w:val="5"/>
        </w:numPr>
      </w:pPr>
      <w:r w:rsidRPr="00ED30E1">
        <w:t>Y: outcome</w:t>
      </w:r>
    </w:p>
    <w:p w14:paraId="1EC8176E" w14:textId="77777777" w:rsidR="00C577FE" w:rsidRPr="00ED30E1" w:rsidRDefault="00C577FE" w:rsidP="00C577FE">
      <w:pPr>
        <w:pStyle w:val="ListParagraph"/>
        <w:numPr>
          <w:ilvl w:val="0"/>
          <w:numId w:val="5"/>
        </w:numPr>
      </w:pPr>
      <w:r w:rsidRPr="00ED30E1">
        <w:t>U: binary=1 if unconditional community</w:t>
      </w:r>
      <w:r w:rsidR="001B0AD4" w:rsidRPr="00ED30E1">
        <w:t>, =0 if conditional community</w:t>
      </w:r>
    </w:p>
    <w:p w14:paraId="7D379F7D" w14:textId="6D79B953" w:rsidR="001B0AD4" w:rsidRPr="00ED30E1" w:rsidRDefault="001B0AD4" w:rsidP="001B0AD4">
      <w:pPr>
        <w:pStyle w:val="ListParagraph"/>
        <w:numPr>
          <w:ilvl w:val="0"/>
          <w:numId w:val="5"/>
        </w:numPr>
      </w:pPr>
      <w:r w:rsidRPr="00ED30E1">
        <w:t xml:space="preserve">S: binary=1 if </w:t>
      </w:r>
      <w:r w:rsidR="00DE25DC" w:rsidRPr="00ED30E1">
        <w:t>community</w:t>
      </w:r>
      <w:r w:rsidR="009666E3" w:rsidRPr="00ED30E1">
        <w:t xml:space="preserve"> was</w:t>
      </w:r>
      <w:r w:rsidR="00DE25DC" w:rsidRPr="00ED30E1">
        <w:t xml:space="preserve"> </w:t>
      </w:r>
      <w:r w:rsidRPr="00ED30E1">
        <w:t>previously offered Natura’s program, =0 if not previously offered Natura’s program (we stratified our randomization)</w:t>
      </w:r>
    </w:p>
    <w:p w14:paraId="59EE7804" w14:textId="2EC311B7" w:rsidR="00C577FE" w:rsidRPr="00ED30E1" w:rsidRDefault="00C577FE" w:rsidP="00C577FE">
      <w:pPr>
        <w:pStyle w:val="ListParagraph"/>
        <w:numPr>
          <w:ilvl w:val="0"/>
          <w:numId w:val="5"/>
        </w:numPr>
      </w:pPr>
      <w:r w:rsidRPr="00ED30E1">
        <w:t>ε: standard errors clustered at the community level</w:t>
      </w:r>
      <w:r w:rsidR="008B2264">
        <w:t xml:space="preserve"> (68 communities)</w:t>
      </w:r>
    </w:p>
    <w:p w14:paraId="2C7F2A2A" w14:textId="002E26C7" w:rsidR="00AC5C91" w:rsidRPr="000C253F" w:rsidRDefault="00AC5C91" w:rsidP="00AC5C91">
      <w:pPr>
        <w:pStyle w:val="ListParagraph"/>
        <w:numPr>
          <w:ilvl w:val="0"/>
          <w:numId w:val="5"/>
        </w:numPr>
      </w:pPr>
      <w:r w:rsidRPr="00ED30E1">
        <w:t>Depending on results of tests of randomization balance</w:t>
      </w:r>
      <w:r w:rsidR="003C2B14" w:rsidRPr="003C2B14">
        <w:t xml:space="preserve"> </w:t>
      </w:r>
      <w:r w:rsidR="003C2B14">
        <w:t>and attrition</w:t>
      </w:r>
      <w:r w:rsidRPr="003C2B14">
        <w:t>, additional variables may be added as control variables.</w:t>
      </w:r>
    </w:p>
    <w:p w14:paraId="258158A3" w14:textId="77777777" w:rsidR="00A7175B" w:rsidRPr="00ED30E1" w:rsidRDefault="00A7175B" w:rsidP="00B923DB"/>
    <w:p w14:paraId="516050A6" w14:textId="62B2A01E" w:rsidR="00C577FE" w:rsidRPr="0049699B" w:rsidRDefault="00C577FE" w:rsidP="00920319">
      <w:r w:rsidRPr="00ED30E1">
        <w:t xml:space="preserve">Depending on the impact of the treatment on participation rate, </w:t>
      </w:r>
      <w:r w:rsidR="00A64708" w:rsidRPr="00ED30E1">
        <w:t xml:space="preserve">household-level </w:t>
      </w:r>
      <w:r w:rsidR="009666E3" w:rsidRPr="00ED30E1">
        <w:t>treatment-on-the-treated (</w:t>
      </w:r>
      <w:r w:rsidRPr="00ED30E1">
        <w:t>TOT</w:t>
      </w:r>
      <w:r w:rsidR="009666E3" w:rsidRPr="00ED30E1">
        <w:t>)</w:t>
      </w:r>
      <w:r w:rsidRPr="00ED30E1">
        <w:t xml:space="preserve"> estimates of the impact of actual participation (instrumented </w:t>
      </w:r>
      <w:r w:rsidRPr="00CB5FAA">
        <w:t>by the random assignment) on household-level outcomes may be implemented</w:t>
      </w:r>
      <w:r w:rsidRPr="004D5D58">
        <w:t>: Y</w:t>
      </w:r>
      <w:r w:rsidRPr="008344EA">
        <w:rPr>
          <w:vertAlign w:val="subscript"/>
        </w:rPr>
        <w:t>hc</w:t>
      </w:r>
      <w:r w:rsidRPr="008344EA">
        <w:t xml:space="preserve"> = α + β*P</w:t>
      </w:r>
      <w:r w:rsidRPr="008344EA">
        <w:rPr>
          <w:vertAlign w:val="subscript"/>
        </w:rPr>
        <w:t>hc</w:t>
      </w:r>
      <w:r w:rsidRPr="0049699B">
        <w:t xml:space="preserve"> + λ*S</w:t>
      </w:r>
      <w:r w:rsidRPr="0049699B">
        <w:rPr>
          <w:vertAlign w:val="subscript"/>
        </w:rPr>
        <w:t>c</w:t>
      </w:r>
      <w:r w:rsidRPr="0049699B">
        <w:t xml:space="preserve"> + ε</w:t>
      </w:r>
      <w:r w:rsidRPr="0049699B">
        <w:rPr>
          <w:vertAlign w:val="subscript"/>
        </w:rPr>
        <w:t>hc</w:t>
      </w:r>
      <w:r w:rsidRPr="0049699B">
        <w:t>; instrument P</w:t>
      </w:r>
      <w:r w:rsidRPr="00ED30E1">
        <w:rPr>
          <w:vertAlign w:val="subscript"/>
        </w:rPr>
        <w:t xml:space="preserve">hc </w:t>
      </w:r>
      <w:r w:rsidRPr="00ED30E1">
        <w:t>with U</w:t>
      </w:r>
      <w:r w:rsidRPr="00ED30E1">
        <w:rPr>
          <w:vertAlign w:val="subscript"/>
        </w:rPr>
        <w:t>c</w:t>
      </w:r>
      <w:r w:rsidR="00EA3F0E" w:rsidRPr="00ED30E1">
        <w:rPr>
          <w:vertAlign w:val="subscript"/>
        </w:rPr>
        <w:t xml:space="preserve">. </w:t>
      </w:r>
      <w:r w:rsidRPr="0049699B">
        <w:t>h: household</w:t>
      </w:r>
    </w:p>
    <w:p w14:paraId="7702DD8C" w14:textId="77777777" w:rsidR="00C577FE" w:rsidRPr="00ED30E1" w:rsidRDefault="00C577FE" w:rsidP="00C577FE">
      <w:pPr>
        <w:pStyle w:val="ListParagraph"/>
        <w:numPr>
          <w:ilvl w:val="0"/>
          <w:numId w:val="5"/>
        </w:numPr>
      </w:pPr>
      <w:r w:rsidRPr="00ED30E1">
        <w:t xml:space="preserve">P: dummy=1 if household participated (signed a contract), =0 if didn’t sign a contract </w:t>
      </w:r>
    </w:p>
    <w:p w14:paraId="43FA3D9E" w14:textId="77777777" w:rsidR="00C577FE" w:rsidRPr="0049699B" w:rsidRDefault="00C577FE" w:rsidP="00C577FE">
      <w:pPr>
        <w:pStyle w:val="ListParagraph"/>
        <w:numPr>
          <w:ilvl w:val="0"/>
          <w:numId w:val="5"/>
        </w:numPr>
      </w:pPr>
      <w:r w:rsidRPr="00ED30E1">
        <w:t>Y: outcome</w:t>
      </w:r>
    </w:p>
    <w:p w14:paraId="721AB6AE" w14:textId="77777777" w:rsidR="00C577FE" w:rsidRPr="00ED30E1" w:rsidRDefault="00C577FE" w:rsidP="00C577FE">
      <w:pPr>
        <w:pStyle w:val="ListParagraph"/>
        <w:numPr>
          <w:ilvl w:val="0"/>
          <w:numId w:val="5"/>
        </w:numPr>
      </w:pPr>
      <w:r w:rsidRPr="00ED30E1">
        <w:t>U: binary=1 if unconditional community</w:t>
      </w:r>
      <w:r w:rsidR="001B0AD4" w:rsidRPr="00ED30E1">
        <w:t>, =0 if conditional community</w:t>
      </w:r>
    </w:p>
    <w:p w14:paraId="05DF1AB7" w14:textId="77777777" w:rsidR="001B0AD4" w:rsidRPr="00ED30E1" w:rsidRDefault="001B0AD4" w:rsidP="001B0AD4">
      <w:pPr>
        <w:pStyle w:val="ListParagraph"/>
        <w:numPr>
          <w:ilvl w:val="0"/>
          <w:numId w:val="5"/>
        </w:numPr>
      </w:pPr>
      <w:r w:rsidRPr="00ED30E1">
        <w:t xml:space="preserve">S: binary=1 if </w:t>
      </w:r>
      <w:r w:rsidR="000A7BAF" w:rsidRPr="00ED30E1">
        <w:t xml:space="preserve">community was </w:t>
      </w:r>
      <w:r w:rsidRPr="00ED30E1">
        <w:t>previously offered Natura’s program, =0 if not previously offered Natura’s program (we stratified our randomization)</w:t>
      </w:r>
    </w:p>
    <w:p w14:paraId="5B10885D" w14:textId="77777777" w:rsidR="00C577FE" w:rsidRPr="00ED30E1" w:rsidRDefault="00C577FE" w:rsidP="00C577FE">
      <w:pPr>
        <w:pStyle w:val="ListParagraph"/>
        <w:numPr>
          <w:ilvl w:val="0"/>
          <w:numId w:val="5"/>
        </w:numPr>
      </w:pPr>
      <w:r w:rsidRPr="00ED30E1">
        <w:t>ε: standard errors clustered at the community level</w:t>
      </w:r>
    </w:p>
    <w:p w14:paraId="244C463B" w14:textId="5928E3CD" w:rsidR="00AC5C91" w:rsidRPr="003C2B14" w:rsidRDefault="00AC5C91" w:rsidP="00AC5C91">
      <w:pPr>
        <w:pStyle w:val="ListParagraph"/>
        <w:numPr>
          <w:ilvl w:val="0"/>
          <w:numId w:val="5"/>
        </w:numPr>
      </w:pPr>
      <w:r w:rsidRPr="00ED30E1">
        <w:t>Depending on results of tests of randomization balance</w:t>
      </w:r>
      <w:r w:rsidR="003C2B14" w:rsidRPr="003C2B14">
        <w:t xml:space="preserve"> </w:t>
      </w:r>
      <w:r w:rsidR="003C2B14">
        <w:t>and attrition</w:t>
      </w:r>
      <w:r w:rsidRPr="003C2B14">
        <w:t>, additional variables may be added as control variables.</w:t>
      </w:r>
    </w:p>
    <w:p w14:paraId="1D2F153C" w14:textId="77777777" w:rsidR="00C577FE" w:rsidRPr="00ED30E1" w:rsidRDefault="00C577FE" w:rsidP="00B923DB"/>
    <w:p w14:paraId="629BA070" w14:textId="1FBB2E77" w:rsidR="0049699B" w:rsidRDefault="0049699B" w:rsidP="00B923DB">
      <w:r>
        <w:t>W</w:t>
      </w:r>
      <w:r w:rsidRPr="0049699B">
        <w:t>e will also explore the use of propensity score matching in which we will predict the effects of take up</w:t>
      </w:r>
      <w:r>
        <w:t xml:space="preserve"> of the program</w:t>
      </w:r>
      <w:r w:rsidRPr="0049699B">
        <w:t xml:space="preserve"> on outcomes, with take up predicted by knowledge about </w:t>
      </w:r>
      <w:r>
        <w:t>PES</w:t>
      </w:r>
      <w:r w:rsidRPr="0049699B">
        <w:t xml:space="preserve"> and human capital variables</w:t>
      </w:r>
      <w:r>
        <w:t xml:space="preserve">. While this approach does not allow us to measure the causal effect of the assignment to conditional or unconditional PES on the outcomes of interest, it may yield </w:t>
      </w:r>
      <w:r w:rsidR="008034B2">
        <w:t>valuable</w:t>
      </w:r>
      <w:r>
        <w:t xml:space="preserve"> insights on the relationship between participation in the program and outcomes.</w:t>
      </w:r>
    </w:p>
    <w:p w14:paraId="0D478CCD" w14:textId="77777777" w:rsidR="0061620C" w:rsidRPr="00ED30E1" w:rsidRDefault="0061620C" w:rsidP="00B923DB"/>
    <w:p w14:paraId="0CF14567" w14:textId="77777777" w:rsidR="00B923DB" w:rsidRPr="00ED30E1" w:rsidRDefault="000A15E4" w:rsidP="00B923DB">
      <w:pPr>
        <w:rPr>
          <w:u w:val="single"/>
        </w:rPr>
      </w:pPr>
      <w:r w:rsidRPr="00ED30E1">
        <w:rPr>
          <w:u w:val="single"/>
        </w:rPr>
        <w:t>M</w:t>
      </w:r>
      <w:r w:rsidR="00B923DB" w:rsidRPr="00ED30E1">
        <w:rPr>
          <w:u w:val="single"/>
        </w:rPr>
        <w:t>ultiple outcomes and multiple hypothesis testin</w:t>
      </w:r>
      <w:r w:rsidR="00B923DB" w:rsidRPr="008034B2">
        <w:rPr>
          <w:u w:val="single"/>
        </w:rPr>
        <w:t>g?</w:t>
      </w:r>
    </w:p>
    <w:p w14:paraId="1F004B59" w14:textId="77777777" w:rsidR="000A15E4" w:rsidRPr="00CB5FAA" w:rsidRDefault="000A15E4" w:rsidP="00B923DB">
      <w:r w:rsidRPr="00ED30E1">
        <w:t xml:space="preserve">We will </w:t>
      </w:r>
      <w:r w:rsidR="008752A6" w:rsidRPr="00ED30E1">
        <w:t>correct standard errors in our main analyses to account for multiple hypotheses testing using Anderson’</w:t>
      </w:r>
      <w:r w:rsidR="00085A40" w:rsidRPr="00ED30E1">
        <w:t>s</w:t>
      </w:r>
      <w:r w:rsidR="008752A6" w:rsidRPr="00ED30E1">
        <w:t xml:space="preserve"> sharpened q-values </w:t>
      </w:r>
      <w:r w:rsidR="00390254" w:rsidRPr="00CB5FAA">
        <w:fldChar w:fldCharType="begin"/>
      </w:r>
      <w:r w:rsidR="008752A6" w:rsidRPr="00ED30E1">
        <w:instrText xml:space="preserve"> ADDIN ZOTERO_ITEM CSL_CITATION {"citationID":"fVbY7TZ3","properties":{"formattedCitation":"(Anderson, 2008)","plainCitation":"(Anderson, 2008)","noteIndex":0},"citationItems":[{"id":2086,"uris":["http://zotero.org/users/10003145/items/AVG3DILJ"],"itemData":{"id":2086,"type":"article-journal","abstract":"The view that the returns to educational investments are highest for early childhood interventions is widely held and stems primarily from several influential randomized trials?Abecedarian, Perry, and the Early Training Project?that point to super-normal returns to early interventions. This article presents a de novo analysis of these experiments, focusing on two core issues that have received limited attention in previous analyses: treatment effect heterogeneity by gender and overrejection of the null hypothesis due to multiple inference. To address the latter issue, a statistical framework that combines summary index tests with familywise error rate and false discovery rate corrections is implemented. The first technique reduces the number of tests conducted; the latter two techniques adjust the p values for multiple inference. The primary finding of the reanalysis is that girls garnered substantial short- and long-term benefits from the interventions, but there were no significant long-term benefits for boys. These conclusions, which have appeared ambiguous when using ?naive? estimators that fail to adjust for multiple testing, contribute to a growing literature on the emerging female?male academic achievement gap. They also demonstrate that in complex studies where multiple questions are asked of the same data set, it can be important to declare the family of tests under consideration and to either consolidate measures or report adjusted and unadjusted p values.","container-title":"Journal of the American Statistical Association","DOI":"10.1198/016214508000000841","ISSN":"0162-1459","issue":"484","page":"1481-1495","title":"Multiple Inference and Gender Differences in the Effects of Early Intervention: A Reevaluation of the Abecedarian, Perry Preschool, and Early Training Projects","volume":"103","author":[{"family":"Anderson","given":"Michael L"}],"issued":{"date-parts":[["2008"]]}}}],"schema":"https://github.com/citation-style-language/schema/raw/master/csl-citation.json"} </w:instrText>
      </w:r>
      <w:r w:rsidR="00390254" w:rsidRPr="00CB5FAA">
        <w:fldChar w:fldCharType="separate"/>
      </w:r>
      <w:r w:rsidR="008752A6" w:rsidRPr="00CB5FAA">
        <w:rPr>
          <w:rFonts w:cs="Times New Roman"/>
        </w:rPr>
        <w:t>(Anderson, 2008)</w:t>
      </w:r>
      <w:r w:rsidR="00390254" w:rsidRPr="00CB5FAA">
        <w:fldChar w:fldCharType="end"/>
      </w:r>
      <w:r w:rsidR="008752A6" w:rsidRPr="00CB5FAA">
        <w:t>.</w:t>
      </w:r>
    </w:p>
    <w:p w14:paraId="69576162" w14:textId="77777777" w:rsidR="000A15E4" w:rsidRPr="004D5D58" w:rsidRDefault="000A15E4" w:rsidP="00B923DB"/>
    <w:p w14:paraId="583FD473" w14:textId="77777777" w:rsidR="00BC429E" w:rsidRPr="008344EA" w:rsidRDefault="00BC429E" w:rsidP="00B923DB">
      <w:pPr>
        <w:rPr>
          <w:u w:val="single"/>
        </w:rPr>
      </w:pPr>
      <w:r w:rsidRPr="008344EA">
        <w:rPr>
          <w:u w:val="single"/>
        </w:rPr>
        <w:t>Attrition</w:t>
      </w:r>
    </w:p>
    <w:p w14:paraId="23C6368A" w14:textId="77777777" w:rsidR="00BC429E" w:rsidRPr="00ED30E1" w:rsidRDefault="00BC429E" w:rsidP="00B923DB">
      <w:pPr>
        <w:rPr>
          <w:szCs w:val="24"/>
        </w:rPr>
      </w:pPr>
      <w:r w:rsidRPr="008344EA">
        <w:t>We will calculate the number and percentage of households that signed up for Natura’s program but could not be found for the household survey.</w:t>
      </w:r>
      <w:r w:rsidR="00FE02BD" w:rsidRPr="0049699B">
        <w:t xml:space="preserve"> To estimate whether attrition creates bias in our estimates of the impacts of the program, we will test </w:t>
      </w:r>
      <w:r w:rsidR="00FE02BD" w:rsidRPr="008034B2">
        <w:rPr>
          <w:szCs w:val="24"/>
        </w:rPr>
        <w:t>for differential attrition by</w:t>
      </w:r>
      <w:r w:rsidR="00FE02BD" w:rsidRPr="00ED30E1">
        <w:rPr>
          <w:szCs w:val="24"/>
        </w:rPr>
        <w:t xml:space="preserve"> regressing a dummy variable indicating that a household was not found in the survey on a dummy variable for the treatment group (=1 if household lives in village assigned to the unconditional program, =0 if conditional program) and a dummy variable indicating whether the household lived in village previously offered Natura’s program. We will also test for selective attrition by regressing key variables (not impacted by the program, akin to a baseline measure) on a binary variable indicating that a household attrited and a binary variables indicating whether the household lived in village previously offered Natura’s program.</w:t>
      </w:r>
    </w:p>
    <w:p w14:paraId="06272228" w14:textId="77777777" w:rsidR="00380CEB" w:rsidRPr="00ED30E1" w:rsidRDefault="00380CEB" w:rsidP="00B923DB">
      <w:pPr>
        <w:rPr>
          <w:szCs w:val="24"/>
        </w:rPr>
      </w:pPr>
    </w:p>
    <w:p w14:paraId="2655F9BA" w14:textId="77777777" w:rsidR="00380CEB" w:rsidRPr="00CB5FAA" w:rsidRDefault="00380CEB" w:rsidP="00B923DB">
      <w:r w:rsidRPr="00ED30E1">
        <w:rPr>
          <w:szCs w:val="24"/>
        </w:rPr>
        <w:lastRenderedPageBreak/>
        <w:t>If attrition was systematic (related to the treatment assignment), we will calculate Lee bounds for our impact estimates</w:t>
      </w:r>
      <w:r w:rsidR="006062AC" w:rsidRPr="00ED30E1">
        <w:rPr>
          <w:szCs w:val="24"/>
        </w:rPr>
        <w:t xml:space="preserve"> </w:t>
      </w:r>
      <w:r w:rsidR="00390254" w:rsidRPr="00CB5FAA">
        <w:rPr>
          <w:szCs w:val="24"/>
        </w:rPr>
        <w:fldChar w:fldCharType="begin"/>
      </w:r>
      <w:r w:rsidR="006062AC" w:rsidRPr="00ED30E1">
        <w:rPr>
          <w:szCs w:val="24"/>
        </w:rPr>
        <w:instrText xml:space="preserve"> ADDIN ZOTERO_ITEM CSL_CITATION {"citationID":"IkmnlWTG","properties":{"formattedCitation":"(Lee, 2009)","plainCitation":"(Lee, 2009)","noteIndex":0},"citationItems":[{"id":833,"uris":["http://zotero.org/users/10003145/items/IDTV45LJ"],"itemData":{"id":833,"type":"article-journal","abstract":"This paper empirically assesses the wage effects of the Job Corps program, one of the largest federally funded job training programs in the U.S. Even with the aid of a randomized experiment, the impact of a training program on wages is difficult to study because of sample selection, a pervasive problem in applied microeconometric research. Wage rates are only observed for those who are employed, and employment status itself may be affected by the training program. This paper develops an intuitive trimming procedure for bounding average treatment effects in the presence of sample selection. In contrast to existing methods, the procedure requires neither exclusion restrictions nor a bounded support for the outcome of interest. Identification results, estimators, and their asymptotic distribution are presented. The bounds suggest that the program raised wages, consistent with the notion that the Job Corps raises earnings by increasing human capital, rather than solely through encouraging work. The estimator is generally applicable to typical treatment evaluation problems in which there is nonrandom sample selection/attrition.","container-title":"The Review of Economic Studies","DOI":"10.1111/j.1467-937X.2009.00536.x","ISSN":"0034-6527","page":"1071-1102","title":"Training, Wages, and Sample Selection: Estimating Sharp Bounds on Treatment Effects","volume":"76","author":[{"family":"Lee","given":"David S"}],"issued":{"date-parts":[["2009"]]}}}],"schema":"https://github.com/citation-style-language/schema/raw/master/csl-citation.json"} </w:instrText>
      </w:r>
      <w:r w:rsidR="00390254" w:rsidRPr="00CB5FAA">
        <w:rPr>
          <w:szCs w:val="24"/>
        </w:rPr>
        <w:fldChar w:fldCharType="separate"/>
      </w:r>
      <w:r w:rsidR="006062AC" w:rsidRPr="00CB5FAA">
        <w:rPr>
          <w:rFonts w:cs="Times New Roman"/>
        </w:rPr>
        <w:t>(Lee, 2009)</w:t>
      </w:r>
      <w:r w:rsidR="00390254" w:rsidRPr="00CB5FAA">
        <w:rPr>
          <w:szCs w:val="24"/>
        </w:rPr>
        <w:fldChar w:fldCharType="end"/>
      </w:r>
      <w:r w:rsidRPr="00CB5FAA">
        <w:rPr>
          <w:szCs w:val="24"/>
        </w:rPr>
        <w:t>.</w:t>
      </w:r>
    </w:p>
    <w:p w14:paraId="4B5A19F4" w14:textId="77777777" w:rsidR="00BC429E" w:rsidRPr="004D5D58" w:rsidRDefault="00BC429E" w:rsidP="00B923DB"/>
    <w:p w14:paraId="5AA2871F" w14:textId="77777777" w:rsidR="00BC429E" w:rsidRPr="008344EA" w:rsidRDefault="00BC429E" w:rsidP="00B923DB">
      <w:r w:rsidRPr="008344EA">
        <w:t xml:space="preserve">There is no attrition for non-participants since they were recruited from the villages and </w:t>
      </w:r>
      <w:r w:rsidR="00C645A7" w:rsidRPr="008344EA">
        <w:t>sampled with replacement</w:t>
      </w:r>
      <w:r w:rsidRPr="008344EA">
        <w:t>.</w:t>
      </w:r>
    </w:p>
    <w:p w14:paraId="2826962A" w14:textId="77777777" w:rsidR="00BC429E" w:rsidRPr="0049699B" w:rsidRDefault="00BC429E" w:rsidP="00B923DB"/>
    <w:p w14:paraId="6B5BA44B" w14:textId="77777777" w:rsidR="008752A6" w:rsidRPr="008034B2" w:rsidRDefault="008752A6" w:rsidP="00096408">
      <w:pPr>
        <w:rPr>
          <w:u w:val="single"/>
        </w:rPr>
      </w:pPr>
      <w:r w:rsidRPr="008034B2">
        <w:rPr>
          <w:u w:val="single"/>
        </w:rPr>
        <w:t>References</w:t>
      </w:r>
    </w:p>
    <w:p w14:paraId="15E8F5EC" w14:textId="77777777" w:rsidR="005D6559" w:rsidRPr="005D6559" w:rsidRDefault="00390254" w:rsidP="00C90A50">
      <w:pPr>
        <w:pStyle w:val="Bibliography"/>
        <w:spacing w:after="240" w:line="240" w:lineRule="auto"/>
        <w:rPr>
          <w:rFonts w:cs="Times New Roman"/>
        </w:rPr>
      </w:pPr>
      <w:r w:rsidRPr="00CB5FAA">
        <w:fldChar w:fldCharType="begin"/>
      </w:r>
      <w:r w:rsidR="005D6559">
        <w:instrText xml:space="preserve"> ADDIN ZOTERO_BIBL {"uncited":[],"omitted":[],"custom":[]} CSL_BIBLIOGRAPHY </w:instrText>
      </w:r>
      <w:r w:rsidRPr="00CB5FAA">
        <w:fldChar w:fldCharType="separate"/>
      </w:r>
      <w:r w:rsidR="005D6559" w:rsidRPr="005D6559">
        <w:rPr>
          <w:rFonts w:cs="Times New Roman"/>
        </w:rPr>
        <w:t xml:space="preserve">Anderson, M. L. (2008). Multiple Inference and Gender Differences in the Effects of Early Intervention: A Reevaluation of the Abecedarian, Perry Preschool, and Early Training Projects. </w:t>
      </w:r>
      <w:r w:rsidR="005D6559" w:rsidRPr="005D6559">
        <w:rPr>
          <w:rFonts w:cs="Times New Roman"/>
          <w:i/>
          <w:iCs/>
        </w:rPr>
        <w:t>Journal of the American Statistical Association</w:t>
      </w:r>
      <w:r w:rsidR="005D6559" w:rsidRPr="005D6559">
        <w:rPr>
          <w:rFonts w:cs="Times New Roman"/>
        </w:rPr>
        <w:t xml:space="preserve">, </w:t>
      </w:r>
      <w:r w:rsidR="005D6559" w:rsidRPr="005D6559">
        <w:rPr>
          <w:rFonts w:cs="Times New Roman"/>
          <w:i/>
          <w:iCs/>
        </w:rPr>
        <w:t>103</w:t>
      </w:r>
      <w:r w:rsidR="005D6559" w:rsidRPr="005D6559">
        <w:rPr>
          <w:rFonts w:cs="Times New Roman"/>
        </w:rPr>
        <w:t>(484), 1481–1495. https://doi.org/10.1198/016214508000000841</w:t>
      </w:r>
    </w:p>
    <w:p w14:paraId="252F1B47" w14:textId="77777777" w:rsidR="005D6559" w:rsidRPr="005D6559" w:rsidRDefault="005D6559" w:rsidP="00C90A50">
      <w:pPr>
        <w:pStyle w:val="Bibliography"/>
        <w:spacing w:after="240" w:line="240" w:lineRule="auto"/>
        <w:rPr>
          <w:rFonts w:cs="Times New Roman"/>
        </w:rPr>
      </w:pPr>
      <w:r w:rsidRPr="005D6559">
        <w:rPr>
          <w:rFonts w:cs="Times New Roman"/>
        </w:rPr>
        <w:t xml:space="preserve">Cameron, A. C., &amp; Miller, D. L. (2015). A Practitioner’s Guide to Cluster-Robust Inference. </w:t>
      </w:r>
      <w:r w:rsidRPr="005D6559">
        <w:rPr>
          <w:rFonts w:cs="Times New Roman"/>
          <w:i/>
          <w:iCs/>
        </w:rPr>
        <w:t>Journal of Human Resources</w:t>
      </w:r>
      <w:r w:rsidRPr="005D6559">
        <w:rPr>
          <w:rFonts w:cs="Times New Roman"/>
        </w:rPr>
        <w:t xml:space="preserve">, </w:t>
      </w:r>
      <w:r w:rsidRPr="005D6559">
        <w:rPr>
          <w:rFonts w:cs="Times New Roman"/>
          <w:i/>
          <w:iCs/>
        </w:rPr>
        <w:t>50</w:t>
      </w:r>
      <w:r w:rsidRPr="005D6559">
        <w:rPr>
          <w:rFonts w:cs="Times New Roman"/>
        </w:rPr>
        <w:t>(2), 317–372. https://doi.org/10.3368/jhr.50.2.317</w:t>
      </w:r>
    </w:p>
    <w:p w14:paraId="1B3643A5" w14:textId="77777777" w:rsidR="005D6559" w:rsidRPr="005D6559" w:rsidRDefault="005D6559" w:rsidP="00C90A50">
      <w:pPr>
        <w:pStyle w:val="Bibliography"/>
        <w:spacing w:after="240" w:line="240" w:lineRule="auto"/>
        <w:rPr>
          <w:rFonts w:cs="Times New Roman"/>
        </w:rPr>
      </w:pPr>
      <w:r w:rsidRPr="005D6559">
        <w:rPr>
          <w:rFonts w:cs="Times New Roman"/>
        </w:rPr>
        <w:t xml:space="preserve">Lee, D. S. (2009). Training, Wages, and Sample Selection: Estimating Sharp Bounds on Treatment Effects. </w:t>
      </w:r>
      <w:r w:rsidRPr="005D6559">
        <w:rPr>
          <w:rFonts w:cs="Times New Roman"/>
          <w:i/>
          <w:iCs/>
        </w:rPr>
        <w:t>The Review of Economic Studies</w:t>
      </w:r>
      <w:r w:rsidRPr="005D6559">
        <w:rPr>
          <w:rFonts w:cs="Times New Roman"/>
        </w:rPr>
        <w:t xml:space="preserve">, </w:t>
      </w:r>
      <w:r w:rsidRPr="005D6559">
        <w:rPr>
          <w:rFonts w:cs="Times New Roman"/>
          <w:i/>
          <w:iCs/>
        </w:rPr>
        <w:t>76</w:t>
      </w:r>
      <w:r w:rsidRPr="005D6559">
        <w:rPr>
          <w:rFonts w:cs="Times New Roman"/>
        </w:rPr>
        <w:t>, 1071–1102. https://doi.org/10.1111/j.1467-937X.2009.00536.x</w:t>
      </w:r>
    </w:p>
    <w:p w14:paraId="593EAEE7" w14:textId="6FE6AF30" w:rsidR="00B923DB" w:rsidRPr="00CB5FAA" w:rsidRDefault="00390254" w:rsidP="00C90A50">
      <w:pPr>
        <w:pStyle w:val="Bibliography"/>
        <w:spacing w:after="240" w:line="240" w:lineRule="auto"/>
      </w:pPr>
      <w:r w:rsidRPr="00CB5FAA">
        <w:fldChar w:fldCharType="end"/>
      </w:r>
      <w:r w:rsidR="00727F76" w:rsidRPr="00CB5FAA">
        <w:t xml:space="preserve"> </w:t>
      </w:r>
    </w:p>
    <w:p w14:paraId="35C0307F" w14:textId="59EBD6D5" w:rsidR="00B923DB" w:rsidRPr="00CB5FAA" w:rsidRDefault="00B923DB" w:rsidP="00BB24AD"/>
    <w:sectPr w:rsidR="00B923DB" w:rsidRPr="00CB5FAA" w:rsidSect="00313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79C7"/>
    <w:multiLevelType w:val="hybridMultilevel"/>
    <w:tmpl w:val="78689FFC"/>
    <w:lvl w:ilvl="0" w:tplc="C1BA97D0">
      <w:start w:val="3"/>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D1F83"/>
    <w:multiLevelType w:val="hybridMultilevel"/>
    <w:tmpl w:val="5CEAD13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D95702E"/>
    <w:multiLevelType w:val="hybridMultilevel"/>
    <w:tmpl w:val="6EAE948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DCB5EE7"/>
    <w:multiLevelType w:val="hybridMultilevel"/>
    <w:tmpl w:val="13C4A4E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BF24CB8"/>
    <w:multiLevelType w:val="hybridMultilevel"/>
    <w:tmpl w:val="6EAE948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376F6"/>
    <w:multiLevelType w:val="hybridMultilevel"/>
    <w:tmpl w:val="9F88C764"/>
    <w:lvl w:ilvl="0" w:tplc="589A6F2E">
      <w:numFmt w:val="bullet"/>
      <w:lvlText w:val=""/>
      <w:lvlJc w:val="left"/>
      <w:pPr>
        <w:ind w:left="720" w:hanging="360"/>
      </w:pPr>
      <w:rPr>
        <w:rFonts w:ascii="Symbol" w:eastAsiaTheme="minorHAns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B446DB"/>
    <w:multiLevelType w:val="hybridMultilevel"/>
    <w:tmpl w:val="6EAE948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4264FB2"/>
    <w:multiLevelType w:val="hybridMultilevel"/>
    <w:tmpl w:val="32066EBA"/>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60A2C8E"/>
    <w:multiLevelType w:val="hybridMultilevel"/>
    <w:tmpl w:val="6EAE948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08"/>
    <w:rsid w:val="0005318E"/>
    <w:rsid w:val="00085A40"/>
    <w:rsid w:val="00093136"/>
    <w:rsid w:val="00096408"/>
    <w:rsid w:val="000A15E4"/>
    <w:rsid w:val="000A7BAF"/>
    <w:rsid w:val="000C253F"/>
    <w:rsid w:val="000C3216"/>
    <w:rsid w:val="000C4B6B"/>
    <w:rsid w:val="000C68A7"/>
    <w:rsid w:val="000E1839"/>
    <w:rsid w:val="00112C9F"/>
    <w:rsid w:val="00134300"/>
    <w:rsid w:val="001B0AD4"/>
    <w:rsid w:val="001C15A0"/>
    <w:rsid w:val="0021030C"/>
    <w:rsid w:val="00215678"/>
    <w:rsid w:val="00224F93"/>
    <w:rsid w:val="00234D9C"/>
    <w:rsid w:val="00246F9C"/>
    <w:rsid w:val="002615BE"/>
    <w:rsid w:val="00265702"/>
    <w:rsid w:val="00271177"/>
    <w:rsid w:val="00284C44"/>
    <w:rsid w:val="002C22F2"/>
    <w:rsid w:val="002D264D"/>
    <w:rsid w:val="002D2B55"/>
    <w:rsid w:val="002E47F6"/>
    <w:rsid w:val="00302504"/>
    <w:rsid w:val="003135F7"/>
    <w:rsid w:val="00372E9B"/>
    <w:rsid w:val="00380CEB"/>
    <w:rsid w:val="00390254"/>
    <w:rsid w:val="00394AF7"/>
    <w:rsid w:val="003A20BA"/>
    <w:rsid w:val="003C2B14"/>
    <w:rsid w:val="003D0E21"/>
    <w:rsid w:val="003D467E"/>
    <w:rsid w:val="003E3DD0"/>
    <w:rsid w:val="003F7DA9"/>
    <w:rsid w:val="00400941"/>
    <w:rsid w:val="00400D73"/>
    <w:rsid w:val="00450DB1"/>
    <w:rsid w:val="004917E7"/>
    <w:rsid w:val="0049699B"/>
    <w:rsid w:val="004A1A48"/>
    <w:rsid w:val="004B272B"/>
    <w:rsid w:val="004D5D58"/>
    <w:rsid w:val="004E1EE7"/>
    <w:rsid w:val="004E2247"/>
    <w:rsid w:val="004F2120"/>
    <w:rsid w:val="00514EA5"/>
    <w:rsid w:val="0051686D"/>
    <w:rsid w:val="00555FA9"/>
    <w:rsid w:val="00562F2F"/>
    <w:rsid w:val="0057722F"/>
    <w:rsid w:val="00584688"/>
    <w:rsid w:val="00586FA3"/>
    <w:rsid w:val="005B5E7A"/>
    <w:rsid w:val="005D6559"/>
    <w:rsid w:val="005E16EF"/>
    <w:rsid w:val="005E20EA"/>
    <w:rsid w:val="005E7E68"/>
    <w:rsid w:val="006062AC"/>
    <w:rsid w:val="00606D22"/>
    <w:rsid w:val="00606E5D"/>
    <w:rsid w:val="0061620C"/>
    <w:rsid w:val="0066416E"/>
    <w:rsid w:val="006800B4"/>
    <w:rsid w:val="00681F21"/>
    <w:rsid w:val="0069116F"/>
    <w:rsid w:val="006A3746"/>
    <w:rsid w:val="006A7C80"/>
    <w:rsid w:val="006B68E8"/>
    <w:rsid w:val="006D39F8"/>
    <w:rsid w:val="006E6F71"/>
    <w:rsid w:val="006F2F11"/>
    <w:rsid w:val="006F7909"/>
    <w:rsid w:val="00727403"/>
    <w:rsid w:val="00727F76"/>
    <w:rsid w:val="00732918"/>
    <w:rsid w:val="00733184"/>
    <w:rsid w:val="00733AD6"/>
    <w:rsid w:val="00743858"/>
    <w:rsid w:val="00761785"/>
    <w:rsid w:val="0078112F"/>
    <w:rsid w:val="0078688D"/>
    <w:rsid w:val="007B006A"/>
    <w:rsid w:val="007C4FC5"/>
    <w:rsid w:val="007D4162"/>
    <w:rsid w:val="007E4F5F"/>
    <w:rsid w:val="007E69F1"/>
    <w:rsid w:val="008034B2"/>
    <w:rsid w:val="00814A91"/>
    <w:rsid w:val="008344EA"/>
    <w:rsid w:val="008466D1"/>
    <w:rsid w:val="00861592"/>
    <w:rsid w:val="008752A6"/>
    <w:rsid w:val="008B2264"/>
    <w:rsid w:val="008C4C9A"/>
    <w:rsid w:val="008E0FA1"/>
    <w:rsid w:val="009015B1"/>
    <w:rsid w:val="00920319"/>
    <w:rsid w:val="00927D71"/>
    <w:rsid w:val="00941A96"/>
    <w:rsid w:val="009454A4"/>
    <w:rsid w:val="009666E3"/>
    <w:rsid w:val="00982675"/>
    <w:rsid w:val="00994D73"/>
    <w:rsid w:val="009B02C6"/>
    <w:rsid w:val="00A070B3"/>
    <w:rsid w:val="00A11B00"/>
    <w:rsid w:val="00A11D39"/>
    <w:rsid w:val="00A2069E"/>
    <w:rsid w:val="00A33B16"/>
    <w:rsid w:val="00A64708"/>
    <w:rsid w:val="00A7175B"/>
    <w:rsid w:val="00A82D85"/>
    <w:rsid w:val="00A84043"/>
    <w:rsid w:val="00A96FD2"/>
    <w:rsid w:val="00AB0A2D"/>
    <w:rsid w:val="00AB0A5B"/>
    <w:rsid w:val="00AB48C6"/>
    <w:rsid w:val="00AC5C91"/>
    <w:rsid w:val="00B05D0A"/>
    <w:rsid w:val="00B3485D"/>
    <w:rsid w:val="00B404D1"/>
    <w:rsid w:val="00B423C0"/>
    <w:rsid w:val="00B47A08"/>
    <w:rsid w:val="00B74704"/>
    <w:rsid w:val="00B923DB"/>
    <w:rsid w:val="00B9701A"/>
    <w:rsid w:val="00BA5F94"/>
    <w:rsid w:val="00BB1802"/>
    <w:rsid w:val="00BB24AD"/>
    <w:rsid w:val="00BB2EEF"/>
    <w:rsid w:val="00BC08B2"/>
    <w:rsid w:val="00BC429E"/>
    <w:rsid w:val="00BD28D3"/>
    <w:rsid w:val="00C028A9"/>
    <w:rsid w:val="00C208E7"/>
    <w:rsid w:val="00C4086A"/>
    <w:rsid w:val="00C477DD"/>
    <w:rsid w:val="00C56F0C"/>
    <w:rsid w:val="00C577FE"/>
    <w:rsid w:val="00C631A3"/>
    <w:rsid w:val="00C645A7"/>
    <w:rsid w:val="00C90A50"/>
    <w:rsid w:val="00CB5FAA"/>
    <w:rsid w:val="00CC2735"/>
    <w:rsid w:val="00CC51B7"/>
    <w:rsid w:val="00CF5232"/>
    <w:rsid w:val="00D10164"/>
    <w:rsid w:val="00D57FFD"/>
    <w:rsid w:val="00D6268A"/>
    <w:rsid w:val="00D81282"/>
    <w:rsid w:val="00D82A44"/>
    <w:rsid w:val="00DB640E"/>
    <w:rsid w:val="00DD3E66"/>
    <w:rsid w:val="00DE25DC"/>
    <w:rsid w:val="00DF2F86"/>
    <w:rsid w:val="00E022AD"/>
    <w:rsid w:val="00E12536"/>
    <w:rsid w:val="00E1356D"/>
    <w:rsid w:val="00E167F9"/>
    <w:rsid w:val="00E21373"/>
    <w:rsid w:val="00E30DA7"/>
    <w:rsid w:val="00E84EA5"/>
    <w:rsid w:val="00EA2403"/>
    <w:rsid w:val="00EA3F0E"/>
    <w:rsid w:val="00ED30E1"/>
    <w:rsid w:val="00F507A1"/>
    <w:rsid w:val="00FE02BD"/>
    <w:rsid w:val="00FF62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AA2ED"/>
  <w15:docId w15:val="{29ADCEEF-215E-4FC4-828E-BE123E1F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941"/>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408"/>
    <w:pPr>
      <w:ind w:left="720"/>
      <w:contextualSpacing/>
    </w:pPr>
  </w:style>
  <w:style w:type="character" w:styleId="CommentReference">
    <w:name w:val="annotation reference"/>
    <w:basedOn w:val="DefaultParagraphFont"/>
    <w:uiPriority w:val="99"/>
    <w:semiHidden/>
    <w:unhideWhenUsed/>
    <w:rsid w:val="00C577FE"/>
    <w:rPr>
      <w:sz w:val="16"/>
      <w:szCs w:val="16"/>
    </w:rPr>
  </w:style>
  <w:style w:type="paragraph" w:styleId="CommentText">
    <w:name w:val="annotation text"/>
    <w:basedOn w:val="Normal"/>
    <w:link w:val="CommentTextChar"/>
    <w:uiPriority w:val="99"/>
    <w:semiHidden/>
    <w:unhideWhenUsed/>
    <w:rsid w:val="00C577FE"/>
    <w:rPr>
      <w:rFonts w:cs="Calibri"/>
      <w:sz w:val="20"/>
      <w:szCs w:val="20"/>
    </w:rPr>
  </w:style>
  <w:style w:type="character" w:customStyle="1" w:styleId="CommentTextChar">
    <w:name w:val="Comment Text Char"/>
    <w:basedOn w:val="DefaultParagraphFont"/>
    <w:link w:val="CommentText"/>
    <w:uiPriority w:val="99"/>
    <w:semiHidden/>
    <w:rsid w:val="00C577FE"/>
    <w:rPr>
      <w:rFonts w:ascii="Times New Roman" w:hAnsi="Times New Roman" w:cs="Calibri"/>
      <w:sz w:val="20"/>
      <w:szCs w:val="20"/>
    </w:rPr>
  </w:style>
  <w:style w:type="paragraph" w:styleId="Bibliography">
    <w:name w:val="Bibliography"/>
    <w:basedOn w:val="Normal"/>
    <w:next w:val="Normal"/>
    <w:uiPriority w:val="37"/>
    <w:unhideWhenUsed/>
    <w:rsid w:val="008752A6"/>
    <w:pPr>
      <w:spacing w:line="480" w:lineRule="auto"/>
      <w:ind w:left="720" w:hanging="720"/>
    </w:pPr>
  </w:style>
  <w:style w:type="paragraph" w:styleId="BalloonText">
    <w:name w:val="Balloon Text"/>
    <w:basedOn w:val="Normal"/>
    <w:link w:val="BalloonTextChar"/>
    <w:uiPriority w:val="99"/>
    <w:semiHidden/>
    <w:unhideWhenUsed/>
    <w:rsid w:val="00DE25DC"/>
    <w:rPr>
      <w:rFonts w:ascii="Tahoma" w:hAnsi="Tahoma" w:cs="Tahoma"/>
      <w:sz w:val="16"/>
      <w:szCs w:val="16"/>
    </w:rPr>
  </w:style>
  <w:style w:type="character" w:customStyle="1" w:styleId="BalloonTextChar">
    <w:name w:val="Balloon Text Char"/>
    <w:basedOn w:val="DefaultParagraphFont"/>
    <w:link w:val="BalloonText"/>
    <w:uiPriority w:val="99"/>
    <w:semiHidden/>
    <w:rsid w:val="00DE25D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666E3"/>
    <w:rPr>
      <w:rFonts w:cstheme="minorBidi"/>
      <w:b/>
      <w:bCs/>
    </w:rPr>
  </w:style>
  <w:style w:type="character" w:customStyle="1" w:styleId="CommentSubjectChar">
    <w:name w:val="Comment Subject Char"/>
    <w:basedOn w:val="CommentTextChar"/>
    <w:link w:val="CommentSubject"/>
    <w:uiPriority w:val="99"/>
    <w:semiHidden/>
    <w:rsid w:val="009666E3"/>
    <w:rPr>
      <w:rFonts w:ascii="Times New Roman" w:hAnsi="Times New Roman" w:cs="Calibri"/>
      <w:b/>
      <w:bCs/>
      <w:sz w:val="20"/>
      <w:szCs w:val="20"/>
    </w:rPr>
  </w:style>
  <w:style w:type="paragraph" w:styleId="Revision">
    <w:name w:val="Revision"/>
    <w:hidden/>
    <w:uiPriority w:val="99"/>
    <w:semiHidden/>
    <w:rsid w:val="00ED30E1"/>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Bauchet</dc:creator>
  <cp:lastModifiedBy>Jonathan Bauchet</cp:lastModifiedBy>
  <cp:revision>17</cp:revision>
  <dcterms:created xsi:type="dcterms:W3CDTF">2022-12-20T15:41:00Z</dcterms:created>
  <dcterms:modified xsi:type="dcterms:W3CDTF">2022-12-20T15:53:00Z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id="WKfX0QVA"/&gt;&lt;style id="http://www.zotero.org/styles/apa" locale="en-US" hasBibliography="1" bibliographyStyleHasBeenSet="1"/&gt;&lt;prefs&gt;&lt;pref name="fieldType" value="Field"/&gt;&lt;/prefs&gt;&lt;/data&gt;</vt:lpwstr>
  </property>
  <property fmtid="{D5CDD505-2E9C-101B-9397-08002B2CF9AE}" pid="3" name="MSIP_Label_4044bd30-2ed7-4c9d-9d12-46200872a97b_Enabled">
    <vt:lpwstr>true</vt:lpwstr>
  </property>
  <property fmtid="{D5CDD505-2E9C-101B-9397-08002B2CF9AE}" pid="4" name="MSIP_Label_4044bd30-2ed7-4c9d-9d12-46200872a97b_SetDate">
    <vt:lpwstr>2022-12-19T15:20:06Z</vt:lpwstr>
  </property>
  <property fmtid="{D5CDD505-2E9C-101B-9397-08002B2CF9AE}" pid="5" name="MSIP_Label_4044bd30-2ed7-4c9d-9d12-46200872a97b_Method">
    <vt:lpwstr>Standard</vt:lpwstr>
  </property>
  <property fmtid="{D5CDD505-2E9C-101B-9397-08002B2CF9AE}" pid="6" name="MSIP_Label_4044bd30-2ed7-4c9d-9d12-46200872a97b_Name">
    <vt:lpwstr>defa4170-0d19-0005-0004-bc88714345d2</vt:lpwstr>
  </property>
  <property fmtid="{D5CDD505-2E9C-101B-9397-08002B2CF9AE}" pid="7" name="MSIP_Label_4044bd30-2ed7-4c9d-9d12-46200872a97b_SiteId">
    <vt:lpwstr>4130bd39-7c53-419c-b1e5-8758d6d63f21</vt:lpwstr>
  </property>
  <property fmtid="{D5CDD505-2E9C-101B-9397-08002B2CF9AE}" pid="8" name="MSIP_Label_4044bd30-2ed7-4c9d-9d12-46200872a97b_ActionId">
    <vt:lpwstr>71b8f9a9-46be-4af8-bebd-d43caf9c7a3f</vt:lpwstr>
  </property>
  <property fmtid="{D5CDD505-2E9C-101B-9397-08002B2CF9AE}" pid="9" name="MSIP_Label_4044bd30-2ed7-4c9d-9d12-46200872a97b_ContentBits">
    <vt:lpwstr>0</vt:lpwstr>
  </property>
</Properties>
</file>