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5E8BEEE" w14:textId="075BEE38" w:rsidR="003866CA" w:rsidRPr="003679C3" w:rsidRDefault="003866CA" w:rsidP="003866CA">
      <w:pPr>
        <w:pStyle w:val="Title"/>
      </w:pPr>
      <w:r w:rsidRPr="003679C3">
        <w:t xml:space="preserve">Prespecification of Analyses for </w:t>
      </w:r>
      <w:r w:rsidR="00C07006">
        <w:t>Seroquel</w:t>
      </w:r>
      <w:r w:rsidR="00A0165D">
        <w:t xml:space="preserve"> Letter Campaign</w:t>
      </w:r>
    </w:p>
    <w:p w14:paraId="2CF1AA72" w14:textId="0238E90C" w:rsidR="00A0165D" w:rsidRPr="009E05C2" w:rsidRDefault="00A0165D" w:rsidP="00A0165D">
      <w:pPr>
        <w:pStyle w:val="Subtitle"/>
        <w:rPr>
          <w:rFonts w:ascii="Calibri Light" w:hAnsi="Calibri Light"/>
        </w:rPr>
      </w:pPr>
      <w:r w:rsidRPr="009E05C2">
        <w:rPr>
          <w:rFonts w:ascii="Calibri Light" w:hAnsi="Calibri Light"/>
        </w:rPr>
        <w:t>Adam Sacarny</w:t>
      </w:r>
      <w:r w:rsidR="001A5D8A" w:rsidRPr="009E05C2">
        <w:rPr>
          <w:rFonts w:ascii="Calibri Light" w:hAnsi="Calibri Light"/>
        </w:rPr>
        <w:t xml:space="preserve"> and</w:t>
      </w:r>
      <w:r w:rsidRPr="009E05C2">
        <w:rPr>
          <w:rFonts w:ascii="Calibri Light" w:hAnsi="Calibri Light"/>
        </w:rPr>
        <w:t xml:space="preserve"> David Yokum</w:t>
      </w:r>
    </w:p>
    <w:p w14:paraId="4E24A62A" w14:textId="6EA4CD32" w:rsidR="00617AD3" w:rsidRPr="009E05C2" w:rsidRDefault="00BC09DB" w:rsidP="003866CA">
      <w:pPr>
        <w:rPr>
          <w:rFonts w:ascii="Calibri Light" w:eastAsia="Times New Roman" w:hAnsi="Calibri Light" w:cs="Times New Roman"/>
          <w:i/>
          <w:iCs/>
        </w:rPr>
      </w:pPr>
      <w:r>
        <w:rPr>
          <w:rFonts w:ascii="Calibri Light" w:eastAsia="Times New Roman" w:hAnsi="Calibri Light" w:cs="Times New Roman"/>
          <w:i/>
          <w:iCs/>
        </w:rPr>
        <w:t>VERSION 2</w:t>
      </w:r>
      <w:r w:rsidR="002B72F6" w:rsidRPr="009E05C2">
        <w:rPr>
          <w:rFonts w:ascii="Calibri Light" w:eastAsia="Times New Roman" w:hAnsi="Calibri Light" w:cs="Times New Roman"/>
          <w:i/>
          <w:iCs/>
        </w:rPr>
        <w:t>.0</w:t>
      </w:r>
      <w:r w:rsidR="00422477">
        <w:rPr>
          <w:rFonts w:ascii="Calibri Light" w:eastAsia="Times New Roman" w:hAnsi="Calibri Light" w:cs="Times New Roman"/>
          <w:i/>
          <w:iCs/>
        </w:rPr>
        <w:t xml:space="preserve"> – FINAL VERSION PRIOR TO UNBLINDING</w:t>
      </w:r>
    </w:p>
    <w:p w14:paraId="6F076F6C" w14:textId="3AC52A34" w:rsidR="003866CA" w:rsidRPr="009E05C2" w:rsidRDefault="00160552" w:rsidP="003866CA">
      <w:pPr>
        <w:rPr>
          <w:rFonts w:ascii="Calibri Light" w:eastAsia="Times New Roman" w:hAnsi="Calibri Light" w:cs="Times New Roman"/>
          <w:i/>
          <w:iCs/>
        </w:rPr>
      </w:pPr>
      <w:r>
        <w:rPr>
          <w:rFonts w:ascii="Calibri Light" w:eastAsia="Times New Roman" w:hAnsi="Calibri Light" w:cs="Times New Roman"/>
          <w:i/>
          <w:iCs/>
        </w:rPr>
        <w:t>March 5</w:t>
      </w:r>
      <w:r w:rsidR="00BC09DB">
        <w:rPr>
          <w:rFonts w:ascii="Calibri Light" w:eastAsia="Times New Roman" w:hAnsi="Calibri Light" w:cs="Times New Roman"/>
          <w:i/>
          <w:iCs/>
        </w:rPr>
        <w:t>, 2016</w:t>
      </w:r>
    </w:p>
    <w:p w14:paraId="0B4A7E18" w14:textId="77777777" w:rsidR="003A20B4" w:rsidRDefault="003A20B4" w:rsidP="007F1482">
      <w:pPr>
        <w:pStyle w:val="Heading1"/>
      </w:pPr>
      <w:r>
        <w:t>Introduction</w:t>
      </w:r>
    </w:p>
    <w:p w14:paraId="43D41BEF" w14:textId="4360DE7E" w:rsidR="00CA14BA" w:rsidRDefault="00A0165D" w:rsidP="00CA14BA">
      <w:r>
        <w:t xml:space="preserve">In this document we describe an analysis plan for </w:t>
      </w:r>
      <w:r w:rsidR="003C0BF5">
        <w:t>a</w:t>
      </w:r>
      <w:r>
        <w:t xml:space="preserve"> study on the effects of informative letter</w:t>
      </w:r>
      <w:r w:rsidR="003C0BF5">
        <w:t>s</w:t>
      </w:r>
      <w:r>
        <w:t xml:space="preserve"> </w:t>
      </w:r>
      <w:r w:rsidR="003C0BF5">
        <w:t xml:space="preserve">that were sent to </w:t>
      </w:r>
      <w:r>
        <w:t xml:space="preserve">high prescribers of </w:t>
      </w:r>
      <w:r w:rsidR="002B72F6">
        <w:t>Seroquel</w:t>
      </w:r>
      <w:r w:rsidR="003C0BF5">
        <w:t xml:space="preserve"> in Medicare Part D</w:t>
      </w:r>
      <w:r>
        <w:t>.</w:t>
      </w:r>
      <w:r w:rsidR="003E5A55">
        <w:rPr>
          <w:rStyle w:val="FootnoteReference"/>
        </w:rPr>
        <w:footnoteReference w:id="1"/>
      </w:r>
      <w:r>
        <w:t xml:space="preserve"> </w:t>
      </w:r>
      <w:r w:rsidR="00F61E2C">
        <w:t xml:space="preserve">At </w:t>
      </w:r>
      <w:r w:rsidR="00F26A4D">
        <w:t>the</w:t>
      </w:r>
      <w:r w:rsidR="00F61E2C">
        <w:t xml:space="preserve"> time of writing, we have </w:t>
      </w:r>
      <w:r w:rsidR="002B72F6">
        <w:t>seen only the original pre-intervention prescribing data</w:t>
      </w:r>
      <w:r w:rsidR="003D3A2F">
        <w:t xml:space="preserve"> (used to create initial letters to prescribers) and total 2015 prescribing data (used to create followup letters to prescribers)</w:t>
      </w:r>
      <w:r w:rsidR="002840A5">
        <w:t>.</w:t>
      </w:r>
      <w:r w:rsidR="002840A5">
        <w:rPr>
          <w:rStyle w:val="FootnoteReference"/>
        </w:rPr>
        <w:footnoteReference w:id="2"/>
      </w:r>
      <w:r w:rsidR="002840A5">
        <w:t xml:space="preserve"> </w:t>
      </w:r>
      <w:r>
        <w:t xml:space="preserve">We may perform additional analyses in the course of the study; when analyses were not pre-specified in this document we will make note of </w:t>
      </w:r>
      <w:r w:rsidR="003C0BF5">
        <w:t>that</w:t>
      </w:r>
      <w:r>
        <w:t xml:space="preserve"> fact.</w:t>
      </w:r>
    </w:p>
    <w:p w14:paraId="3B408906" w14:textId="355A2C3A" w:rsidR="00111DE6" w:rsidRDefault="00184495" w:rsidP="00CA14BA">
      <w:r>
        <w:t xml:space="preserve">The intervention involved one placebo letter for the control group and an initial letter and 3 followup letters for the treatment group. </w:t>
      </w:r>
      <w:r w:rsidR="008E5224">
        <w:t>The goal of this study is to understand the effect</w:t>
      </w:r>
      <w:r w:rsidR="003C0BF5">
        <w:t>s</w:t>
      </w:r>
      <w:r w:rsidR="008E5224">
        <w:t xml:space="preserve"> of the letters on both prescribers and patients.</w:t>
      </w:r>
      <w:r w:rsidR="00111DE6">
        <w:t xml:space="preserve"> </w:t>
      </w:r>
      <w:r w:rsidR="008B7318">
        <w:t>T</w:t>
      </w:r>
      <w:r w:rsidR="008E5224">
        <w:t xml:space="preserve">he primary outcome </w:t>
      </w:r>
      <w:r w:rsidR="008B7318">
        <w:t xml:space="preserve">of the study </w:t>
      </w:r>
      <w:r w:rsidR="00111DE6">
        <w:t>is</w:t>
      </w:r>
      <w:r w:rsidR="008E5224">
        <w:t xml:space="preserve"> the effect of the letters on the prescribing of </w:t>
      </w:r>
      <w:r w:rsidR="002B72F6">
        <w:t xml:space="preserve">Seroquel over the </w:t>
      </w:r>
      <w:r w:rsidR="00BE7041">
        <w:t>9 months</w:t>
      </w:r>
      <w:r w:rsidR="008B7318">
        <w:t xml:space="preserve"> following the initial </w:t>
      </w:r>
      <w:r w:rsidR="002269D7">
        <w:t>sending</w:t>
      </w:r>
      <w:r w:rsidR="008B7318">
        <w:t xml:space="preserve"> of the letters</w:t>
      </w:r>
      <w:r w:rsidR="008E5224">
        <w:t>.</w:t>
      </w:r>
      <w:r w:rsidR="008B7318">
        <w:t xml:space="preserve"> Prescribing is defined </w:t>
      </w:r>
      <w:r w:rsidR="002B72F6">
        <w:t>as the total “days supply” of Seroquel</w:t>
      </w:r>
      <w:r w:rsidR="008B7318">
        <w:t xml:space="preserve"> attributed to the prescriber</w:t>
      </w:r>
      <w:r w:rsidR="002B72F6">
        <w:t xml:space="preserve"> (defined as Seroquel, Seroquel XR, and generic quetiapine)</w:t>
      </w:r>
      <w:r w:rsidR="008B7318">
        <w:t>, expressed in “30-day equivalents” i.e. divided by 30.</w:t>
      </w:r>
      <w:r w:rsidR="002840A5">
        <w:t xml:space="preserve"> </w:t>
      </w:r>
      <w:r w:rsidR="002840A5" w:rsidRPr="00A21916">
        <w:t>When a patient filled multiple Seroquel prescriptions from one prescriber on the same day, we count the prescription with the greatest “days supply”.</w:t>
      </w:r>
    </w:p>
    <w:p w14:paraId="35D585EB" w14:textId="0310FCA9" w:rsidR="003C0BF5" w:rsidRDefault="007D018B" w:rsidP="008277F5">
      <w:r>
        <w:t>We consider additional outcomes</w:t>
      </w:r>
      <w:r w:rsidR="008E5224">
        <w:t xml:space="preserve"> as well. </w:t>
      </w:r>
      <w:r w:rsidR="008277F5">
        <w:t xml:space="preserve">Through these additional analyses, we hope to understand the totality of the effects of the letters. </w:t>
      </w:r>
      <w:r w:rsidR="00225BA9">
        <w:t>Additional</w:t>
      </w:r>
      <w:r w:rsidR="008277F5">
        <w:t xml:space="preserve"> analysis for prescribers includes explorations of</w:t>
      </w:r>
      <w:r w:rsidR="003D3A2F">
        <w:t xml:space="preserve"> effects on new vs. old prescriptions, </w:t>
      </w:r>
      <w:r w:rsidR="000E76EE">
        <w:t>effects on the types of patients receiving prescriptions</w:t>
      </w:r>
      <w:r w:rsidR="003D3A2F">
        <w:t>,</w:t>
      </w:r>
      <w:r w:rsidR="008277F5">
        <w:t xml:space="preserve"> effect heterogeneity, quantile treatment effects, </w:t>
      </w:r>
      <w:r w:rsidR="00125217">
        <w:t xml:space="preserve">and </w:t>
      </w:r>
      <w:r w:rsidR="003C0BF5">
        <w:t>substitution toward other substa</w:t>
      </w:r>
      <w:r w:rsidR="003D1DDD">
        <w:t>nces</w:t>
      </w:r>
      <w:r w:rsidR="003C0BF5">
        <w:t xml:space="preserve">. We also conduct analyses </w:t>
      </w:r>
      <w:r w:rsidR="008B7318">
        <w:t>looking at a cohort of patients who were treated by the prescribers prior to the sending of the letters. We will assign these patients to treatment and control groups based on whether their attributed prescriber was a treatment or control prescriber and study the</w:t>
      </w:r>
      <w:r w:rsidR="003C0BF5">
        <w:t xml:space="preserve"> </w:t>
      </w:r>
      <w:r w:rsidR="008B7318">
        <w:t xml:space="preserve">receipt of controlled substances by patients, </w:t>
      </w:r>
      <w:r w:rsidR="003C0BF5">
        <w:t>h</w:t>
      </w:r>
      <w:r w:rsidR="008E5224">
        <w:t xml:space="preserve">eterogeneity in treatment effects, substitution toward other substances, and </w:t>
      </w:r>
      <w:r w:rsidR="003C0BF5">
        <w:t>health outcomes.</w:t>
      </w:r>
    </w:p>
    <w:p w14:paraId="5B7F60EF" w14:textId="4A0CD891" w:rsidR="003C0BF5" w:rsidRDefault="003C0BF5" w:rsidP="008277F5">
      <w:r>
        <w:lastRenderedPageBreak/>
        <w:t>We observe the behavior of prescribers and outcomes of patients through our access to the CMS Integrated Data Repository (IDR), the database used</w:t>
      </w:r>
      <w:r w:rsidR="00422477">
        <w:t xml:space="preserve"> by Medicare and its program integrity contractors to detect and stop fraud, waste, and abuse</w:t>
      </w:r>
      <w:r>
        <w:t>. The IDR includes</w:t>
      </w:r>
      <w:r w:rsidR="00611DDC">
        <w:t xml:space="preserve"> beneficiary</w:t>
      </w:r>
      <w:r>
        <w:t xml:space="preserve"> enrollment information, Medicare Part A and B claims, Medicare Part C encounter data, and Medicare Part D prescription drug events.</w:t>
      </w:r>
    </w:p>
    <w:p w14:paraId="4DD8BD6E" w14:textId="772C38DD" w:rsidR="00BE7041" w:rsidRPr="00BE7041" w:rsidRDefault="00BE7041" w:rsidP="008277F5">
      <w:pPr>
        <w:rPr>
          <w:i/>
        </w:rPr>
      </w:pPr>
      <w:r>
        <w:rPr>
          <w:i/>
        </w:rPr>
        <w:t>Due to limits on the quantity of data we can request from the IDR, some analyses are pre-specified as optional. Optional analyses are italicized in this document.</w:t>
      </w:r>
    </w:p>
    <w:p w14:paraId="40B6A57D" w14:textId="77777777" w:rsidR="003A20B4" w:rsidRDefault="00D75292" w:rsidP="003C0BF5">
      <w:pPr>
        <w:pStyle w:val="Heading1"/>
      </w:pPr>
      <w:bookmarkStart w:id="0" w:name="_Ref283394297"/>
      <w:r>
        <w:t>Identification of Prescribers and Randomization</w:t>
      </w:r>
      <w:bookmarkEnd w:id="0"/>
    </w:p>
    <w:p w14:paraId="460B29D6" w14:textId="3550C33F" w:rsidR="002840A5" w:rsidRPr="00BE7041" w:rsidRDefault="002840A5" w:rsidP="002840A5">
      <w:r w:rsidRPr="00BE7041">
        <w:t>See study protocol document.</w:t>
      </w:r>
    </w:p>
    <w:p w14:paraId="7174C03C" w14:textId="2138BE55" w:rsidR="003866CA" w:rsidRPr="003679C3" w:rsidRDefault="003866CA" w:rsidP="007F1482">
      <w:pPr>
        <w:pStyle w:val="Heading1"/>
      </w:pPr>
      <w:r>
        <w:t>Overview</w:t>
      </w:r>
    </w:p>
    <w:p w14:paraId="26FFADF7" w14:textId="0DA4B082" w:rsidR="003866CA" w:rsidRDefault="003866CA" w:rsidP="00F76548">
      <w:r w:rsidRPr="003679C3">
        <w:t>In this section we provide background on how we will specify the re</w:t>
      </w:r>
      <w:r>
        <w:t xml:space="preserve">gressions in the paper. </w:t>
      </w:r>
      <w:r w:rsidRPr="003679C3">
        <w:t xml:space="preserve">We also discuss the sets of controls that will be used in each analysis as well as the time horizons at which the outcomes will be defined. </w:t>
      </w:r>
    </w:p>
    <w:p w14:paraId="39C1B36C" w14:textId="77777777" w:rsidR="003866CA" w:rsidRDefault="003866CA" w:rsidP="003866CA">
      <w:pPr>
        <w:pStyle w:val="Heading2"/>
      </w:pPr>
      <w:r>
        <w:t>Form of regressions</w:t>
      </w:r>
    </w:p>
    <w:p w14:paraId="570D1624" w14:textId="77777777" w:rsidR="003866CA" w:rsidRDefault="003866CA" w:rsidP="00F76548">
      <w:r>
        <w:t>The physician level regressions will be of the form:</w:t>
      </w:r>
    </w:p>
    <w:p w14:paraId="2C17501A" w14:textId="77777777" w:rsidR="003866CA" w:rsidRPr="00954D7C" w:rsidRDefault="002A6BDB" w:rsidP="00F76548">
      <m:oMathPara>
        <m:oMath>
          <m:sSub>
            <m:sSubPr>
              <m:ctrlPr>
                <w:rPr>
                  <w:rFonts w:ascii="Cambria Math" w:hAnsi="Cambria Math"/>
                  <w:i/>
                </w:rPr>
              </m:ctrlPr>
            </m:sSubPr>
            <m:e>
              <m:r>
                <w:rPr>
                  <w:rFonts w:ascii="Cambria Math" w:hAnsi="Cambria Math"/>
                </w:rPr>
                <m:t>y</m:t>
              </m:r>
            </m:e>
            <m:sub>
              <m:r>
                <w:rPr>
                  <w:rFonts w:ascii="Cambria Math" w:hAnsi="Cambria Math"/>
                </w:rPr>
                <m:t>i</m:t>
              </m:r>
            </m:sub>
          </m:sSub>
          <m:r>
            <w:rPr>
              <w:rFonts w:ascii="Cambria Math" w:hAnsi="Cambria Math"/>
            </w:rPr>
            <m:t>=α+β*</m:t>
          </m:r>
          <m:sSub>
            <m:sSubPr>
              <m:ctrlPr>
                <w:rPr>
                  <w:rFonts w:ascii="Cambria Math" w:hAnsi="Cambria Math"/>
                  <w:i/>
                </w:rPr>
              </m:ctrlPr>
            </m:sSubPr>
            <m:e>
              <m:r>
                <w:rPr>
                  <w:rFonts w:ascii="Cambria Math" w:hAnsi="Cambria Math"/>
                </w:rPr>
                <m:t>treat</m:t>
              </m:r>
            </m:e>
            <m:sub>
              <m:r>
                <w:rPr>
                  <w:rFonts w:ascii="Cambria Math" w:hAnsi="Cambria Math"/>
                </w:rPr>
                <m:t>i</m:t>
              </m:r>
            </m:sub>
          </m:sSub>
          <m:r>
            <w:rPr>
              <w:rFonts w:ascii="Cambria Math" w:hAnsi="Cambria Math"/>
            </w:rPr>
            <m:t>+</m:t>
          </m:r>
          <m:sSub>
            <m:sSubPr>
              <m:ctrlPr>
                <w:rPr>
                  <w:rFonts w:ascii="Cambria Math" w:hAnsi="Cambria Math"/>
                  <w:i/>
                </w:rPr>
              </m:ctrlPr>
            </m:sSubPr>
            <m:e>
              <m:r>
                <w:rPr>
                  <w:rFonts w:ascii="Cambria Math" w:hAnsi="Cambria Math"/>
                </w:rPr>
                <m:t>X</m:t>
              </m:r>
            </m:e>
            <m:sub>
              <m:r>
                <w:rPr>
                  <w:rFonts w:ascii="Cambria Math" w:hAnsi="Cambria Math"/>
                </w:rPr>
                <m:t>i</m:t>
              </m:r>
            </m:sub>
          </m:sSub>
          <m:r>
            <m:rPr>
              <m:sty m:val="p"/>
            </m:rPr>
            <w:rPr>
              <w:rFonts w:ascii="Cambria Math" w:hAnsi="Cambria Math"/>
            </w:rPr>
            <m:t>Γ</m:t>
          </m:r>
          <m:r>
            <w:rPr>
              <w:rFonts w:ascii="Cambria Math" w:hAnsi="Cambria Math"/>
            </w:rPr>
            <m:t>+</m:t>
          </m:r>
          <m:sSub>
            <m:sSubPr>
              <m:ctrlPr>
                <w:rPr>
                  <w:rFonts w:ascii="Cambria Math" w:hAnsi="Cambria Math"/>
                  <w:i/>
                </w:rPr>
              </m:ctrlPr>
            </m:sSubPr>
            <m:e>
              <m:r>
                <w:rPr>
                  <w:rFonts w:ascii="Cambria Math" w:hAnsi="Cambria Math"/>
                </w:rPr>
                <m:t>e</m:t>
              </m:r>
            </m:e>
            <m:sub>
              <m:r>
                <w:rPr>
                  <w:rFonts w:ascii="Cambria Math" w:hAnsi="Cambria Math"/>
                </w:rPr>
                <m:t>i</m:t>
              </m:r>
            </m:sub>
          </m:sSub>
        </m:oMath>
      </m:oMathPara>
    </w:p>
    <w:p w14:paraId="1568B3F0" w14:textId="08F4EE6B" w:rsidR="003866CA" w:rsidRDefault="003866CA" w:rsidP="00F76548">
      <w:r>
        <w:t xml:space="preserve">Where </w:t>
      </w:r>
      <w:proofErr w:type="spellStart"/>
      <w:r>
        <w:rPr>
          <w:i/>
        </w:rPr>
        <w:t>i</w:t>
      </w:r>
      <w:proofErr w:type="spellEnd"/>
      <w:r>
        <w:t xml:space="preserve"> indexes physicians, </w:t>
      </w:r>
      <w:proofErr w:type="spellStart"/>
      <w:r>
        <w:rPr>
          <w:i/>
        </w:rPr>
        <w:t>y</w:t>
      </w:r>
      <w:r>
        <w:rPr>
          <w:i/>
          <w:vertAlign w:val="subscript"/>
        </w:rPr>
        <w:t>i</w:t>
      </w:r>
      <w:proofErr w:type="spellEnd"/>
      <w:r>
        <w:t xml:space="preserve"> is the outcome (e.g. number of prescriptions), </w:t>
      </w:r>
      <w:proofErr w:type="spellStart"/>
      <w:r>
        <w:rPr>
          <w:i/>
        </w:rPr>
        <w:t>treat</w:t>
      </w:r>
      <w:r>
        <w:rPr>
          <w:i/>
          <w:vertAlign w:val="subscript"/>
        </w:rPr>
        <w:t>i</w:t>
      </w:r>
      <w:proofErr w:type="spellEnd"/>
      <w:r>
        <w:t xml:space="preserve"> is an indicator for physician </w:t>
      </w:r>
      <w:r w:rsidRPr="00954D7C">
        <w:rPr>
          <w:i/>
        </w:rPr>
        <w:t>i</w:t>
      </w:r>
      <w:r>
        <w:t xml:space="preserve"> </w:t>
      </w:r>
      <w:r w:rsidR="003D3A2F">
        <w:t>being in the treatment group</w:t>
      </w:r>
      <w:r>
        <w:t xml:space="preserve">, and </w:t>
      </w:r>
      <w:r>
        <w:rPr>
          <w:i/>
        </w:rPr>
        <w:t>X</w:t>
      </w:r>
      <w:r>
        <w:rPr>
          <w:i/>
          <w:vertAlign w:val="subscript"/>
        </w:rPr>
        <w:t>i</w:t>
      </w:r>
      <w:r>
        <w:t xml:space="preserve"> is the set of physician controls. </w:t>
      </w:r>
      <m:oMath>
        <m:r>
          <w:rPr>
            <w:rFonts w:ascii="Cambria Math" w:hAnsi="Cambria Math"/>
          </w:rPr>
          <m:t>β</m:t>
        </m:r>
      </m:oMath>
      <w:r>
        <w:t>, the effect of the treatment on the outcome, is the coefficient of interest.</w:t>
      </w:r>
    </w:p>
    <w:p w14:paraId="6CCBC465" w14:textId="77777777" w:rsidR="003866CA" w:rsidRDefault="003866CA" w:rsidP="00F76548">
      <w:r>
        <w:t>The patient level regressions will be of the form:</w:t>
      </w:r>
    </w:p>
    <w:p w14:paraId="603A3819" w14:textId="77777777" w:rsidR="003866CA" w:rsidRPr="00954D7C" w:rsidRDefault="002A6BDB" w:rsidP="00F76548">
      <m:oMathPara>
        <m:oMath>
          <m:sSub>
            <m:sSubPr>
              <m:ctrlPr>
                <w:rPr>
                  <w:rFonts w:ascii="Cambria Math" w:hAnsi="Cambria Math"/>
                  <w:i/>
                </w:rPr>
              </m:ctrlPr>
            </m:sSubPr>
            <m:e>
              <m:r>
                <w:rPr>
                  <w:rFonts w:ascii="Cambria Math" w:hAnsi="Cambria Math"/>
                </w:rPr>
                <m:t>y</m:t>
              </m:r>
            </m:e>
            <m:sub>
              <m:r>
                <w:rPr>
                  <w:rFonts w:ascii="Cambria Math" w:hAnsi="Cambria Math"/>
                </w:rPr>
                <m:t>j</m:t>
              </m:r>
            </m:sub>
          </m:sSub>
          <m:r>
            <w:rPr>
              <w:rFonts w:ascii="Cambria Math" w:hAnsi="Cambria Math"/>
            </w:rPr>
            <m:t>=α+β*</m:t>
          </m:r>
          <m:sSub>
            <m:sSubPr>
              <m:ctrlPr>
                <w:rPr>
                  <w:rFonts w:ascii="Cambria Math" w:hAnsi="Cambria Math"/>
                  <w:i/>
                </w:rPr>
              </m:ctrlPr>
            </m:sSubPr>
            <m:e>
              <m:r>
                <w:rPr>
                  <w:rFonts w:ascii="Cambria Math" w:hAnsi="Cambria Math"/>
                </w:rPr>
                <m:t>treat</m:t>
              </m:r>
            </m:e>
            <m:sub>
              <m:r>
                <w:rPr>
                  <w:rFonts w:ascii="Cambria Math" w:hAnsi="Cambria Math"/>
                </w:rPr>
                <m:t>i</m:t>
              </m:r>
              <m:d>
                <m:dPr>
                  <m:ctrlPr>
                    <w:rPr>
                      <w:rFonts w:ascii="Cambria Math" w:hAnsi="Cambria Math"/>
                      <w:i/>
                    </w:rPr>
                  </m:ctrlPr>
                </m:dPr>
                <m:e>
                  <m:r>
                    <w:rPr>
                      <w:rFonts w:ascii="Cambria Math" w:hAnsi="Cambria Math"/>
                    </w:rPr>
                    <m:t>j</m:t>
                  </m:r>
                </m:e>
              </m:d>
            </m:sub>
          </m:sSub>
          <m:r>
            <w:rPr>
              <w:rFonts w:ascii="Cambria Math" w:hAnsi="Cambria Math"/>
            </w:rPr>
            <m:t>+</m:t>
          </m:r>
          <m:sSub>
            <m:sSubPr>
              <m:ctrlPr>
                <w:rPr>
                  <w:rFonts w:ascii="Cambria Math" w:hAnsi="Cambria Math"/>
                  <w:i/>
                </w:rPr>
              </m:ctrlPr>
            </m:sSubPr>
            <m:e>
              <m:r>
                <w:rPr>
                  <w:rFonts w:ascii="Cambria Math" w:hAnsi="Cambria Math"/>
                </w:rPr>
                <m:t>X</m:t>
              </m:r>
            </m:e>
            <m:sub>
              <m:r>
                <w:rPr>
                  <w:rFonts w:ascii="Cambria Math" w:hAnsi="Cambria Math"/>
                </w:rPr>
                <m:t>i</m:t>
              </m:r>
              <m:d>
                <m:dPr>
                  <m:ctrlPr>
                    <w:rPr>
                      <w:rFonts w:ascii="Cambria Math" w:hAnsi="Cambria Math"/>
                      <w:i/>
                    </w:rPr>
                  </m:ctrlPr>
                </m:dPr>
                <m:e>
                  <m:r>
                    <w:rPr>
                      <w:rFonts w:ascii="Cambria Math" w:hAnsi="Cambria Math"/>
                    </w:rPr>
                    <m:t>j</m:t>
                  </m:r>
                </m:e>
              </m:d>
            </m:sub>
          </m:sSub>
          <m:r>
            <m:rPr>
              <m:sty m:val="p"/>
            </m:rPr>
            <w:rPr>
              <w:rFonts w:ascii="Cambria Math" w:hAnsi="Cambria Math"/>
            </w:rPr>
            <m:t>Γ+</m:t>
          </m:r>
          <m:sSub>
            <m:sSubPr>
              <m:ctrlPr>
                <w:rPr>
                  <w:rFonts w:ascii="Cambria Math" w:hAnsi="Cambria Math"/>
                  <w:i/>
                </w:rPr>
              </m:ctrlPr>
            </m:sSubPr>
            <m:e>
              <m:r>
                <w:rPr>
                  <w:rFonts w:ascii="Cambria Math" w:hAnsi="Cambria Math"/>
                </w:rPr>
                <m:t>Z</m:t>
              </m:r>
            </m:e>
            <m:sub>
              <m:r>
                <w:rPr>
                  <w:rFonts w:ascii="Cambria Math" w:hAnsi="Cambria Math"/>
                </w:rPr>
                <m:t>j</m:t>
              </m:r>
            </m:sub>
          </m:sSub>
          <m:r>
            <m:rPr>
              <m:sty m:val="p"/>
            </m:rPr>
            <w:rPr>
              <w:rFonts w:ascii="Cambria Math" w:hAnsi="Cambria Math"/>
            </w:rPr>
            <m:t>Θ</m:t>
          </m:r>
          <m:r>
            <w:rPr>
              <w:rFonts w:ascii="Cambria Math" w:hAnsi="Cambria Math"/>
            </w:rPr>
            <m:t>+</m:t>
          </m:r>
          <m:sSub>
            <m:sSubPr>
              <m:ctrlPr>
                <w:rPr>
                  <w:rFonts w:ascii="Cambria Math" w:hAnsi="Cambria Math"/>
                  <w:i/>
                </w:rPr>
              </m:ctrlPr>
            </m:sSubPr>
            <m:e>
              <m:r>
                <w:rPr>
                  <w:rFonts w:ascii="Cambria Math" w:hAnsi="Cambria Math"/>
                </w:rPr>
                <m:t>e</m:t>
              </m:r>
            </m:e>
            <m:sub>
              <m:r>
                <w:rPr>
                  <w:rFonts w:ascii="Cambria Math" w:hAnsi="Cambria Math"/>
                </w:rPr>
                <m:t>j</m:t>
              </m:r>
            </m:sub>
          </m:sSub>
        </m:oMath>
      </m:oMathPara>
    </w:p>
    <w:p w14:paraId="3486F604" w14:textId="3746DEDF" w:rsidR="003866CA" w:rsidRDefault="003866CA" w:rsidP="00F76548">
      <w:r>
        <w:t xml:space="preserve">Where </w:t>
      </w:r>
      <w:r>
        <w:rPr>
          <w:i/>
        </w:rPr>
        <w:t>j</w:t>
      </w:r>
      <w:r>
        <w:t xml:space="preserve"> indexes patients, </w:t>
      </w:r>
      <w:proofErr w:type="spellStart"/>
      <w:r>
        <w:rPr>
          <w:i/>
        </w:rPr>
        <w:t>i</w:t>
      </w:r>
      <w:proofErr w:type="spellEnd"/>
      <w:r>
        <w:t>(</w:t>
      </w:r>
      <w:r>
        <w:rPr>
          <w:i/>
        </w:rPr>
        <w:t>j</w:t>
      </w:r>
      <w:r>
        <w:t xml:space="preserve">) is patient </w:t>
      </w:r>
      <w:r>
        <w:rPr>
          <w:i/>
        </w:rPr>
        <w:t>j</w:t>
      </w:r>
      <w:r>
        <w:t xml:space="preserve">’s physician, </w:t>
      </w:r>
      <w:proofErr w:type="spellStart"/>
      <w:r>
        <w:rPr>
          <w:i/>
        </w:rPr>
        <w:t>y</w:t>
      </w:r>
      <w:r>
        <w:rPr>
          <w:i/>
          <w:vertAlign w:val="subscript"/>
        </w:rPr>
        <w:t>j</w:t>
      </w:r>
      <w:proofErr w:type="spellEnd"/>
      <w:r>
        <w:t xml:space="preserve"> is the outcome (e.g. prescriptions filled by the patient), </w:t>
      </w:r>
      <w:proofErr w:type="spellStart"/>
      <w:r>
        <w:rPr>
          <w:i/>
        </w:rPr>
        <w:t>treat</w:t>
      </w:r>
      <w:r>
        <w:rPr>
          <w:i/>
          <w:vertAlign w:val="subscript"/>
        </w:rPr>
        <w:t>i</w:t>
      </w:r>
      <w:proofErr w:type="spellEnd"/>
      <w:r>
        <w:rPr>
          <w:i/>
          <w:vertAlign w:val="subscript"/>
        </w:rPr>
        <w:t>(j)</w:t>
      </w:r>
      <w:r>
        <w:t xml:space="preserve"> is an indicator for the patient’s physician </w:t>
      </w:r>
      <w:r w:rsidR="003D3A2F">
        <w:t>being in the treatment group</w:t>
      </w:r>
      <w:r>
        <w:t xml:space="preserve">, </w:t>
      </w:r>
      <w:r>
        <w:rPr>
          <w:i/>
        </w:rPr>
        <w:t>X</w:t>
      </w:r>
      <w:r>
        <w:rPr>
          <w:i/>
          <w:vertAlign w:val="subscript"/>
        </w:rPr>
        <w:t>i</w:t>
      </w:r>
      <w:r>
        <w:t xml:space="preserve"> is the set of controls for characteristics of the patient’s physician, and </w:t>
      </w:r>
      <w:r>
        <w:rPr>
          <w:i/>
        </w:rPr>
        <w:t>Z</w:t>
      </w:r>
      <w:r>
        <w:rPr>
          <w:i/>
          <w:vertAlign w:val="subscript"/>
        </w:rPr>
        <w:t>j</w:t>
      </w:r>
      <w:r>
        <w:rPr>
          <w:i/>
        </w:rPr>
        <w:t xml:space="preserve"> </w:t>
      </w:r>
      <w:r>
        <w:t xml:space="preserve">is the set of controls for characteristics about the patient. </w:t>
      </w:r>
      <m:oMath>
        <m:r>
          <w:rPr>
            <w:rFonts w:ascii="Cambria Math" w:hAnsi="Cambria Math"/>
          </w:rPr>
          <m:t>β</m:t>
        </m:r>
      </m:oMath>
      <w:r>
        <w:t>, the effect of the treatment on the outcome, is the coefficient of interest.</w:t>
      </w:r>
    </w:p>
    <w:p w14:paraId="3898D69D" w14:textId="77777777" w:rsidR="003866CA" w:rsidRPr="004841EE" w:rsidRDefault="003866CA" w:rsidP="00F76548">
      <w:r>
        <w:t>Standard errors will be clustered at the level of the physician in all regressions.</w:t>
      </w:r>
    </w:p>
    <w:p w14:paraId="5A6E12BC" w14:textId="77777777" w:rsidR="003866CA" w:rsidRPr="003679C3" w:rsidRDefault="003866CA" w:rsidP="003866CA">
      <w:pPr>
        <w:pStyle w:val="Heading2"/>
      </w:pPr>
      <w:bookmarkStart w:id="1" w:name="_Ref273726717"/>
      <w:r w:rsidRPr="003679C3">
        <w:t>Controls</w:t>
      </w:r>
      <w:bookmarkEnd w:id="1"/>
    </w:p>
    <w:p w14:paraId="4BD19DFF" w14:textId="638A16EA" w:rsidR="003866CA" w:rsidRPr="003679C3" w:rsidRDefault="003866CA" w:rsidP="00F76548">
      <w:r w:rsidRPr="003679C3">
        <w:t xml:space="preserve">Since the </w:t>
      </w:r>
      <w:r w:rsidR="003D3A2F">
        <w:t>treatment was</w:t>
      </w:r>
      <w:r w:rsidRPr="003679C3">
        <w:t xml:space="preserve"> randomized without stratification, the regressions will produce valid estimates of the coefficients of interest even without controls. However, controls can </w:t>
      </w:r>
      <w:r w:rsidR="005B692C">
        <w:t>raise</w:t>
      </w:r>
      <w:r w:rsidRPr="003679C3">
        <w:t xml:space="preserve"> power by reducing the variance of the error term. </w:t>
      </w:r>
    </w:p>
    <w:p w14:paraId="43A72876" w14:textId="2E01CF16" w:rsidR="003866CA" w:rsidRPr="003679C3" w:rsidRDefault="003866CA" w:rsidP="00F76548">
      <w:r w:rsidRPr="003679C3">
        <w:lastRenderedPageBreak/>
        <w:t xml:space="preserve">We will use three sets of controls. </w:t>
      </w:r>
      <w:r>
        <w:t>The</w:t>
      </w:r>
      <w:r w:rsidR="000836BF">
        <w:t xml:space="preserve"> baseline</w:t>
      </w:r>
      <w:r w:rsidR="00F0417C">
        <w:t xml:space="preserve"> </w:t>
      </w:r>
      <w:r>
        <w:t xml:space="preserve">specification </w:t>
      </w:r>
      <w:r w:rsidR="000836BF">
        <w:t>(</w:t>
      </w:r>
      <w:r w:rsidR="007F1482">
        <w:t>reported in main tables</w:t>
      </w:r>
      <w:r w:rsidR="000836BF">
        <w:t>)</w:t>
      </w:r>
      <w:r w:rsidR="007F1482">
        <w:t xml:space="preserve"> </w:t>
      </w:r>
      <w:r>
        <w:t>will be the one with the richest set of controls.</w:t>
      </w:r>
    </w:p>
    <w:p w14:paraId="7EC81520" w14:textId="77777777" w:rsidR="003866CA" w:rsidRDefault="003866CA" w:rsidP="003866CA">
      <w:pPr>
        <w:pStyle w:val="Heading3"/>
      </w:pPr>
      <w:r w:rsidRPr="003679C3">
        <w:t xml:space="preserve">No controls </w:t>
      </w:r>
    </w:p>
    <w:p w14:paraId="5CDF59CB" w14:textId="77777777" w:rsidR="00C3176B" w:rsidRPr="00C3176B" w:rsidRDefault="00C3176B" w:rsidP="00C3176B">
      <w:r>
        <w:t>One specification will include no controls at all.</w:t>
      </w:r>
    </w:p>
    <w:p w14:paraId="7F84B39C" w14:textId="16724A4C" w:rsidR="003866CA" w:rsidRDefault="003D4E2A" w:rsidP="003866CA">
      <w:pPr>
        <w:pStyle w:val="Heading3"/>
      </w:pPr>
      <w:r>
        <w:t xml:space="preserve">Lagged outcome </w:t>
      </w:r>
      <w:r w:rsidR="003866CA">
        <w:t>controls</w:t>
      </w:r>
    </w:p>
    <w:p w14:paraId="38851803" w14:textId="69C2C7E0" w:rsidR="00CA6F35" w:rsidRDefault="003866CA" w:rsidP="00F76548">
      <w:r>
        <w:t>This specification will</w:t>
      </w:r>
      <w:r w:rsidRPr="003679C3">
        <w:t xml:space="preserve"> control for </w:t>
      </w:r>
      <w:r w:rsidR="000836BF">
        <w:t>the lagged measure of the</w:t>
      </w:r>
      <w:r w:rsidR="000836BF" w:rsidRPr="003679C3">
        <w:t xml:space="preserve"> </w:t>
      </w:r>
      <w:r w:rsidRPr="003679C3">
        <w:t xml:space="preserve">outcome </w:t>
      </w:r>
      <w:r w:rsidR="000836BF">
        <w:t>(</w:t>
      </w:r>
      <w:r w:rsidRPr="003679C3">
        <w:t>before the letters were sent.</w:t>
      </w:r>
      <w:r w:rsidR="000836BF">
        <w:t>)</w:t>
      </w:r>
      <w:r w:rsidR="003D4E2A">
        <w:t xml:space="preserve"> In the patient level </w:t>
      </w:r>
      <w:r w:rsidR="00F26A4D">
        <w:t>specifications,</w:t>
      </w:r>
      <w:r w:rsidR="003D4E2A">
        <w:t xml:space="preserve"> we will include the lagged value of the physician outcome as well, when possible.</w:t>
      </w:r>
    </w:p>
    <w:p w14:paraId="2BBC1441" w14:textId="27B5A90B" w:rsidR="003866CA" w:rsidRDefault="003D4E2A" w:rsidP="003866CA">
      <w:pPr>
        <w:pStyle w:val="Heading3"/>
      </w:pPr>
      <w:r>
        <w:t>Lagged outcome</w:t>
      </w:r>
      <w:r w:rsidR="003866CA" w:rsidRPr="003679C3">
        <w:t xml:space="preserve"> controls +</w:t>
      </w:r>
      <w:r w:rsidR="003866CA">
        <w:t xml:space="preserve"> additional controls</w:t>
      </w:r>
    </w:p>
    <w:p w14:paraId="6961DA8D" w14:textId="7F22D7CB" w:rsidR="005B692C" w:rsidRDefault="005B692C" w:rsidP="00F76548">
      <w:r>
        <w:t>We will include additional controls about the prescriber</w:t>
      </w:r>
      <w:r w:rsidR="00225BA9">
        <w:t>,</w:t>
      </w:r>
      <w:r>
        <w:t xml:space="preserve"> potentially including the values that were used to classify the prescriber as an outlier in the report, the prescriber’s specialty, information from the Fraud Investigation Database (FID), information on whether Health Integrity had previously investigated the prescriber</w:t>
      </w:r>
      <w:r w:rsidR="00225BA9">
        <w:t>, and lags of other outcome variables</w:t>
      </w:r>
      <w:r>
        <w:t>.</w:t>
      </w:r>
      <w:r w:rsidR="00F565F7">
        <w:t xml:space="preserve"> </w:t>
      </w:r>
    </w:p>
    <w:p w14:paraId="6A0A445D" w14:textId="77777777" w:rsidR="003866CA" w:rsidRDefault="006C5E9F" w:rsidP="00F76548">
      <w:r>
        <w:t xml:space="preserve">In patient-level specifications we will, in addition, include more controls about the patient. These controls may include e.g. </w:t>
      </w:r>
      <w:r w:rsidR="003866CA" w:rsidRPr="004E51FC">
        <w:t>interactions with 5-year age categories (with the last age cate</w:t>
      </w:r>
      <w:r w:rsidR="003866CA">
        <w:t>gory being 90+), race, and s</w:t>
      </w:r>
      <w:r>
        <w:t xml:space="preserve">ex; prior utilization of prescription drugs and other health services; and claims-based indicators that suggest prescription drug abuse (e.g. </w:t>
      </w:r>
      <w:proofErr w:type="spellStart"/>
      <w:r>
        <w:t>Parente</w:t>
      </w:r>
      <w:proofErr w:type="spellEnd"/>
      <w:r>
        <w:t xml:space="preserve"> et al 2004).</w:t>
      </w:r>
    </w:p>
    <w:p w14:paraId="79E9522A" w14:textId="34884E5C" w:rsidR="007479F0" w:rsidRPr="00AC6A26" w:rsidRDefault="007479F0" w:rsidP="00F76548">
      <w:r>
        <w:t xml:space="preserve">We will choose the set of controls by analyzing the explanatory power of the variables listed above and potentially other medically and economically relevant variables. To assess explanatory </w:t>
      </w:r>
      <w:proofErr w:type="gramStart"/>
      <w:r>
        <w:t>power</w:t>
      </w:r>
      <w:proofErr w:type="gramEnd"/>
      <w:r>
        <w:t xml:space="preserve"> we will run regressions looking only at the control group prescribers </w:t>
      </w:r>
      <w:r w:rsidR="00AC6A26">
        <w:t xml:space="preserve">and compare the adjusted </w:t>
      </w:r>
      <w:r w:rsidR="00AC6A26">
        <w:rPr>
          <w:i/>
        </w:rPr>
        <w:t>R</w:t>
      </w:r>
      <w:r w:rsidR="00AC6A26">
        <w:rPr>
          <w:i/>
          <w:vertAlign w:val="superscript"/>
        </w:rPr>
        <w:t>2</w:t>
      </w:r>
      <w:r w:rsidR="00AC6A26">
        <w:t xml:space="preserve"> of different combinations of candidate control variables.</w:t>
      </w:r>
    </w:p>
    <w:p w14:paraId="26ED8844" w14:textId="77777777" w:rsidR="003866CA" w:rsidRPr="003679C3" w:rsidRDefault="003866CA" w:rsidP="003866CA">
      <w:pPr>
        <w:pStyle w:val="Heading2"/>
      </w:pPr>
      <w:bookmarkStart w:id="2" w:name="_Ref430857893"/>
      <w:r w:rsidRPr="003679C3">
        <w:t>Time Horizon</w:t>
      </w:r>
      <w:bookmarkEnd w:id="2"/>
    </w:p>
    <w:p w14:paraId="01916270" w14:textId="72DBEC7D" w:rsidR="003866CA" w:rsidRPr="003679C3" w:rsidRDefault="003866CA" w:rsidP="00F76548">
      <w:r w:rsidRPr="003679C3">
        <w:t xml:space="preserve">We are interested in the evolution of the effects of the letters. To that end, all regressions in this document will be performed </w:t>
      </w:r>
      <w:r>
        <w:t xml:space="preserve">with the outcome defined </w:t>
      </w:r>
      <w:r w:rsidRPr="003679C3">
        <w:t>at the following time horizons</w:t>
      </w:r>
      <w:r w:rsidR="00E07156">
        <w:t xml:space="preserve"> (starting from the day after the letters were first sent</w:t>
      </w:r>
      <w:r w:rsidR="002840A5">
        <w:t>, 4/21/2015</w:t>
      </w:r>
      <w:r w:rsidR="00E07156">
        <w:t>)</w:t>
      </w:r>
      <w:r w:rsidRPr="003679C3">
        <w:t xml:space="preserve">: </w:t>
      </w:r>
    </w:p>
    <w:p w14:paraId="417A0BF9" w14:textId="77777777" w:rsidR="003866CA" w:rsidRPr="00F76548" w:rsidRDefault="006C5E9F" w:rsidP="00F76548">
      <w:pPr>
        <w:pStyle w:val="ListParagraph"/>
        <w:numPr>
          <w:ilvl w:val="0"/>
          <w:numId w:val="24"/>
        </w:numPr>
        <w:rPr>
          <w:rFonts w:eastAsia="Times New Roman"/>
        </w:rPr>
      </w:pPr>
      <w:r>
        <w:rPr>
          <w:rFonts w:eastAsia="Times New Roman"/>
        </w:rPr>
        <w:t>1 month</w:t>
      </w:r>
    </w:p>
    <w:p w14:paraId="022A2C86" w14:textId="77777777" w:rsidR="003866CA" w:rsidRPr="003679C3" w:rsidRDefault="00F76548" w:rsidP="00F76548">
      <w:pPr>
        <w:pStyle w:val="ListParagraph"/>
        <w:numPr>
          <w:ilvl w:val="0"/>
          <w:numId w:val="24"/>
        </w:numPr>
      </w:pPr>
      <w:r>
        <w:t xml:space="preserve">3 </w:t>
      </w:r>
      <w:r w:rsidR="003866CA" w:rsidRPr="003679C3">
        <w:t xml:space="preserve">months </w:t>
      </w:r>
    </w:p>
    <w:p w14:paraId="26FAC030" w14:textId="77777777" w:rsidR="003866CA" w:rsidRPr="00F76548" w:rsidRDefault="003866CA" w:rsidP="00F76548">
      <w:pPr>
        <w:pStyle w:val="ListParagraph"/>
        <w:numPr>
          <w:ilvl w:val="0"/>
          <w:numId w:val="24"/>
        </w:numPr>
        <w:rPr>
          <w:rFonts w:eastAsia="Times New Roman"/>
        </w:rPr>
      </w:pPr>
      <w:r w:rsidRPr="00F76548">
        <w:rPr>
          <w:rFonts w:eastAsia="Times New Roman"/>
        </w:rPr>
        <w:t xml:space="preserve">6 months </w:t>
      </w:r>
    </w:p>
    <w:p w14:paraId="7CABAB0E" w14:textId="77777777" w:rsidR="003866CA" w:rsidRPr="00F76548" w:rsidRDefault="003866CA" w:rsidP="00F76548">
      <w:pPr>
        <w:pStyle w:val="ListParagraph"/>
        <w:numPr>
          <w:ilvl w:val="0"/>
          <w:numId w:val="24"/>
        </w:numPr>
        <w:rPr>
          <w:rFonts w:eastAsia="Times New Roman"/>
        </w:rPr>
      </w:pPr>
      <w:r w:rsidRPr="00F76548">
        <w:rPr>
          <w:rFonts w:eastAsia="Times New Roman"/>
        </w:rPr>
        <w:t xml:space="preserve">9 months </w:t>
      </w:r>
    </w:p>
    <w:p w14:paraId="60CE4314" w14:textId="77777777" w:rsidR="003866CA" w:rsidRDefault="003866CA" w:rsidP="00F76548">
      <w:pPr>
        <w:pStyle w:val="ListParagraph"/>
        <w:numPr>
          <w:ilvl w:val="0"/>
          <w:numId w:val="24"/>
        </w:numPr>
        <w:rPr>
          <w:rFonts w:eastAsia="Times New Roman"/>
        </w:rPr>
      </w:pPr>
      <w:r w:rsidRPr="00F76548">
        <w:rPr>
          <w:rFonts w:eastAsia="Times New Roman"/>
        </w:rPr>
        <w:t>1 year</w:t>
      </w:r>
    </w:p>
    <w:p w14:paraId="51D438F6" w14:textId="658CA93C" w:rsidR="002840A5" w:rsidRPr="00BE7041" w:rsidRDefault="00BE7041" w:rsidP="00F76548">
      <w:pPr>
        <w:pStyle w:val="ListParagraph"/>
        <w:numPr>
          <w:ilvl w:val="0"/>
          <w:numId w:val="24"/>
        </w:numPr>
        <w:rPr>
          <w:rFonts w:eastAsia="Times New Roman"/>
          <w:i/>
        </w:rPr>
      </w:pPr>
      <w:r w:rsidRPr="00BE7041">
        <w:rPr>
          <w:rFonts w:eastAsia="Times New Roman"/>
          <w:i/>
        </w:rPr>
        <w:t xml:space="preserve">Optional: </w:t>
      </w:r>
      <w:r w:rsidR="002840A5" w:rsidRPr="00BE7041">
        <w:rPr>
          <w:rFonts w:eastAsia="Times New Roman"/>
          <w:i/>
        </w:rPr>
        <w:t>15 months</w:t>
      </w:r>
    </w:p>
    <w:p w14:paraId="559A10C7" w14:textId="370C14F4" w:rsidR="002840A5" w:rsidRPr="00BE7041" w:rsidRDefault="00BE7041" w:rsidP="00F76548">
      <w:pPr>
        <w:pStyle w:val="ListParagraph"/>
        <w:numPr>
          <w:ilvl w:val="0"/>
          <w:numId w:val="24"/>
        </w:numPr>
        <w:rPr>
          <w:rFonts w:eastAsia="Times New Roman"/>
          <w:i/>
        </w:rPr>
      </w:pPr>
      <w:r w:rsidRPr="00BE7041">
        <w:rPr>
          <w:rFonts w:eastAsia="Times New Roman"/>
          <w:i/>
        </w:rPr>
        <w:t xml:space="preserve">Optional: </w:t>
      </w:r>
      <w:r w:rsidR="002840A5" w:rsidRPr="00BE7041">
        <w:rPr>
          <w:rFonts w:eastAsia="Times New Roman"/>
          <w:i/>
        </w:rPr>
        <w:t>18 months</w:t>
      </w:r>
    </w:p>
    <w:p w14:paraId="45416E23" w14:textId="44E724F6" w:rsidR="00184495" w:rsidRDefault="00184495" w:rsidP="00184495">
      <w:pPr>
        <w:rPr>
          <w:rFonts w:eastAsia="Times New Roman"/>
        </w:rPr>
      </w:pPr>
      <w:r>
        <w:rPr>
          <w:rFonts w:eastAsia="Times New Roman"/>
        </w:rPr>
        <w:t>We will also look at outcomes in the time periods before/after each letter was sent to look for suggestive evidence of incremental effects of the followup letters:</w:t>
      </w:r>
    </w:p>
    <w:p w14:paraId="7A846A18" w14:textId="303F06F2" w:rsidR="00184495" w:rsidRDefault="00184495" w:rsidP="00184495">
      <w:pPr>
        <w:pStyle w:val="ListParagraph"/>
        <w:numPr>
          <w:ilvl w:val="0"/>
          <w:numId w:val="48"/>
        </w:numPr>
        <w:rPr>
          <w:rFonts w:eastAsia="Times New Roman"/>
        </w:rPr>
      </w:pPr>
      <w:r>
        <w:rPr>
          <w:rFonts w:eastAsia="Times New Roman"/>
        </w:rPr>
        <w:t>After initial letter to first followup letter</w:t>
      </w:r>
    </w:p>
    <w:p w14:paraId="4538634E" w14:textId="1FFCD056" w:rsidR="00184495" w:rsidRDefault="00184495" w:rsidP="00184495">
      <w:pPr>
        <w:pStyle w:val="ListParagraph"/>
        <w:numPr>
          <w:ilvl w:val="0"/>
          <w:numId w:val="48"/>
        </w:numPr>
        <w:rPr>
          <w:rFonts w:eastAsia="Times New Roman"/>
        </w:rPr>
      </w:pPr>
      <w:r>
        <w:rPr>
          <w:rFonts w:eastAsia="Times New Roman"/>
        </w:rPr>
        <w:lastRenderedPageBreak/>
        <w:t xml:space="preserve">After first followup letter to </w:t>
      </w:r>
      <w:r w:rsidR="003D3A2F">
        <w:rPr>
          <w:rFonts w:eastAsia="Times New Roman"/>
        </w:rPr>
        <w:t>1 year</w:t>
      </w:r>
    </w:p>
    <w:p w14:paraId="4F147CFB" w14:textId="6E3A90A7" w:rsidR="00184495" w:rsidRDefault="00184495" w:rsidP="00BE7041">
      <w:pPr>
        <w:pStyle w:val="ListParagraph"/>
        <w:numPr>
          <w:ilvl w:val="0"/>
          <w:numId w:val="48"/>
        </w:numPr>
        <w:rPr>
          <w:rFonts w:eastAsia="Times New Roman"/>
        </w:rPr>
      </w:pPr>
      <w:r>
        <w:rPr>
          <w:rFonts w:eastAsia="Times New Roman"/>
        </w:rPr>
        <w:t>Between first followup and second followup</w:t>
      </w:r>
    </w:p>
    <w:p w14:paraId="582C9D3C" w14:textId="4FAA284C" w:rsidR="00184495" w:rsidRDefault="00184495" w:rsidP="00184495">
      <w:pPr>
        <w:pStyle w:val="ListParagraph"/>
        <w:numPr>
          <w:ilvl w:val="0"/>
          <w:numId w:val="48"/>
        </w:numPr>
        <w:rPr>
          <w:rFonts w:eastAsia="Times New Roman"/>
        </w:rPr>
      </w:pPr>
      <w:r>
        <w:rPr>
          <w:rFonts w:eastAsia="Times New Roman"/>
        </w:rPr>
        <w:t xml:space="preserve">After </w:t>
      </w:r>
      <w:r w:rsidR="00BE7041">
        <w:rPr>
          <w:rFonts w:eastAsia="Times New Roman"/>
        </w:rPr>
        <w:t>second</w:t>
      </w:r>
      <w:r>
        <w:rPr>
          <w:rFonts w:eastAsia="Times New Roman"/>
        </w:rPr>
        <w:t xml:space="preserve"> followup to </w:t>
      </w:r>
      <w:r w:rsidR="00BE7041">
        <w:rPr>
          <w:rFonts w:eastAsia="Times New Roman"/>
        </w:rPr>
        <w:t>9 months</w:t>
      </w:r>
    </w:p>
    <w:p w14:paraId="3A0EE369" w14:textId="77777777" w:rsidR="003866CA" w:rsidRDefault="00164BEB" w:rsidP="003866CA">
      <w:pPr>
        <w:pStyle w:val="Heading1"/>
      </w:pPr>
      <w:r>
        <w:t>Effect of l</w:t>
      </w:r>
      <w:r w:rsidR="003866CA" w:rsidRPr="003679C3">
        <w:t xml:space="preserve">etters on </w:t>
      </w:r>
      <w:r>
        <w:t>prescribers</w:t>
      </w:r>
    </w:p>
    <w:p w14:paraId="683700B1" w14:textId="038AB6B8" w:rsidR="003866CA" w:rsidRPr="003679C3" w:rsidRDefault="006C5E9F" w:rsidP="003866CA">
      <w:pPr>
        <w:pStyle w:val="Heading2"/>
      </w:pPr>
      <w:bookmarkStart w:id="3" w:name="_Ref274337653"/>
      <w:r>
        <w:t>T</w:t>
      </w:r>
      <w:r w:rsidR="00164BEB">
        <w:t xml:space="preserve">otal </w:t>
      </w:r>
      <w:r w:rsidR="002840A5">
        <w:t>Seroquel</w:t>
      </w:r>
      <w:r w:rsidR="00164BEB">
        <w:t xml:space="preserve"> p</w:t>
      </w:r>
      <w:r w:rsidR="003866CA" w:rsidRPr="003679C3">
        <w:t>rescribing</w:t>
      </w:r>
      <w:bookmarkEnd w:id="3"/>
    </w:p>
    <w:p w14:paraId="35C424A2" w14:textId="0FB1D315" w:rsidR="00E07156" w:rsidRPr="00E07156" w:rsidRDefault="003866CA" w:rsidP="00164BEB">
      <w:r w:rsidRPr="003679C3">
        <w:t xml:space="preserve">Our first analysis will look at the effect of the letter on overall </w:t>
      </w:r>
      <w:r w:rsidR="00391A26">
        <w:t>Seroquel</w:t>
      </w:r>
      <w:r w:rsidRPr="003679C3">
        <w:t xml:space="preserve"> prescribing behavior. </w:t>
      </w:r>
      <w:r w:rsidR="00E07156">
        <w:t xml:space="preserve">The </w:t>
      </w:r>
      <w:r w:rsidR="00E07156">
        <w:rPr>
          <w:b/>
        </w:rPr>
        <w:t>primary outcome</w:t>
      </w:r>
      <w:r w:rsidR="00E07156">
        <w:t xml:space="preserve"> of the study will be total 30-day equivalent </w:t>
      </w:r>
      <w:r w:rsidR="002840A5">
        <w:t>treatments</w:t>
      </w:r>
      <w:r w:rsidR="00E07156">
        <w:t xml:space="preserve"> at the</w:t>
      </w:r>
      <w:r w:rsidR="002840A5">
        <w:t xml:space="preserve"> </w:t>
      </w:r>
      <w:proofErr w:type="gramStart"/>
      <w:r w:rsidR="00BE7041">
        <w:t>9 month</w:t>
      </w:r>
      <w:proofErr w:type="gramEnd"/>
      <w:r w:rsidR="00BE7041">
        <w:t xml:space="preserve"> </w:t>
      </w:r>
      <w:r w:rsidR="00E07156">
        <w:t xml:space="preserve">horizon. </w:t>
      </w:r>
      <w:r w:rsidR="002840A5">
        <w:t>A Seroquel treatment is defined as all the prescription drug events for a given patient and prescriber on a given day (</w:t>
      </w:r>
      <w:r w:rsidR="003D3A2F">
        <w:t xml:space="preserve">i.e. </w:t>
      </w:r>
      <w:r w:rsidR="002840A5">
        <w:t xml:space="preserve">multiple fills are rolled up into one). </w:t>
      </w:r>
      <w:r w:rsidR="003E5A55">
        <w:t>Its 30-day eq</w:t>
      </w:r>
      <w:r w:rsidR="00F77559">
        <w:t xml:space="preserve">uivalent is the </w:t>
      </w:r>
      <w:r w:rsidR="00CC7112">
        <w:t>greatest “days supply” listed on</w:t>
      </w:r>
      <w:r w:rsidR="003E5A55">
        <w:t xml:space="preserve"> the</w:t>
      </w:r>
      <w:r w:rsidR="003B695C">
        <w:t xml:space="preserve"> day’s</w:t>
      </w:r>
      <w:r w:rsidR="003E5A55">
        <w:t xml:space="preserve"> fills, divided by 30. </w:t>
      </w:r>
      <w:r w:rsidR="00E07156">
        <w:t xml:space="preserve">We will study this </w:t>
      </w:r>
      <w:r w:rsidR="003B695C">
        <w:t>measure</w:t>
      </w:r>
      <w:r w:rsidR="00E07156">
        <w:t xml:space="preserve"> at the other horizons</w:t>
      </w:r>
      <w:r w:rsidR="003B695C">
        <w:t xml:space="preserve"> listed in Section </w:t>
      </w:r>
      <w:r w:rsidR="003B695C">
        <w:fldChar w:fldCharType="begin"/>
      </w:r>
      <w:r w:rsidR="003B695C">
        <w:instrText xml:space="preserve"> REF _Ref430857893 \r \h </w:instrText>
      </w:r>
      <w:r w:rsidR="003B695C">
        <w:fldChar w:fldCharType="separate"/>
      </w:r>
      <w:r w:rsidR="003B695C">
        <w:t>3.3</w:t>
      </w:r>
      <w:r w:rsidR="003B695C">
        <w:fldChar w:fldCharType="end"/>
      </w:r>
      <w:r w:rsidR="003B695C">
        <w:t xml:space="preserve">, and these results will become </w:t>
      </w:r>
      <w:r w:rsidR="00E07156">
        <w:t>secondary outcomes.</w:t>
      </w:r>
    </w:p>
    <w:p w14:paraId="4960F386" w14:textId="5D44322C" w:rsidR="006C5E9F" w:rsidRDefault="006C5E9F" w:rsidP="00164BEB">
      <w:pPr>
        <w:rPr>
          <w:rFonts w:ascii="Cambria" w:hAnsi="Cambria"/>
        </w:rPr>
      </w:pPr>
      <w:r>
        <w:rPr>
          <w:rFonts w:ascii="Cambria" w:hAnsi="Cambria"/>
        </w:rPr>
        <w:t xml:space="preserve">In </w:t>
      </w:r>
      <w:r w:rsidR="007525E8">
        <w:rPr>
          <w:rFonts w:ascii="Cambria" w:hAnsi="Cambria"/>
        </w:rPr>
        <w:t>addition,</w:t>
      </w:r>
      <w:r>
        <w:rPr>
          <w:rFonts w:ascii="Cambria" w:hAnsi="Cambria"/>
        </w:rPr>
        <w:t xml:space="preserve"> we will look at the following measures </w:t>
      </w:r>
      <w:r w:rsidR="00C3176B">
        <w:rPr>
          <w:rFonts w:ascii="Cambria" w:hAnsi="Cambria"/>
        </w:rPr>
        <w:t xml:space="preserve">for </w:t>
      </w:r>
      <w:r w:rsidR="002840A5">
        <w:rPr>
          <w:rFonts w:ascii="Cambria" w:hAnsi="Cambria"/>
        </w:rPr>
        <w:t>Seroquel</w:t>
      </w:r>
      <w:r w:rsidR="00C3176B">
        <w:rPr>
          <w:rFonts w:ascii="Cambria" w:hAnsi="Cambria"/>
        </w:rPr>
        <w:t xml:space="preserve"> </w:t>
      </w:r>
      <w:r>
        <w:rPr>
          <w:rFonts w:ascii="Cambria" w:hAnsi="Cambria"/>
        </w:rPr>
        <w:t>as secondary outcomes:</w:t>
      </w:r>
    </w:p>
    <w:p w14:paraId="0737588E" w14:textId="1B7994A1" w:rsidR="003B695C" w:rsidRDefault="00CC7112" w:rsidP="003B695C">
      <w:pPr>
        <w:pStyle w:val="ListParagraph"/>
        <w:numPr>
          <w:ilvl w:val="0"/>
          <w:numId w:val="25"/>
        </w:numPr>
      </w:pPr>
      <w:r>
        <w:t>Total mg dispensed</w:t>
      </w:r>
    </w:p>
    <w:p w14:paraId="24B33209" w14:textId="076277A8" w:rsidR="00E07156" w:rsidRDefault="00E07156" w:rsidP="00E07156">
      <w:pPr>
        <w:pStyle w:val="ListParagraph"/>
        <w:numPr>
          <w:ilvl w:val="0"/>
          <w:numId w:val="25"/>
        </w:numPr>
      </w:pPr>
      <w:r w:rsidRPr="003679C3">
        <w:t>Total prescriptions filled</w:t>
      </w:r>
      <w:r w:rsidR="003E5A55">
        <w:t>, without rolling up multiple fills on the same day</w:t>
      </w:r>
      <w:r w:rsidRPr="003679C3">
        <w:t xml:space="preserve"> (known as prescription drug events or PDE</w:t>
      </w:r>
      <w:r w:rsidR="003E5A55">
        <w:t>)</w:t>
      </w:r>
    </w:p>
    <w:p w14:paraId="6800F276" w14:textId="679512E3" w:rsidR="003E5A55" w:rsidRDefault="003E5A55" w:rsidP="00E07156">
      <w:pPr>
        <w:pStyle w:val="ListParagraph"/>
        <w:numPr>
          <w:ilvl w:val="0"/>
          <w:numId w:val="25"/>
        </w:numPr>
      </w:pPr>
      <w:r>
        <w:t xml:space="preserve">Total 30-day equivalent PDE, or the sum of all </w:t>
      </w:r>
      <w:proofErr w:type="gramStart"/>
      <w:r>
        <w:t>days</w:t>
      </w:r>
      <w:proofErr w:type="gramEnd"/>
      <w:r>
        <w:t xml:space="preserve"> supply on the fills divided by 30, without rolling up multiple fills on the same day</w:t>
      </w:r>
    </w:p>
    <w:p w14:paraId="099358C4" w14:textId="77777777" w:rsidR="00E07156" w:rsidRPr="003679C3" w:rsidRDefault="00E07156" w:rsidP="00E07156">
      <w:pPr>
        <w:pStyle w:val="ListParagraph"/>
        <w:numPr>
          <w:ilvl w:val="0"/>
          <w:numId w:val="25"/>
        </w:numPr>
      </w:pPr>
      <w:r w:rsidRPr="003679C3">
        <w:t xml:space="preserve">Total </w:t>
      </w:r>
      <w:r>
        <w:t>Part D payments</w:t>
      </w:r>
      <w:r w:rsidRPr="003679C3">
        <w:t xml:space="preserve"> for prescriptions</w:t>
      </w:r>
    </w:p>
    <w:p w14:paraId="1C459755" w14:textId="438F8B54" w:rsidR="007525E8" w:rsidRDefault="007525E8" w:rsidP="007525E8">
      <w:pPr>
        <w:pStyle w:val="Heading2"/>
      </w:pPr>
      <w:r>
        <w:t>New vs. Continuing Prescribing</w:t>
      </w:r>
    </w:p>
    <w:p w14:paraId="3CFCA696" w14:textId="1F1F7BB1" w:rsidR="007525E8" w:rsidRDefault="007525E8" w:rsidP="007525E8">
      <w:r>
        <w:t xml:space="preserve">Seroquel prescriptions may have refills, allowing patients to continue receiving the drug even if their physician has begun limiting prescribing. We will therefore look at whether </w:t>
      </w:r>
      <w:r w:rsidR="00E37783">
        <w:t xml:space="preserve">we can detect effects on new vs. continuing prescriptions by studying the following prescriptions using the outcome measures of Section </w:t>
      </w:r>
      <w:r w:rsidR="00E37783">
        <w:fldChar w:fldCharType="begin"/>
      </w:r>
      <w:r w:rsidR="00E37783">
        <w:instrText xml:space="preserve"> REF _Ref274337653 \r \h </w:instrText>
      </w:r>
      <w:r w:rsidR="00E37783">
        <w:fldChar w:fldCharType="separate"/>
      </w:r>
      <w:r w:rsidR="00624B24">
        <w:t>4.1</w:t>
      </w:r>
      <w:r w:rsidR="00E37783">
        <w:fldChar w:fldCharType="end"/>
      </w:r>
      <w:r w:rsidR="00E37783">
        <w:t>:</w:t>
      </w:r>
    </w:p>
    <w:p w14:paraId="2B07307E" w14:textId="12DDF392" w:rsidR="00E37783" w:rsidRDefault="00E37783" w:rsidP="00E37783">
      <w:pPr>
        <w:pStyle w:val="ListParagraph"/>
        <w:numPr>
          <w:ilvl w:val="0"/>
          <w:numId w:val="46"/>
        </w:numPr>
      </w:pPr>
      <w:r>
        <w:t xml:space="preserve">Initial Seroquel fills, </w:t>
      </w:r>
      <w:proofErr w:type="spellStart"/>
      <w:r>
        <w:t>lookback</w:t>
      </w:r>
      <w:proofErr w:type="spellEnd"/>
      <w:r>
        <w:t>-based definition (i.e. the first fill for a patient attributed to that prescriber, after at least a year of no fills for that patient attributed to the prescriber)</w:t>
      </w:r>
    </w:p>
    <w:p w14:paraId="75357193" w14:textId="53AB8B94" w:rsidR="00E37783" w:rsidRDefault="00E37783" w:rsidP="00E37783">
      <w:pPr>
        <w:pStyle w:val="ListParagraph"/>
        <w:numPr>
          <w:ilvl w:val="0"/>
          <w:numId w:val="46"/>
        </w:numPr>
      </w:pPr>
      <w:r>
        <w:t>Initial Seroquel fills, fill field definition (the first fill for a patient based on the “fill number” on the PDE)</w:t>
      </w:r>
    </w:p>
    <w:p w14:paraId="51AC2245" w14:textId="38A39E0C" w:rsidR="00E37783" w:rsidRDefault="00E37783" w:rsidP="00E37783">
      <w:pPr>
        <w:pStyle w:val="ListParagraph"/>
        <w:numPr>
          <w:ilvl w:val="0"/>
          <w:numId w:val="46"/>
        </w:numPr>
      </w:pPr>
      <w:r>
        <w:t xml:space="preserve">Continuing Seroquel fills, </w:t>
      </w:r>
      <w:proofErr w:type="spellStart"/>
      <w:r>
        <w:t>lookback</w:t>
      </w:r>
      <w:proofErr w:type="spellEnd"/>
      <w:r>
        <w:t xml:space="preserve">-based definition (i.e. Seroquel fills that are not initial fills by the </w:t>
      </w:r>
      <w:proofErr w:type="spellStart"/>
      <w:r>
        <w:t>lookback</w:t>
      </w:r>
      <w:proofErr w:type="spellEnd"/>
      <w:r>
        <w:t>-based definition)</w:t>
      </w:r>
    </w:p>
    <w:p w14:paraId="77784748" w14:textId="2CF18C30" w:rsidR="00E37783" w:rsidRDefault="00E37783" w:rsidP="00E37783">
      <w:pPr>
        <w:pStyle w:val="ListParagraph"/>
        <w:numPr>
          <w:ilvl w:val="0"/>
          <w:numId w:val="46"/>
        </w:numPr>
      </w:pPr>
      <w:r>
        <w:t>Continuing Seroquel fills, fill field definition (i.e.</w:t>
      </w:r>
      <w:r w:rsidR="003B695C">
        <w:t xml:space="preserve"> second or greater fill on the prescription</w:t>
      </w:r>
      <w:r>
        <w:t xml:space="preserve"> based on the “fill number” on the PDE)</w:t>
      </w:r>
    </w:p>
    <w:p w14:paraId="259620A8" w14:textId="3E6D057A" w:rsidR="00597AEA" w:rsidRDefault="00E631D6" w:rsidP="00597AEA">
      <w:pPr>
        <w:pStyle w:val="Heading2"/>
      </w:pPr>
      <w:r>
        <w:lastRenderedPageBreak/>
        <w:t xml:space="preserve">Type of Patient </w:t>
      </w:r>
      <w:r w:rsidR="001B1F5C">
        <w:t>Receiving Prescriptions</w:t>
      </w:r>
    </w:p>
    <w:p w14:paraId="09A98131" w14:textId="0233F70C" w:rsidR="001B1F5C" w:rsidRPr="001B1F5C" w:rsidRDefault="001B1F5C" w:rsidP="001B1F5C">
      <w:pPr>
        <w:pStyle w:val="Heading3"/>
      </w:pPr>
      <w:bookmarkStart w:id="4" w:name="_Ref430275676"/>
      <w:r>
        <w:t>Prescribing to Observably Appropriate vs. Questionable Candidates</w:t>
      </w:r>
      <w:bookmarkEnd w:id="4"/>
    </w:p>
    <w:p w14:paraId="0A920F6F" w14:textId="2C006FA2" w:rsidR="00007906" w:rsidRDefault="005C7E42" w:rsidP="008D27E2">
      <w:r>
        <w:t>There is increasing concern among policymakers that</w:t>
      </w:r>
      <w:r w:rsidR="008D27E2">
        <w:t xml:space="preserve"> many recipients of Seroquel are questi</w:t>
      </w:r>
      <w:r w:rsidR="00007906">
        <w:t>onable candidates for the drug.</w:t>
      </w:r>
      <w:r w:rsidR="00007906">
        <w:rPr>
          <w:rStyle w:val="FootnoteReference"/>
        </w:rPr>
        <w:footnoteReference w:id="3"/>
      </w:r>
      <w:r w:rsidR="00007906">
        <w:t xml:space="preserve"> Thus we will test whether prescribers respond to the letters by </w:t>
      </w:r>
      <w:r w:rsidR="00271830">
        <w:t>reducing</w:t>
      </w:r>
      <w:r w:rsidR="00007906">
        <w:t xml:space="preserve"> prescribing to patients who </w:t>
      </w:r>
      <w:r w:rsidR="00271830">
        <w:t>appear to be</w:t>
      </w:r>
      <w:r w:rsidR="00007906">
        <w:t xml:space="preserve"> poor </w:t>
      </w:r>
      <w:r w:rsidR="00271830">
        <w:t xml:space="preserve">(or, perhaps, good) </w:t>
      </w:r>
      <w:r w:rsidR="00007906">
        <w:t>candidates for the drug.</w:t>
      </w:r>
    </w:p>
    <w:p w14:paraId="2755E9E7" w14:textId="5D1DC3A6" w:rsidR="008D27E2" w:rsidRDefault="00007906" w:rsidP="008D27E2">
      <w:r>
        <w:t xml:space="preserve">We will split patients into relatively appropriate and </w:t>
      </w:r>
      <w:r w:rsidR="003B695C">
        <w:t>questionable</w:t>
      </w:r>
      <w:r>
        <w:t xml:space="preserve"> candidates for Seroquel using claims-based indicators like whether the patient resides in a nursing home, has a history of dementia, has a history of psychiatric disorders, etc. We will then look at the outcome measures of Section </w:t>
      </w:r>
      <w:r>
        <w:fldChar w:fldCharType="begin"/>
      </w:r>
      <w:r>
        <w:instrText xml:space="preserve"> REF _Ref274337653 \r \h </w:instrText>
      </w:r>
      <w:r>
        <w:fldChar w:fldCharType="separate"/>
      </w:r>
      <w:r w:rsidR="00624B24">
        <w:t>4.1</w:t>
      </w:r>
      <w:r>
        <w:fldChar w:fldCharType="end"/>
      </w:r>
      <w:r>
        <w:t xml:space="preserve"> separately for the</w:t>
      </w:r>
      <w:r w:rsidR="003B695C">
        <w:t xml:space="preserve"> observably</w:t>
      </w:r>
      <w:r>
        <w:t xml:space="preserve"> appropriate and </w:t>
      </w:r>
      <w:r w:rsidR="003B695C">
        <w:t>questionable</w:t>
      </w:r>
      <w:r>
        <w:t xml:space="preserve"> patients.</w:t>
      </w:r>
    </w:p>
    <w:p w14:paraId="1E994BEC" w14:textId="46F422F9" w:rsidR="001B1F5C" w:rsidRDefault="001B1F5C" w:rsidP="001B1F5C">
      <w:pPr>
        <w:pStyle w:val="Heading3"/>
      </w:pPr>
      <w:r>
        <w:t>Effect on Characteristics of Average Patient</w:t>
      </w:r>
    </w:p>
    <w:p w14:paraId="7A0257ED" w14:textId="0D776B06" w:rsidR="001B1F5C" w:rsidRDefault="001163B0" w:rsidP="001B1F5C">
      <w:r>
        <w:t>We will also test how the letters affect the</w:t>
      </w:r>
      <w:r w:rsidR="00135248">
        <w:t xml:space="preserve"> characteristics</w:t>
      </w:r>
      <w:r>
        <w:t xml:space="preserve"> </w:t>
      </w:r>
      <w:r w:rsidR="005B4B2B">
        <w:t xml:space="preserve">of the </w:t>
      </w:r>
      <w:r>
        <w:t>average patient who receives Seroquel from the prescriber. For each prescriber, we will take</w:t>
      </w:r>
      <w:r w:rsidR="008F3C38">
        <w:t xml:space="preserve"> the</w:t>
      </w:r>
      <w:r>
        <w:t xml:space="preserve"> Seroquel 30-day equivale</w:t>
      </w:r>
      <w:r w:rsidR="001943C7">
        <w:t>nt PDT weighted average across her patients</w:t>
      </w:r>
      <w:r w:rsidR="00135248">
        <w:t xml:space="preserve"> of </w:t>
      </w:r>
      <w:r>
        <w:t xml:space="preserve">characteristics </w:t>
      </w:r>
      <w:r w:rsidR="00135248">
        <w:t>that are relevant to the appropriateness of Seroquel</w:t>
      </w:r>
      <w:r w:rsidR="005B4B2B">
        <w:t xml:space="preserve">. We will </w:t>
      </w:r>
      <w:r>
        <w:t xml:space="preserve">use these averages as left-hand </w:t>
      </w:r>
      <w:r w:rsidR="005B4B2B">
        <w:t>side measures</w:t>
      </w:r>
      <w:r w:rsidR="00132419">
        <w:t xml:space="preserve"> in the regressions. The characteristics will be</w:t>
      </w:r>
      <w:r w:rsidR="005B4B2B">
        <w:t>:</w:t>
      </w:r>
    </w:p>
    <w:p w14:paraId="2DE797DA" w14:textId="5098B3ED" w:rsidR="001163B0" w:rsidRDefault="001163B0" w:rsidP="001163B0">
      <w:pPr>
        <w:pStyle w:val="ListParagraph"/>
        <w:numPr>
          <w:ilvl w:val="0"/>
          <w:numId w:val="49"/>
        </w:numPr>
      </w:pPr>
      <w:r>
        <w:t>Patient age</w:t>
      </w:r>
    </w:p>
    <w:p w14:paraId="0A2BE263" w14:textId="39419EF2" w:rsidR="001163B0" w:rsidRDefault="001163B0" w:rsidP="001163B0">
      <w:pPr>
        <w:pStyle w:val="ListParagraph"/>
        <w:numPr>
          <w:ilvl w:val="0"/>
          <w:numId w:val="49"/>
        </w:numPr>
      </w:pPr>
      <w:r>
        <w:t>Patient resides in a nursing home</w:t>
      </w:r>
    </w:p>
    <w:p w14:paraId="0D3B5B46" w14:textId="478D4A21" w:rsidR="001163B0" w:rsidRDefault="001163B0" w:rsidP="001163B0">
      <w:pPr>
        <w:pStyle w:val="ListParagraph"/>
        <w:numPr>
          <w:ilvl w:val="0"/>
          <w:numId w:val="49"/>
        </w:numPr>
      </w:pPr>
      <w:r>
        <w:t>Patient has prior diagnosis of dementia</w:t>
      </w:r>
    </w:p>
    <w:p w14:paraId="0090A16C" w14:textId="4B10FBBA" w:rsidR="001163B0" w:rsidRDefault="001163B0" w:rsidP="001163B0">
      <w:pPr>
        <w:pStyle w:val="ListParagraph"/>
        <w:numPr>
          <w:ilvl w:val="0"/>
          <w:numId w:val="49"/>
        </w:numPr>
      </w:pPr>
      <w:r>
        <w:t>Patient has prior diagnosis of psychiatric disorder</w:t>
      </w:r>
    </w:p>
    <w:p w14:paraId="1261C00A" w14:textId="375F856D" w:rsidR="001163B0" w:rsidRPr="00BE7041" w:rsidRDefault="00BE7041" w:rsidP="001163B0">
      <w:pPr>
        <w:pStyle w:val="ListParagraph"/>
        <w:numPr>
          <w:ilvl w:val="0"/>
          <w:numId w:val="49"/>
        </w:numPr>
        <w:rPr>
          <w:i/>
        </w:rPr>
      </w:pPr>
      <w:r>
        <w:rPr>
          <w:i/>
        </w:rPr>
        <w:t>Optional: p</w:t>
      </w:r>
      <w:r w:rsidR="001163B0" w:rsidRPr="00BE7041">
        <w:rPr>
          <w:i/>
        </w:rPr>
        <w:t>atient has prior hospitalization or ED visit for psychiatric disorder</w:t>
      </w:r>
    </w:p>
    <w:p w14:paraId="25DD8FBE" w14:textId="77777777" w:rsidR="001E5DAB" w:rsidRDefault="00F05D12" w:rsidP="001E5DAB">
      <w:pPr>
        <w:pStyle w:val="Heading2"/>
      </w:pPr>
      <w:r>
        <w:t>Heterogeneous</w:t>
      </w:r>
      <w:r w:rsidR="00D05282">
        <w:t xml:space="preserve"> effects</w:t>
      </w:r>
    </w:p>
    <w:p w14:paraId="3FE035AE" w14:textId="25886FA5" w:rsidR="00D05282" w:rsidRPr="00D05282" w:rsidRDefault="000836BF" w:rsidP="00D05282">
      <w:r>
        <w:t>We will test for heterogeneous effects across several physician categories</w:t>
      </w:r>
      <w:r w:rsidR="007D089A">
        <w:t xml:space="preserve">, </w:t>
      </w:r>
      <w:r>
        <w:t xml:space="preserve">which we now describe: </w:t>
      </w:r>
    </w:p>
    <w:p w14:paraId="17781CE5" w14:textId="77777777" w:rsidR="00D05282" w:rsidRPr="00D05282" w:rsidRDefault="00D05282" w:rsidP="00D05282">
      <w:pPr>
        <w:pStyle w:val="Heading3"/>
      </w:pPr>
      <w:r>
        <w:t>By previous fraud investigation</w:t>
      </w:r>
    </w:p>
    <w:p w14:paraId="75F93802" w14:textId="77777777" w:rsidR="00D05282" w:rsidRDefault="00D05282" w:rsidP="00D05282">
      <w:r>
        <w:t>The letters may have a different effect depending on whether the doctor was already investigated for fraud. To test whether this is the case, w</w:t>
      </w:r>
      <w:r w:rsidR="001E5DAB">
        <w:t>e split the sample of physicians into those who were previously investigated for fraud before the letters were sent out vs. those who were not investigated.</w:t>
      </w:r>
    </w:p>
    <w:p w14:paraId="74E6951E" w14:textId="0230C8F1" w:rsidR="006C5E9F" w:rsidRDefault="006C5E9F" w:rsidP="00D05282">
      <w:r>
        <w:t>We will define fraud investigation on the basis of information in the FID as well as the Health Integrity Tracking System (HITS) database</w:t>
      </w:r>
      <w:r w:rsidR="007D089A">
        <w:t>, the Compromis</w:t>
      </w:r>
      <w:r w:rsidR="00FA74AB">
        <w:t xml:space="preserve">ed Numbers Database, and the </w:t>
      </w:r>
      <w:r w:rsidR="00BB7CF2">
        <w:t>Fraud Prevention System (</w:t>
      </w:r>
      <w:r w:rsidR="007D089A">
        <w:t>FPS)</w:t>
      </w:r>
      <w:r>
        <w:t>.</w:t>
      </w:r>
    </w:p>
    <w:p w14:paraId="4CF38B6C" w14:textId="77777777" w:rsidR="00D05282" w:rsidRDefault="00D05282" w:rsidP="00D05282">
      <w:pPr>
        <w:pStyle w:val="Heading3"/>
      </w:pPr>
      <w:r>
        <w:lastRenderedPageBreak/>
        <w:t>By volume of prescribing</w:t>
      </w:r>
    </w:p>
    <w:p w14:paraId="36387AE3" w14:textId="59E7AC6B" w:rsidR="00D05282" w:rsidRDefault="00D05282" w:rsidP="00D05282">
      <w:r>
        <w:t>The letters may affect physicians at different points in the prescribing distribution differently. To test this, we split the physicians into</w:t>
      </w:r>
      <w:r w:rsidR="003D4E2A">
        <w:t xml:space="preserve"> two</w:t>
      </w:r>
      <w:r>
        <w:t xml:space="preserve"> </w:t>
      </w:r>
      <w:r w:rsidR="006C5E9F">
        <w:t>groups</w:t>
      </w:r>
      <w:r>
        <w:t xml:space="preserve"> </w:t>
      </w:r>
      <w:r w:rsidR="00463D67">
        <w:t xml:space="preserve">(above median and below median) </w:t>
      </w:r>
      <w:r>
        <w:t xml:space="preserve">based on their total 30-day equivalent </w:t>
      </w:r>
      <w:r w:rsidR="003E5A55">
        <w:t>treatments</w:t>
      </w:r>
      <w:r>
        <w:t xml:space="preserve"> of </w:t>
      </w:r>
      <w:r w:rsidR="003E5A55">
        <w:t>Seroquel</w:t>
      </w:r>
      <w:r>
        <w:t xml:space="preserve"> before the letters were sent.</w:t>
      </w:r>
    </w:p>
    <w:p w14:paraId="39719E09" w14:textId="668E7771" w:rsidR="00D05282" w:rsidRPr="00BE7041" w:rsidRDefault="00BE7041" w:rsidP="00D05282">
      <w:pPr>
        <w:pStyle w:val="Heading3"/>
        <w:rPr>
          <w:i/>
        </w:rPr>
      </w:pPr>
      <w:r w:rsidRPr="00BE7041">
        <w:rPr>
          <w:i/>
        </w:rPr>
        <w:t xml:space="preserve">Optional: </w:t>
      </w:r>
      <w:r w:rsidR="00D05282" w:rsidRPr="00BE7041">
        <w:rPr>
          <w:i/>
        </w:rPr>
        <w:t xml:space="preserve">By risk-adjusted </w:t>
      </w:r>
      <w:r w:rsidR="00FE1F06" w:rsidRPr="00BE7041">
        <w:rPr>
          <w:i/>
        </w:rPr>
        <w:t>volume</w:t>
      </w:r>
      <w:r w:rsidR="00347EC9" w:rsidRPr="00BE7041">
        <w:rPr>
          <w:i/>
        </w:rPr>
        <w:t xml:space="preserve"> of prescribing</w:t>
      </w:r>
    </w:p>
    <w:p w14:paraId="6886FA44" w14:textId="24E1A234" w:rsidR="00204148" w:rsidRPr="00BE7041" w:rsidRDefault="00CB2BF1" w:rsidP="00CB2BF1">
      <w:pPr>
        <w:rPr>
          <w:i/>
        </w:rPr>
      </w:pPr>
      <w:r w:rsidRPr="00BE7041">
        <w:rPr>
          <w:i/>
        </w:rPr>
        <w:t xml:space="preserve">The CMS method does no risk adjustment, so physicians may be outliers because they are </w:t>
      </w:r>
      <w:r w:rsidR="003B695C" w:rsidRPr="00BE7041">
        <w:rPr>
          <w:i/>
        </w:rPr>
        <w:t>inappropriate</w:t>
      </w:r>
      <w:r w:rsidRPr="00BE7041">
        <w:rPr>
          <w:i/>
        </w:rPr>
        <w:t xml:space="preserve"> prescribers or because they have high patient volume or very sick patients.</w:t>
      </w:r>
      <w:r w:rsidR="00463D67" w:rsidRPr="00BE7041">
        <w:rPr>
          <w:i/>
        </w:rPr>
        <w:t xml:space="preserve"> </w:t>
      </w:r>
      <w:r w:rsidR="00FE1F06" w:rsidRPr="00BE7041">
        <w:rPr>
          <w:i/>
        </w:rPr>
        <w:t>We will</w:t>
      </w:r>
      <w:r w:rsidR="00C3176B" w:rsidRPr="00BE7041">
        <w:rPr>
          <w:i/>
        </w:rPr>
        <w:t xml:space="preserve"> risk-adjust</w:t>
      </w:r>
      <w:r w:rsidR="00FE1F06" w:rsidRPr="00BE7041">
        <w:rPr>
          <w:i/>
        </w:rPr>
        <w:t xml:space="preserve"> the prescriber’s 30-day equivalent </w:t>
      </w:r>
      <w:r w:rsidR="00E37783" w:rsidRPr="00BE7041">
        <w:rPr>
          <w:i/>
        </w:rPr>
        <w:t>treatments</w:t>
      </w:r>
      <w:r w:rsidR="00FE1F06" w:rsidRPr="00BE7041">
        <w:rPr>
          <w:i/>
        </w:rPr>
        <w:t xml:space="preserve"> of</w:t>
      </w:r>
      <w:r w:rsidR="003E5A55" w:rsidRPr="00BE7041">
        <w:rPr>
          <w:i/>
        </w:rPr>
        <w:t xml:space="preserve"> Seroquel</w:t>
      </w:r>
      <w:r w:rsidR="00FE1F06" w:rsidRPr="00BE7041">
        <w:rPr>
          <w:i/>
        </w:rPr>
        <w:t xml:space="preserve"> using </w:t>
      </w:r>
      <w:r w:rsidR="00C3176B" w:rsidRPr="00BE7041">
        <w:rPr>
          <w:i/>
        </w:rPr>
        <w:t>his/her</w:t>
      </w:r>
      <w:r w:rsidR="00FE1F06" w:rsidRPr="00BE7041">
        <w:rPr>
          <w:i/>
        </w:rPr>
        <w:t xml:space="preserve"> patient</w:t>
      </w:r>
      <w:r w:rsidR="00C3176B" w:rsidRPr="00BE7041">
        <w:rPr>
          <w:i/>
        </w:rPr>
        <w:t>s’</w:t>
      </w:r>
      <w:r w:rsidR="00FE1F06" w:rsidRPr="00BE7041">
        <w:rPr>
          <w:i/>
        </w:rPr>
        <w:t xml:space="preserve"> characteristics. Then we will divide the prescribers into groups </w:t>
      </w:r>
      <w:r w:rsidR="00463D67" w:rsidRPr="00BE7041">
        <w:rPr>
          <w:i/>
        </w:rPr>
        <w:t xml:space="preserve">(above median and below median) </w:t>
      </w:r>
      <w:r w:rsidR="00FE1F06" w:rsidRPr="00BE7041">
        <w:rPr>
          <w:i/>
        </w:rPr>
        <w:t>based on their risk-adjusted volume.</w:t>
      </w:r>
    </w:p>
    <w:p w14:paraId="1D3BE310" w14:textId="028929E2" w:rsidR="00987D8E" w:rsidRPr="00BE7041" w:rsidRDefault="00BE7041" w:rsidP="00987D8E">
      <w:pPr>
        <w:pStyle w:val="Heading2"/>
        <w:rPr>
          <w:i/>
        </w:rPr>
      </w:pPr>
      <w:r w:rsidRPr="00BE7041">
        <w:rPr>
          <w:i/>
        </w:rPr>
        <w:t xml:space="preserve">Optional: </w:t>
      </w:r>
      <w:r w:rsidR="00987D8E" w:rsidRPr="00BE7041">
        <w:rPr>
          <w:i/>
        </w:rPr>
        <w:t>Effects on treatment volume and revenue</w:t>
      </w:r>
    </w:p>
    <w:p w14:paraId="1D82A6EB" w14:textId="77777777" w:rsidR="00987D8E" w:rsidRPr="00BE7041" w:rsidRDefault="00E73D9B" w:rsidP="00987D8E">
      <w:pPr>
        <w:rPr>
          <w:i/>
        </w:rPr>
      </w:pPr>
      <w:r w:rsidRPr="00BE7041">
        <w:rPr>
          <w:i/>
        </w:rPr>
        <w:t xml:space="preserve">We will look at the following outcomes to test for whether the letters affect the prescriber’s </w:t>
      </w:r>
      <w:r w:rsidR="00FE1F06" w:rsidRPr="00BE7041">
        <w:rPr>
          <w:i/>
        </w:rPr>
        <w:t>overall</w:t>
      </w:r>
      <w:r w:rsidRPr="00BE7041">
        <w:rPr>
          <w:i/>
        </w:rPr>
        <w:t xml:space="preserve"> volume and revenue:</w:t>
      </w:r>
    </w:p>
    <w:p w14:paraId="384A5180" w14:textId="77777777" w:rsidR="00FE1F06" w:rsidRPr="00BE7041" w:rsidRDefault="00FE1F06" w:rsidP="00E73D9B">
      <w:pPr>
        <w:pStyle w:val="ListParagraph"/>
        <w:numPr>
          <w:ilvl w:val="0"/>
          <w:numId w:val="27"/>
        </w:numPr>
        <w:spacing w:after="0" w:line="240" w:lineRule="auto"/>
        <w:rPr>
          <w:i/>
        </w:rPr>
      </w:pPr>
      <w:r w:rsidRPr="00BE7041">
        <w:rPr>
          <w:i/>
        </w:rPr>
        <w:t>Total 30-day equivalent prescriptions</w:t>
      </w:r>
    </w:p>
    <w:p w14:paraId="162563F5" w14:textId="77777777" w:rsidR="00FE1F06" w:rsidRPr="00BE7041" w:rsidRDefault="002116E4" w:rsidP="00E73D9B">
      <w:pPr>
        <w:pStyle w:val="ListParagraph"/>
        <w:numPr>
          <w:ilvl w:val="0"/>
          <w:numId w:val="27"/>
        </w:numPr>
        <w:spacing w:after="0" w:line="240" w:lineRule="auto"/>
        <w:rPr>
          <w:i/>
        </w:rPr>
      </w:pPr>
      <w:r w:rsidRPr="00BE7041">
        <w:rPr>
          <w:i/>
        </w:rPr>
        <w:t>Total PDE</w:t>
      </w:r>
    </w:p>
    <w:p w14:paraId="33787A48" w14:textId="77777777" w:rsidR="002116E4" w:rsidRPr="00BE7041" w:rsidRDefault="002116E4" w:rsidP="00E73D9B">
      <w:pPr>
        <w:pStyle w:val="ListParagraph"/>
        <w:numPr>
          <w:ilvl w:val="0"/>
          <w:numId w:val="27"/>
        </w:numPr>
        <w:spacing w:after="0" w:line="240" w:lineRule="auto"/>
        <w:rPr>
          <w:i/>
        </w:rPr>
      </w:pPr>
      <w:r w:rsidRPr="00BE7041">
        <w:rPr>
          <w:i/>
        </w:rPr>
        <w:t>Total Part D payments</w:t>
      </w:r>
    </w:p>
    <w:p w14:paraId="2FF7F28D" w14:textId="77777777" w:rsidR="00E73D9B" w:rsidRPr="00BE7041" w:rsidRDefault="00AB73C1" w:rsidP="00E73D9B">
      <w:pPr>
        <w:pStyle w:val="ListParagraph"/>
        <w:numPr>
          <w:ilvl w:val="0"/>
          <w:numId w:val="27"/>
        </w:numPr>
        <w:spacing w:after="0" w:line="240" w:lineRule="auto"/>
        <w:rPr>
          <w:i/>
        </w:rPr>
      </w:pPr>
      <w:r w:rsidRPr="00BE7041">
        <w:rPr>
          <w:i/>
        </w:rPr>
        <w:t>Total number of patient visits (e.g. E&amp;M codes)</w:t>
      </w:r>
    </w:p>
    <w:p w14:paraId="5620CF42" w14:textId="77777777" w:rsidR="002116E4" w:rsidRPr="00BE7041" w:rsidRDefault="002116E4" w:rsidP="00E73D9B">
      <w:pPr>
        <w:pStyle w:val="ListParagraph"/>
        <w:numPr>
          <w:ilvl w:val="0"/>
          <w:numId w:val="27"/>
        </w:numPr>
        <w:spacing w:after="0" w:line="240" w:lineRule="auto"/>
        <w:rPr>
          <w:i/>
        </w:rPr>
      </w:pPr>
      <w:r w:rsidRPr="00BE7041">
        <w:rPr>
          <w:i/>
        </w:rPr>
        <w:t>Total number of unique patients</w:t>
      </w:r>
    </w:p>
    <w:p w14:paraId="043709E9" w14:textId="5B2BD376" w:rsidR="00E73D9B" w:rsidRPr="00E37304" w:rsidRDefault="00E73D9B" w:rsidP="00E37304">
      <w:pPr>
        <w:pStyle w:val="ListParagraph"/>
        <w:numPr>
          <w:ilvl w:val="0"/>
          <w:numId w:val="27"/>
        </w:numPr>
        <w:spacing w:after="0" w:line="240" w:lineRule="auto"/>
        <w:rPr>
          <w:i/>
        </w:rPr>
      </w:pPr>
      <w:r w:rsidRPr="00BE7041">
        <w:rPr>
          <w:i/>
        </w:rPr>
        <w:t>Total revenue</w:t>
      </w:r>
      <w:r w:rsidR="00AB73C1" w:rsidRPr="00BE7041">
        <w:rPr>
          <w:i/>
        </w:rPr>
        <w:t xml:space="preserve"> for treating patients</w:t>
      </w:r>
    </w:p>
    <w:p w14:paraId="4E83F062" w14:textId="41854F81" w:rsidR="003866CA" w:rsidRPr="003679C3" w:rsidRDefault="00F045F1" w:rsidP="00164BEB">
      <w:pPr>
        <w:pStyle w:val="Heading2"/>
      </w:pPr>
      <w:r>
        <w:t>Effects on distribution</w:t>
      </w:r>
      <w:r w:rsidR="00CB2BF1">
        <w:t xml:space="preserve"> o</w:t>
      </w:r>
      <w:r>
        <w:t>f</w:t>
      </w:r>
      <w:r w:rsidR="00164BEB">
        <w:t xml:space="preserve"> </w:t>
      </w:r>
      <w:r w:rsidR="003E5A55">
        <w:t>Seroquel</w:t>
      </w:r>
      <w:r w:rsidR="00164BEB">
        <w:t xml:space="preserve"> prescribing</w:t>
      </w:r>
    </w:p>
    <w:p w14:paraId="36A9B70B" w14:textId="739936AB" w:rsidR="003866CA" w:rsidRPr="003679C3" w:rsidRDefault="003866CA" w:rsidP="00AB73C1">
      <w:r w:rsidRPr="003679C3">
        <w:t>The</w:t>
      </w:r>
      <w:r w:rsidR="00CB2BF1">
        <w:t xml:space="preserve"> </w:t>
      </w:r>
      <w:r w:rsidRPr="003679C3">
        <w:t xml:space="preserve">effects of the letters </w:t>
      </w:r>
      <w:r w:rsidR="00CB2BF1">
        <w:t>on</w:t>
      </w:r>
      <w:r w:rsidR="00F045F1">
        <w:t xml:space="preserve"> the distribution of</w:t>
      </w:r>
      <w:r w:rsidRPr="003679C3">
        <w:t xml:space="preserve"> prescribing behavior </w:t>
      </w:r>
      <w:r w:rsidR="009F7C32">
        <w:t>are</w:t>
      </w:r>
      <w:r w:rsidRPr="003679C3">
        <w:t xml:space="preserve"> also of interest. To </w:t>
      </w:r>
      <w:r>
        <w:t>analyze quantile treatment effects,</w:t>
      </w:r>
      <w:r w:rsidRPr="003679C3">
        <w:t xml:space="preserve"> we will run quantile regressions </w:t>
      </w:r>
      <w:r w:rsidR="00836752">
        <w:t>looking at the outcomes</w:t>
      </w:r>
      <w:r w:rsidR="00FE1F06">
        <w:t xml:space="preserve"> in section </w:t>
      </w:r>
      <w:r w:rsidR="00FE1F06">
        <w:fldChar w:fldCharType="begin"/>
      </w:r>
      <w:r w:rsidR="00FE1F06">
        <w:instrText xml:space="preserve"> REF _Ref274337653 \r \h </w:instrText>
      </w:r>
      <w:r w:rsidR="00FE1F06">
        <w:fldChar w:fldCharType="separate"/>
      </w:r>
      <w:r w:rsidR="00624B24">
        <w:t>4.1</w:t>
      </w:r>
      <w:r w:rsidR="00FE1F06">
        <w:fldChar w:fldCharType="end"/>
      </w:r>
      <w:r w:rsidRPr="003679C3">
        <w:t xml:space="preserve">. We will </w:t>
      </w:r>
      <w:r w:rsidR="00836752">
        <w:t>look at</w:t>
      </w:r>
      <w:r w:rsidRPr="003679C3">
        <w:t xml:space="preserve"> the following quantiles: </w:t>
      </w:r>
    </w:p>
    <w:p w14:paraId="27DFF9DD" w14:textId="77777777" w:rsidR="003866CA" w:rsidRPr="003679C3" w:rsidRDefault="003866CA" w:rsidP="00AB73C1">
      <w:pPr>
        <w:pStyle w:val="ListParagraph"/>
        <w:numPr>
          <w:ilvl w:val="0"/>
          <w:numId w:val="30"/>
        </w:numPr>
      </w:pPr>
      <w:r w:rsidRPr="003679C3">
        <w:t xml:space="preserve">p10 </w:t>
      </w:r>
    </w:p>
    <w:p w14:paraId="56815718" w14:textId="77777777" w:rsidR="003866CA" w:rsidRPr="003679C3" w:rsidRDefault="003866CA" w:rsidP="00AB73C1">
      <w:pPr>
        <w:pStyle w:val="ListParagraph"/>
        <w:numPr>
          <w:ilvl w:val="0"/>
          <w:numId w:val="30"/>
        </w:numPr>
      </w:pPr>
      <w:r w:rsidRPr="003679C3">
        <w:t xml:space="preserve">p25 </w:t>
      </w:r>
    </w:p>
    <w:p w14:paraId="3AF71C52" w14:textId="77777777" w:rsidR="003866CA" w:rsidRPr="003679C3" w:rsidRDefault="003866CA" w:rsidP="00AB73C1">
      <w:pPr>
        <w:pStyle w:val="ListParagraph"/>
        <w:numPr>
          <w:ilvl w:val="0"/>
          <w:numId w:val="30"/>
        </w:numPr>
      </w:pPr>
      <w:r w:rsidRPr="003679C3">
        <w:t xml:space="preserve">p50 </w:t>
      </w:r>
    </w:p>
    <w:p w14:paraId="35063F25" w14:textId="77777777" w:rsidR="003866CA" w:rsidRPr="003679C3" w:rsidRDefault="003866CA" w:rsidP="00AB73C1">
      <w:pPr>
        <w:pStyle w:val="ListParagraph"/>
        <w:numPr>
          <w:ilvl w:val="0"/>
          <w:numId w:val="30"/>
        </w:numPr>
      </w:pPr>
      <w:r w:rsidRPr="003679C3">
        <w:t xml:space="preserve">p75 </w:t>
      </w:r>
    </w:p>
    <w:p w14:paraId="4BB1419D" w14:textId="77777777" w:rsidR="00164BEB" w:rsidRDefault="003866CA" w:rsidP="00AB73C1">
      <w:pPr>
        <w:pStyle w:val="ListParagraph"/>
        <w:numPr>
          <w:ilvl w:val="0"/>
          <w:numId w:val="30"/>
        </w:numPr>
      </w:pPr>
      <w:r w:rsidRPr="003679C3">
        <w:t>p90</w:t>
      </w:r>
    </w:p>
    <w:p w14:paraId="48474985" w14:textId="0B0683ED" w:rsidR="003866CA" w:rsidRPr="003679C3" w:rsidRDefault="003866CA" w:rsidP="003866CA">
      <w:pPr>
        <w:pStyle w:val="Heading2"/>
      </w:pPr>
      <w:bookmarkStart w:id="5" w:name="_Ref273730900"/>
      <w:r w:rsidRPr="003679C3">
        <w:t xml:space="preserve">Substitution toward other </w:t>
      </w:r>
      <w:bookmarkEnd w:id="5"/>
      <w:r w:rsidR="003E5A55">
        <w:t>drugs</w:t>
      </w:r>
    </w:p>
    <w:p w14:paraId="71DC56E5" w14:textId="5386CDB3" w:rsidR="003866CA" w:rsidRPr="003679C3" w:rsidRDefault="003866CA" w:rsidP="00AB73C1">
      <w:r w:rsidRPr="003679C3">
        <w:t xml:space="preserve">Physicians are told that their </w:t>
      </w:r>
      <w:r w:rsidR="003E5A55">
        <w:t>Seroquel</w:t>
      </w:r>
      <w:r w:rsidRPr="003679C3">
        <w:t xml:space="preserve"> prescribing is being monitored, which may induce them to substi</w:t>
      </w:r>
      <w:r w:rsidR="003E5A55">
        <w:t>tute their prescriptions toward other substances with related indications</w:t>
      </w:r>
      <w:r w:rsidRPr="003679C3">
        <w:t xml:space="preserve">. </w:t>
      </w:r>
      <w:r>
        <w:t>To test for substitution, w</w:t>
      </w:r>
      <w:r w:rsidRPr="003679C3">
        <w:t xml:space="preserve">e will </w:t>
      </w:r>
      <w:r>
        <w:t>look</w:t>
      </w:r>
      <w:r w:rsidR="00160552">
        <w:t xml:space="preserve"> at the 30-day equivalent PDE and total Part D payments for</w:t>
      </w:r>
      <w:r w:rsidRPr="003679C3">
        <w:t xml:space="preserve"> the following substitutes: </w:t>
      </w:r>
    </w:p>
    <w:p w14:paraId="32857686" w14:textId="77777777" w:rsidR="00691E6D" w:rsidRDefault="00691E6D" w:rsidP="00AB73C1">
      <w:pPr>
        <w:pStyle w:val="ListParagraph"/>
        <w:numPr>
          <w:ilvl w:val="0"/>
          <w:numId w:val="31"/>
        </w:numPr>
        <w:rPr>
          <w:rFonts w:eastAsia="Times New Roman"/>
        </w:rPr>
      </w:pPr>
      <w:r>
        <w:rPr>
          <w:rFonts w:eastAsia="Times New Roman"/>
        </w:rPr>
        <w:t>Other atypical antipsychotics</w:t>
      </w:r>
    </w:p>
    <w:p w14:paraId="2CFE7864" w14:textId="32FE0C80" w:rsidR="003866CA" w:rsidRDefault="007525E8" w:rsidP="00AB73C1">
      <w:pPr>
        <w:pStyle w:val="ListParagraph"/>
        <w:numPr>
          <w:ilvl w:val="0"/>
          <w:numId w:val="31"/>
        </w:numPr>
        <w:rPr>
          <w:rFonts w:eastAsia="Times New Roman"/>
        </w:rPr>
      </w:pPr>
      <w:r>
        <w:rPr>
          <w:rFonts w:eastAsia="Times New Roman"/>
        </w:rPr>
        <w:t>First</w:t>
      </w:r>
      <w:r w:rsidR="00691E6D">
        <w:rPr>
          <w:rFonts w:eastAsia="Times New Roman"/>
        </w:rPr>
        <w:t xml:space="preserve"> generation antipsychotics</w:t>
      </w:r>
      <w:r w:rsidR="003866CA" w:rsidRPr="00AB73C1">
        <w:rPr>
          <w:rFonts w:eastAsia="Times New Roman"/>
        </w:rPr>
        <w:t xml:space="preserve"> </w:t>
      </w:r>
    </w:p>
    <w:p w14:paraId="116629A2" w14:textId="343B9520" w:rsidR="00504E99" w:rsidRDefault="00504E99" w:rsidP="00504E99">
      <w:pPr>
        <w:rPr>
          <w:rFonts w:eastAsia="Times New Roman"/>
        </w:rPr>
      </w:pPr>
      <w:r>
        <w:rPr>
          <w:rFonts w:eastAsia="Times New Roman"/>
        </w:rPr>
        <w:lastRenderedPageBreak/>
        <w:t xml:space="preserve">Prescribers may also re-evaluate their use of Seroquel for controversial indications like dementia and substitute to other drugs that can treat dementia symptoms. We therefore look at 30-day equivalent </w:t>
      </w:r>
      <w:r w:rsidR="00160552">
        <w:rPr>
          <w:rFonts w:eastAsia="Times New Roman"/>
        </w:rPr>
        <w:t>PDE and total Part D payments for</w:t>
      </w:r>
      <w:bookmarkStart w:id="6" w:name="_GoBack"/>
      <w:bookmarkEnd w:id="6"/>
      <w:r>
        <w:rPr>
          <w:rFonts w:eastAsia="Times New Roman"/>
        </w:rPr>
        <w:t xml:space="preserve"> the following drugs:</w:t>
      </w:r>
    </w:p>
    <w:p w14:paraId="34B7D3DE" w14:textId="0663789C" w:rsidR="00504E99" w:rsidRDefault="00BB7CF2" w:rsidP="00504E99">
      <w:pPr>
        <w:pStyle w:val="ListParagraph"/>
        <w:numPr>
          <w:ilvl w:val="0"/>
          <w:numId w:val="47"/>
        </w:numPr>
        <w:rPr>
          <w:rFonts w:eastAsia="Times New Roman"/>
        </w:rPr>
      </w:pPr>
      <w:r>
        <w:rPr>
          <w:rFonts w:eastAsia="Times New Roman"/>
        </w:rPr>
        <w:t>Benzodiazepines</w:t>
      </w:r>
      <w:r w:rsidR="000154D0">
        <w:rPr>
          <w:rFonts w:eastAsia="Times New Roman"/>
        </w:rPr>
        <w:t xml:space="preserve"> </w:t>
      </w:r>
      <w:r w:rsidR="00F957A2">
        <w:rPr>
          <w:rFonts w:eastAsia="Times New Roman"/>
        </w:rPr>
        <w:t>indicated for insomnia</w:t>
      </w:r>
    </w:p>
    <w:p w14:paraId="2837F94B" w14:textId="6030B34F" w:rsidR="00F957A2" w:rsidRDefault="00F957A2" w:rsidP="00504E99">
      <w:pPr>
        <w:pStyle w:val="ListParagraph"/>
        <w:numPr>
          <w:ilvl w:val="0"/>
          <w:numId w:val="47"/>
        </w:numPr>
        <w:rPr>
          <w:rFonts w:eastAsia="Times New Roman"/>
        </w:rPr>
      </w:pPr>
      <w:r>
        <w:rPr>
          <w:rFonts w:eastAsia="Times New Roman"/>
        </w:rPr>
        <w:t>Benzodiazepines not indicated for insomnia</w:t>
      </w:r>
    </w:p>
    <w:p w14:paraId="475BCAB8" w14:textId="10250AD4" w:rsidR="00F957A2" w:rsidRDefault="00F957A2" w:rsidP="00504E99">
      <w:pPr>
        <w:pStyle w:val="ListParagraph"/>
        <w:numPr>
          <w:ilvl w:val="0"/>
          <w:numId w:val="47"/>
        </w:numPr>
        <w:rPr>
          <w:rFonts w:eastAsia="Times New Roman"/>
        </w:rPr>
      </w:pPr>
      <w:r>
        <w:rPr>
          <w:rFonts w:eastAsia="Times New Roman"/>
        </w:rPr>
        <w:t>Non-benzodiazepine insomnia drugs</w:t>
      </w:r>
    </w:p>
    <w:p w14:paraId="04F48F5B" w14:textId="7F21FD88" w:rsidR="00504E99" w:rsidRPr="00504E99" w:rsidRDefault="00504E99" w:rsidP="00504E99">
      <w:pPr>
        <w:pStyle w:val="ListParagraph"/>
        <w:numPr>
          <w:ilvl w:val="0"/>
          <w:numId w:val="47"/>
        </w:numPr>
        <w:rPr>
          <w:rFonts w:eastAsia="Times New Roman"/>
        </w:rPr>
      </w:pPr>
      <w:r>
        <w:rPr>
          <w:rFonts w:eastAsia="Times New Roman"/>
        </w:rPr>
        <w:t>Antidepressants</w:t>
      </w:r>
    </w:p>
    <w:p w14:paraId="7FA3C76D" w14:textId="631871EE" w:rsidR="003866CA" w:rsidRPr="00BE7041" w:rsidRDefault="00BE7041" w:rsidP="003866CA">
      <w:pPr>
        <w:pStyle w:val="Heading2"/>
        <w:rPr>
          <w:i/>
        </w:rPr>
      </w:pPr>
      <w:r w:rsidRPr="00BE7041">
        <w:rPr>
          <w:i/>
        </w:rPr>
        <w:t xml:space="preserve">Optional: </w:t>
      </w:r>
      <w:commentRangeStart w:id="7"/>
      <w:r w:rsidR="003866CA" w:rsidRPr="00BE7041">
        <w:rPr>
          <w:i/>
        </w:rPr>
        <w:t>Audits</w:t>
      </w:r>
      <w:r w:rsidR="005B263E" w:rsidRPr="00BE7041">
        <w:rPr>
          <w:i/>
        </w:rPr>
        <w:t xml:space="preserve"> and behavior related to evading punishment</w:t>
      </w:r>
      <w:commentRangeEnd w:id="7"/>
      <w:r w:rsidR="00007906" w:rsidRPr="00BE7041">
        <w:rPr>
          <w:rStyle w:val="CommentReference"/>
          <w:rFonts w:asciiTheme="minorHAnsi" w:eastAsiaTheme="minorEastAsia" w:hAnsiTheme="minorHAnsi" w:cstheme="minorBidi"/>
          <w:b w:val="0"/>
          <w:bCs w:val="0"/>
          <w:i/>
          <w:color w:val="auto"/>
        </w:rPr>
        <w:commentReference w:id="7"/>
      </w:r>
    </w:p>
    <w:p w14:paraId="49268DB1" w14:textId="7F187D14" w:rsidR="003866CA" w:rsidRPr="00BE7041" w:rsidRDefault="003866CA" w:rsidP="006E4AA2">
      <w:pPr>
        <w:rPr>
          <w:i/>
        </w:rPr>
      </w:pPr>
      <w:r w:rsidRPr="00BE7041">
        <w:rPr>
          <w:i/>
        </w:rPr>
        <w:t>The prescriber may react to the letter by changing her behavior in order to avoid an audit</w:t>
      </w:r>
      <w:r w:rsidR="00A907CA" w:rsidRPr="00BE7041">
        <w:rPr>
          <w:i/>
        </w:rPr>
        <w:t xml:space="preserve"> or other punishment</w:t>
      </w:r>
      <w:r w:rsidRPr="00BE7041">
        <w:rPr>
          <w:i/>
        </w:rPr>
        <w:t xml:space="preserve">. </w:t>
      </w:r>
      <w:r w:rsidR="003D4E2A" w:rsidRPr="00BE7041">
        <w:rPr>
          <w:i/>
        </w:rPr>
        <w:t>We will</w:t>
      </w:r>
      <w:r w:rsidRPr="00BE7041">
        <w:rPr>
          <w:i/>
        </w:rPr>
        <w:t xml:space="preserve"> test whether the letter has the effect of reducing the probability of an audit</w:t>
      </w:r>
      <w:r w:rsidR="003D4E2A" w:rsidRPr="00BE7041">
        <w:rPr>
          <w:i/>
        </w:rPr>
        <w:t xml:space="preserve"> or </w:t>
      </w:r>
      <w:r w:rsidR="00A907CA" w:rsidRPr="00BE7041">
        <w:rPr>
          <w:i/>
        </w:rPr>
        <w:t>punishment</w:t>
      </w:r>
      <w:r w:rsidRPr="00BE7041">
        <w:rPr>
          <w:i/>
        </w:rPr>
        <w:t xml:space="preserve"> </w:t>
      </w:r>
      <w:r w:rsidR="003D4E2A" w:rsidRPr="00BE7041">
        <w:rPr>
          <w:i/>
        </w:rPr>
        <w:t>by exploring outcomes relating to fraud detection and investigation in our data. Some examples include</w:t>
      </w:r>
      <w:r w:rsidRPr="00BE7041">
        <w:rPr>
          <w:i/>
        </w:rPr>
        <w:t>:</w:t>
      </w:r>
    </w:p>
    <w:p w14:paraId="6716AB1F" w14:textId="77777777" w:rsidR="003866CA" w:rsidRPr="00BE7041" w:rsidRDefault="00435ABE" w:rsidP="006E4AA2">
      <w:pPr>
        <w:pStyle w:val="ListParagraph"/>
        <w:numPr>
          <w:ilvl w:val="0"/>
          <w:numId w:val="34"/>
        </w:numPr>
        <w:rPr>
          <w:i/>
        </w:rPr>
      </w:pPr>
      <w:r w:rsidRPr="00BE7041">
        <w:rPr>
          <w:i/>
        </w:rPr>
        <w:t>R</w:t>
      </w:r>
      <w:r w:rsidR="003866CA" w:rsidRPr="00BE7041">
        <w:rPr>
          <w:i/>
        </w:rPr>
        <w:t>eceipt of an audit by Health Integrity</w:t>
      </w:r>
      <w:r w:rsidR="005B263E" w:rsidRPr="00BE7041">
        <w:rPr>
          <w:i/>
        </w:rPr>
        <w:t xml:space="preserve"> (e.g. the HITS database)</w:t>
      </w:r>
    </w:p>
    <w:p w14:paraId="59838F81" w14:textId="77777777" w:rsidR="00F211D5" w:rsidRPr="00BE7041" w:rsidRDefault="00435ABE" w:rsidP="006E4AA2">
      <w:pPr>
        <w:pStyle w:val="ListParagraph"/>
        <w:numPr>
          <w:ilvl w:val="0"/>
          <w:numId w:val="34"/>
        </w:numPr>
        <w:rPr>
          <w:i/>
        </w:rPr>
      </w:pPr>
      <w:r w:rsidRPr="00BE7041">
        <w:rPr>
          <w:i/>
        </w:rPr>
        <w:t xml:space="preserve">Receipt of </w:t>
      </w:r>
      <w:r w:rsidR="003866CA" w:rsidRPr="00BE7041">
        <w:rPr>
          <w:i/>
        </w:rPr>
        <w:t>an investigation in the Fraud Investigation Database (FID)</w:t>
      </w:r>
    </w:p>
    <w:p w14:paraId="5849E640" w14:textId="4C4E94AF" w:rsidR="00593229" w:rsidRPr="00BE7041" w:rsidRDefault="00593229" w:rsidP="006E4AA2">
      <w:pPr>
        <w:pStyle w:val="ListParagraph"/>
        <w:numPr>
          <w:ilvl w:val="0"/>
          <w:numId w:val="34"/>
        </w:numPr>
        <w:rPr>
          <w:i/>
        </w:rPr>
      </w:pPr>
      <w:r w:rsidRPr="00BE7041">
        <w:rPr>
          <w:i/>
        </w:rPr>
        <w:t>Being flagged in the</w:t>
      </w:r>
      <w:r w:rsidR="00F211D5" w:rsidRPr="00BE7041">
        <w:rPr>
          <w:i/>
        </w:rPr>
        <w:t xml:space="preserve"> Co</w:t>
      </w:r>
      <w:r w:rsidRPr="00BE7041">
        <w:rPr>
          <w:i/>
        </w:rPr>
        <w:t>mpromised Numbers Database</w:t>
      </w:r>
      <w:r w:rsidR="003D4E2A" w:rsidRPr="00BE7041">
        <w:rPr>
          <w:i/>
        </w:rPr>
        <w:t xml:space="preserve"> (CNC)</w:t>
      </w:r>
    </w:p>
    <w:p w14:paraId="6BAFACB6" w14:textId="1FBE3F14" w:rsidR="003866CA" w:rsidRPr="00BE7041" w:rsidRDefault="00593229" w:rsidP="006E4AA2">
      <w:pPr>
        <w:pStyle w:val="ListParagraph"/>
        <w:numPr>
          <w:ilvl w:val="0"/>
          <w:numId w:val="34"/>
        </w:numPr>
        <w:rPr>
          <w:i/>
        </w:rPr>
      </w:pPr>
      <w:r w:rsidRPr="00BE7041">
        <w:rPr>
          <w:i/>
        </w:rPr>
        <w:t xml:space="preserve">Being identified as potentially fraudulent by </w:t>
      </w:r>
      <w:r w:rsidR="00F211D5" w:rsidRPr="00BE7041">
        <w:rPr>
          <w:i/>
        </w:rPr>
        <w:t>the National</w:t>
      </w:r>
      <w:r w:rsidRPr="00BE7041">
        <w:rPr>
          <w:i/>
        </w:rPr>
        <w:t xml:space="preserve"> Fraud Prevention System (NFPS)</w:t>
      </w:r>
    </w:p>
    <w:p w14:paraId="4D81A3E6" w14:textId="77777777" w:rsidR="00640265" w:rsidRPr="00BE7041" w:rsidRDefault="00640265" w:rsidP="006E4AA2">
      <w:pPr>
        <w:pStyle w:val="ListParagraph"/>
        <w:numPr>
          <w:ilvl w:val="0"/>
          <w:numId w:val="34"/>
        </w:numPr>
        <w:rPr>
          <w:i/>
        </w:rPr>
      </w:pPr>
      <w:r w:rsidRPr="00BE7041">
        <w:rPr>
          <w:i/>
        </w:rPr>
        <w:t xml:space="preserve">Revocation of provider from PECOS (e.g. provider is </w:t>
      </w:r>
      <w:proofErr w:type="spellStart"/>
      <w:r w:rsidRPr="00BE7041">
        <w:rPr>
          <w:i/>
        </w:rPr>
        <w:t>disenrolled</w:t>
      </w:r>
      <w:proofErr w:type="spellEnd"/>
      <w:r w:rsidRPr="00BE7041">
        <w:rPr>
          <w:i/>
        </w:rPr>
        <w:t xml:space="preserve"> from Medicare)</w:t>
      </w:r>
    </w:p>
    <w:p w14:paraId="4CDEB2A1" w14:textId="607D97A3" w:rsidR="003D4E2A" w:rsidRPr="00BE7041" w:rsidRDefault="003D4E2A" w:rsidP="00570070">
      <w:pPr>
        <w:rPr>
          <w:i/>
        </w:rPr>
      </w:pPr>
      <w:r w:rsidRPr="00BE7041">
        <w:rPr>
          <w:i/>
        </w:rPr>
        <w:t>Finally, prescribers may attempt to evade detection by removing themselves from the Medicare system entirely. We will explore outcomes related to leaving the system</w:t>
      </w:r>
      <w:r w:rsidR="00763DE3" w:rsidRPr="00BE7041">
        <w:rPr>
          <w:i/>
        </w:rPr>
        <w:t xml:space="preserve"> including, for example</w:t>
      </w:r>
      <w:r w:rsidRPr="00BE7041">
        <w:rPr>
          <w:i/>
        </w:rPr>
        <w:t>:</w:t>
      </w:r>
    </w:p>
    <w:p w14:paraId="4A513336" w14:textId="69836073" w:rsidR="003D4E2A" w:rsidRPr="00BE7041" w:rsidRDefault="00763DE3" w:rsidP="00570070">
      <w:pPr>
        <w:pStyle w:val="ListParagraph"/>
        <w:numPr>
          <w:ilvl w:val="0"/>
          <w:numId w:val="45"/>
        </w:numPr>
        <w:rPr>
          <w:i/>
        </w:rPr>
      </w:pPr>
      <w:r w:rsidRPr="00BE7041">
        <w:rPr>
          <w:i/>
        </w:rPr>
        <w:t>Indicators for having no patient visits and/or prescription drug events</w:t>
      </w:r>
    </w:p>
    <w:p w14:paraId="47538C19" w14:textId="32B82880" w:rsidR="00763DE3" w:rsidRPr="00BE7041" w:rsidRDefault="00763DE3" w:rsidP="00570070">
      <w:pPr>
        <w:pStyle w:val="ListParagraph"/>
        <w:numPr>
          <w:ilvl w:val="0"/>
          <w:numId w:val="45"/>
        </w:numPr>
        <w:rPr>
          <w:i/>
        </w:rPr>
      </w:pPr>
      <w:r w:rsidRPr="00BE7041">
        <w:rPr>
          <w:i/>
        </w:rPr>
        <w:t>Indicator for having deregistered from PECOS, the Medicare enrollment database</w:t>
      </w:r>
    </w:p>
    <w:p w14:paraId="07EFB03F" w14:textId="5AF35CDC" w:rsidR="001E5DAB" w:rsidRPr="00BE7041" w:rsidRDefault="00BE7041" w:rsidP="001E5DAB">
      <w:pPr>
        <w:pStyle w:val="Heading2"/>
        <w:rPr>
          <w:i/>
        </w:rPr>
      </w:pPr>
      <w:r w:rsidRPr="00BE7041">
        <w:rPr>
          <w:rStyle w:val="ecsi-1000"/>
          <w:rFonts w:eastAsia="Times New Roman" w:cs="Times New Roman"/>
          <w:i/>
        </w:rPr>
        <w:t xml:space="preserve">Optional: </w:t>
      </w:r>
      <w:r w:rsidR="001E5DAB" w:rsidRPr="00BE7041">
        <w:rPr>
          <w:rStyle w:val="ecsi-1000"/>
          <w:rFonts w:eastAsia="Times New Roman" w:cs="Times New Roman"/>
          <w:i/>
        </w:rPr>
        <w:t>Analysis of prescribing generic vs. brand name</w:t>
      </w:r>
    </w:p>
    <w:p w14:paraId="11490D79" w14:textId="615CF860" w:rsidR="001E5DAB" w:rsidRPr="00BE7041" w:rsidRDefault="001E5DAB" w:rsidP="007C45CD">
      <w:pPr>
        <w:rPr>
          <w:rStyle w:val="ecsi-1000"/>
          <w:rFonts w:ascii="Cambria" w:hAnsi="Cambria" w:cs="Times New Roman"/>
          <w:i/>
        </w:rPr>
      </w:pPr>
      <w:r w:rsidRPr="00BE7041">
        <w:rPr>
          <w:rStyle w:val="ecsi-1000"/>
          <w:rFonts w:ascii="Cambria" w:hAnsi="Cambria" w:cs="Times New Roman"/>
          <w:i/>
        </w:rPr>
        <w:t xml:space="preserve">We will look at the 30-day equivalent </w:t>
      </w:r>
      <w:r w:rsidR="007525E8" w:rsidRPr="00BE7041">
        <w:rPr>
          <w:rStyle w:val="ecsi-1000"/>
          <w:rFonts w:ascii="Cambria" w:hAnsi="Cambria" w:cs="Times New Roman"/>
          <w:i/>
        </w:rPr>
        <w:t>treatments</w:t>
      </w:r>
      <w:r w:rsidRPr="00BE7041">
        <w:rPr>
          <w:rStyle w:val="ecsi-1000"/>
          <w:rFonts w:ascii="Cambria" w:hAnsi="Cambria" w:cs="Times New Roman"/>
          <w:i/>
        </w:rPr>
        <w:t xml:space="preserve"> and total </w:t>
      </w:r>
      <w:r w:rsidR="00435ABE" w:rsidRPr="00BE7041">
        <w:rPr>
          <w:rStyle w:val="ecsi-1000"/>
          <w:rFonts w:ascii="Cambria" w:hAnsi="Cambria" w:cs="Times New Roman"/>
          <w:i/>
        </w:rPr>
        <w:t xml:space="preserve">Part D payments </w:t>
      </w:r>
      <w:r w:rsidRPr="00BE7041">
        <w:rPr>
          <w:rStyle w:val="ecsi-1000"/>
          <w:rFonts w:ascii="Cambria" w:hAnsi="Cambria" w:cs="Times New Roman"/>
          <w:i/>
        </w:rPr>
        <w:t>for the following:</w:t>
      </w:r>
    </w:p>
    <w:p w14:paraId="3A96915B" w14:textId="4082CED5" w:rsidR="001E5DAB" w:rsidRPr="00BE7041" w:rsidRDefault="001E5DAB" w:rsidP="007C45CD">
      <w:pPr>
        <w:pStyle w:val="ListParagraph"/>
        <w:numPr>
          <w:ilvl w:val="0"/>
          <w:numId w:val="39"/>
        </w:numPr>
        <w:rPr>
          <w:rFonts w:ascii="Cambria" w:hAnsi="Cambria"/>
          <w:i/>
        </w:rPr>
      </w:pPr>
      <w:r w:rsidRPr="00BE7041">
        <w:rPr>
          <w:rFonts w:ascii="Cambria" w:hAnsi="Cambria"/>
          <w:i/>
        </w:rPr>
        <w:t>Generic</w:t>
      </w:r>
      <w:r w:rsidR="007525E8" w:rsidRPr="00BE7041">
        <w:rPr>
          <w:rFonts w:ascii="Cambria" w:hAnsi="Cambria"/>
          <w:i/>
        </w:rPr>
        <w:t xml:space="preserve"> quetiapine</w:t>
      </w:r>
    </w:p>
    <w:p w14:paraId="3D5324F4" w14:textId="0B85B7D4" w:rsidR="001E5DAB" w:rsidRPr="00BE7041" w:rsidRDefault="001E5DAB" w:rsidP="007C45CD">
      <w:pPr>
        <w:pStyle w:val="ListParagraph"/>
        <w:numPr>
          <w:ilvl w:val="0"/>
          <w:numId w:val="39"/>
        </w:numPr>
        <w:rPr>
          <w:rFonts w:ascii="Cambria" w:hAnsi="Cambria"/>
          <w:i/>
        </w:rPr>
      </w:pPr>
      <w:r w:rsidRPr="00BE7041">
        <w:rPr>
          <w:rFonts w:ascii="Cambria" w:hAnsi="Cambria"/>
          <w:i/>
        </w:rPr>
        <w:t xml:space="preserve">Brand name </w:t>
      </w:r>
      <w:r w:rsidR="007525E8" w:rsidRPr="00BE7041">
        <w:rPr>
          <w:rFonts w:ascii="Cambria" w:hAnsi="Cambria"/>
          <w:i/>
        </w:rPr>
        <w:t>Seroquel or Seroquel XR</w:t>
      </w:r>
    </w:p>
    <w:p w14:paraId="39BD76C3" w14:textId="77777777" w:rsidR="003866CA" w:rsidRPr="003679C3" w:rsidRDefault="003866CA" w:rsidP="003866CA">
      <w:pPr>
        <w:pStyle w:val="Heading1"/>
      </w:pPr>
      <w:r w:rsidRPr="003679C3">
        <w:t>Effect of letters on patients</w:t>
      </w:r>
    </w:p>
    <w:p w14:paraId="3481F3AD" w14:textId="77777777" w:rsidR="003866CA" w:rsidRPr="003679C3" w:rsidRDefault="003866CA" w:rsidP="00E315F9">
      <w:r w:rsidRPr="003679C3">
        <w:t xml:space="preserve">We will explore whether the letters induce patients to change their drug use </w:t>
      </w:r>
      <w:r>
        <w:t>and other behaviors</w:t>
      </w:r>
      <w:r w:rsidRPr="003679C3">
        <w:t>. To do so we will construct a baseline cohort of patients and track the evolution of their behavior after the</w:t>
      </w:r>
      <w:r>
        <w:t>ir</w:t>
      </w:r>
      <w:r w:rsidRPr="003679C3">
        <w:t xml:space="preserve"> physicians receive the letters. </w:t>
      </w:r>
    </w:p>
    <w:p w14:paraId="786E0FB5" w14:textId="77777777" w:rsidR="003866CA" w:rsidRPr="003679C3" w:rsidRDefault="003866CA" w:rsidP="003866CA">
      <w:pPr>
        <w:pStyle w:val="Heading2"/>
      </w:pPr>
      <w:r w:rsidRPr="003679C3">
        <w:t>Definition of patient cohort</w:t>
      </w:r>
    </w:p>
    <w:p w14:paraId="315D871E" w14:textId="77777777" w:rsidR="003866CA" w:rsidRPr="003679C3" w:rsidRDefault="003866CA" w:rsidP="00E315F9">
      <w:r w:rsidRPr="003679C3">
        <w:t xml:space="preserve">In a patient-level regression, it is important that we analyze a set of beneficiaries defined based on pre-letter criteria. This is because the letter may change the composition of a </w:t>
      </w:r>
      <w:r>
        <w:lastRenderedPageBreak/>
        <w:t>prescriber’s</w:t>
      </w:r>
      <w:r w:rsidRPr="003679C3">
        <w:t xml:space="preserve"> patients — a contemporaneously defined set of patients could differ in unobservables between treatment and control. </w:t>
      </w:r>
    </w:p>
    <w:p w14:paraId="6C15672F" w14:textId="684E997A" w:rsidR="003866CA" w:rsidRDefault="00BE7041" w:rsidP="00E315F9">
      <w:r>
        <w:t>We will define patient cohorts using two approaches:</w:t>
      </w:r>
    </w:p>
    <w:p w14:paraId="0C245563" w14:textId="2A62CE77" w:rsidR="00272013" w:rsidRDefault="00763DE3" w:rsidP="00272013">
      <w:pPr>
        <w:pStyle w:val="ListParagraph"/>
        <w:numPr>
          <w:ilvl w:val="0"/>
          <w:numId w:val="37"/>
        </w:numPr>
      </w:pPr>
      <w:r>
        <w:t xml:space="preserve">Patients </w:t>
      </w:r>
      <w:r w:rsidR="00272013">
        <w:t>who received an evaluation and management (E&amp;M) service from the provider</w:t>
      </w:r>
      <w:r w:rsidR="00BE7041">
        <w:t xml:space="preserve"> in the year prior to the mailing of the letter</w:t>
      </w:r>
    </w:p>
    <w:p w14:paraId="68EC6C3D" w14:textId="2DB34676" w:rsidR="00272013" w:rsidRDefault="00272013" w:rsidP="00272013">
      <w:pPr>
        <w:pStyle w:val="ListParagraph"/>
        <w:numPr>
          <w:ilvl w:val="0"/>
          <w:numId w:val="37"/>
        </w:numPr>
      </w:pPr>
      <w:r>
        <w:t>Patients</w:t>
      </w:r>
      <w:r w:rsidRPr="003679C3">
        <w:t xml:space="preserve"> who </w:t>
      </w:r>
      <w:r>
        <w:t>had</w:t>
      </w:r>
      <w:r w:rsidRPr="003679C3">
        <w:t xml:space="preserve"> </w:t>
      </w:r>
      <w:r>
        <w:t xml:space="preserve">a </w:t>
      </w:r>
      <w:r w:rsidR="007525E8">
        <w:t>Seroquel</w:t>
      </w:r>
      <w:r>
        <w:t xml:space="preserve"> </w:t>
      </w:r>
      <w:r w:rsidR="00BE7041">
        <w:t>fill</w:t>
      </w:r>
      <w:r>
        <w:t xml:space="preserve"> from the provider</w:t>
      </w:r>
      <w:r w:rsidR="00BE7041">
        <w:t xml:space="preserve"> in the year prior to the mailing of the letter</w:t>
      </w:r>
    </w:p>
    <w:p w14:paraId="6C3E1CAC" w14:textId="77777777" w:rsidR="003866CA" w:rsidRDefault="003866CA" w:rsidP="00E315F9">
      <w:r>
        <w:t>Some patients may be traced to multiple physicians in the sample. In this case the patient will enter the regression multiple times, each instance being attributed to a different physician. In case of this overlap, physicians that are connected by common patients will be part of the same cluster when calculating clustered standard errors.</w:t>
      </w:r>
    </w:p>
    <w:p w14:paraId="25DEDCCF" w14:textId="5C46792E" w:rsidR="003866CA" w:rsidRDefault="003866CA" w:rsidP="003866CA">
      <w:pPr>
        <w:pStyle w:val="Heading2"/>
      </w:pPr>
      <w:bookmarkStart w:id="8" w:name="_Ref274425182"/>
      <w:bookmarkStart w:id="9" w:name="_Ref283040480"/>
      <w:r>
        <w:t xml:space="preserve">Patient receipt of </w:t>
      </w:r>
      <w:bookmarkEnd w:id="8"/>
      <w:bookmarkEnd w:id="9"/>
      <w:r w:rsidR="00504E99">
        <w:t>Seroquel</w:t>
      </w:r>
    </w:p>
    <w:p w14:paraId="71C9C172" w14:textId="079FA45E" w:rsidR="003866CA" w:rsidRDefault="003866CA" w:rsidP="003866CA">
      <w:r>
        <w:t xml:space="preserve">A key question is whether targeting outlier prescribers reduces the receipt of </w:t>
      </w:r>
      <w:r w:rsidR="00782C2C">
        <w:t>Seroquel</w:t>
      </w:r>
      <w:r>
        <w:t xml:space="preserve"> by patients – or whether patients find new physicians to supply them with the drugs. To this end, we will analyze the overall receipt of these substances by patients, then break receipt down into the component from the targeted physician and the component from other physicians.</w:t>
      </w:r>
    </w:p>
    <w:p w14:paraId="640F20DB" w14:textId="77777777" w:rsidR="003866CA" w:rsidRDefault="003866CA" w:rsidP="003866CA">
      <w:r>
        <w:t>We will put the following patient-level outcomes on the left-hand side:</w:t>
      </w:r>
    </w:p>
    <w:p w14:paraId="336C67DF" w14:textId="2431371C" w:rsidR="003866CA" w:rsidRDefault="003866CA" w:rsidP="003866CA">
      <w:pPr>
        <w:pStyle w:val="ListParagraph"/>
        <w:numPr>
          <w:ilvl w:val="0"/>
          <w:numId w:val="10"/>
        </w:numPr>
      </w:pPr>
      <w:r>
        <w:t xml:space="preserve">Total 30-day equivalent </w:t>
      </w:r>
      <w:r w:rsidR="00504E99">
        <w:t>Seroquel treatments</w:t>
      </w:r>
    </w:p>
    <w:p w14:paraId="2DA11734" w14:textId="31F1FDD4" w:rsidR="005A26DE" w:rsidRDefault="005A26DE" w:rsidP="005A26DE">
      <w:pPr>
        <w:pStyle w:val="ListParagraph"/>
        <w:numPr>
          <w:ilvl w:val="0"/>
          <w:numId w:val="10"/>
        </w:numPr>
      </w:pPr>
      <w:r>
        <w:t>Total mg of Seroquel dispensed</w:t>
      </w:r>
    </w:p>
    <w:p w14:paraId="26B5A93C" w14:textId="110C47C0" w:rsidR="00607A1B" w:rsidRDefault="00607A1B" w:rsidP="00607A1B">
      <w:pPr>
        <w:pStyle w:val="ListParagraph"/>
        <w:numPr>
          <w:ilvl w:val="0"/>
          <w:numId w:val="10"/>
        </w:numPr>
      </w:pPr>
      <w:r>
        <w:t>Total 30-day equivalent Seroquel PDE</w:t>
      </w:r>
    </w:p>
    <w:p w14:paraId="34939731" w14:textId="6A58B7F7" w:rsidR="001353AA" w:rsidRDefault="00763DE3" w:rsidP="001353AA">
      <w:r>
        <w:t>We</w:t>
      </w:r>
      <w:r w:rsidR="001353AA">
        <w:t xml:space="preserve"> will look at these outcomes </w:t>
      </w:r>
      <w:r w:rsidR="003B695C">
        <w:t xml:space="preserve">(1) overall, then </w:t>
      </w:r>
      <w:r w:rsidR="00841584">
        <w:t>defined separately</w:t>
      </w:r>
      <w:r w:rsidR="00A907CA">
        <w:t xml:space="preserve"> based on prescriptions from</w:t>
      </w:r>
      <w:r w:rsidR="003B695C">
        <w:t xml:space="preserve"> (2</w:t>
      </w:r>
      <w:r w:rsidR="00841584">
        <w:t>) the prescriber to which t</w:t>
      </w:r>
      <w:r w:rsidR="00A80A91">
        <w:t xml:space="preserve">he patient was attributed, </w:t>
      </w:r>
      <w:r w:rsidR="003B695C">
        <w:t>(3</w:t>
      </w:r>
      <w:r w:rsidR="00841584">
        <w:t>) all prescribers excluding the one to w</w:t>
      </w:r>
      <w:r w:rsidR="00A80A91">
        <w:t>hich the patient was attributed, and (4) all psychiatric specialization prescribers.</w:t>
      </w:r>
    </w:p>
    <w:p w14:paraId="79A9A8E0" w14:textId="41208720" w:rsidR="006C38A3" w:rsidRDefault="00B57EBD" w:rsidP="001353AA">
      <w:r>
        <w:t>In the remaining subsections in this section, the outcomes studied will be the bulleted ones above, counting all prescribers (i.e. approach 1</w:t>
      </w:r>
      <w:r w:rsidR="00AA3D14">
        <w:t>).</w:t>
      </w:r>
    </w:p>
    <w:p w14:paraId="4F211A33" w14:textId="6325DF75" w:rsidR="006531BF" w:rsidRPr="003679C3" w:rsidRDefault="00F045F1" w:rsidP="006531BF">
      <w:pPr>
        <w:pStyle w:val="Heading2"/>
      </w:pPr>
      <w:r>
        <w:t>Effects on distribution of</w:t>
      </w:r>
      <w:r w:rsidR="006531BF">
        <w:t xml:space="preserve"> </w:t>
      </w:r>
      <w:r>
        <w:t xml:space="preserve">patient receipt of </w:t>
      </w:r>
      <w:r w:rsidR="00504E99">
        <w:t>Seroquel</w:t>
      </w:r>
    </w:p>
    <w:p w14:paraId="43F6F3F7" w14:textId="1052CDE0" w:rsidR="006531BF" w:rsidRPr="003679C3" w:rsidRDefault="006531BF" w:rsidP="006531BF">
      <w:r w:rsidRPr="003679C3">
        <w:t>The</w:t>
      </w:r>
      <w:r>
        <w:t xml:space="preserve"> </w:t>
      </w:r>
      <w:r w:rsidR="004251B0">
        <w:t>effect</w:t>
      </w:r>
      <w:r w:rsidRPr="003679C3">
        <w:t xml:space="preserve"> of the letters </w:t>
      </w:r>
      <w:r w:rsidR="004251B0">
        <w:t xml:space="preserve">on </w:t>
      </w:r>
      <w:r w:rsidR="00F045F1">
        <w:t>the distrib</w:t>
      </w:r>
      <w:r w:rsidR="004251B0">
        <w:t>ution of patient receipt of Seroquel is</w:t>
      </w:r>
      <w:r w:rsidRPr="003679C3">
        <w:t xml:space="preserve"> also of interest. To </w:t>
      </w:r>
      <w:r>
        <w:t>analyze quantile treatment effects,</w:t>
      </w:r>
      <w:r w:rsidRPr="003679C3">
        <w:t xml:space="preserve"> we will run quantile regressions </w:t>
      </w:r>
      <w:r>
        <w:t xml:space="preserve">looking at the </w:t>
      </w:r>
      <w:r w:rsidR="002D77F3">
        <w:t xml:space="preserve">prescribing </w:t>
      </w:r>
      <w:r>
        <w:t>outcomes</w:t>
      </w:r>
      <w:r w:rsidRPr="003679C3">
        <w:t xml:space="preserve">. We will </w:t>
      </w:r>
      <w:r>
        <w:t>look at</w:t>
      </w:r>
      <w:r w:rsidRPr="003679C3">
        <w:t xml:space="preserve"> the following quantiles: </w:t>
      </w:r>
    </w:p>
    <w:p w14:paraId="73FA119C" w14:textId="77777777" w:rsidR="006531BF" w:rsidRPr="003679C3" w:rsidRDefault="006531BF" w:rsidP="006531BF">
      <w:pPr>
        <w:pStyle w:val="ListParagraph"/>
        <w:numPr>
          <w:ilvl w:val="0"/>
          <w:numId w:val="30"/>
        </w:numPr>
      </w:pPr>
      <w:r w:rsidRPr="003679C3">
        <w:t xml:space="preserve">p10 </w:t>
      </w:r>
    </w:p>
    <w:p w14:paraId="5B82876E" w14:textId="77777777" w:rsidR="006531BF" w:rsidRPr="003679C3" w:rsidRDefault="006531BF" w:rsidP="006531BF">
      <w:pPr>
        <w:pStyle w:val="ListParagraph"/>
        <w:numPr>
          <w:ilvl w:val="0"/>
          <w:numId w:val="30"/>
        </w:numPr>
      </w:pPr>
      <w:r w:rsidRPr="003679C3">
        <w:t xml:space="preserve">p25 </w:t>
      </w:r>
    </w:p>
    <w:p w14:paraId="3992673F" w14:textId="77777777" w:rsidR="006531BF" w:rsidRPr="003679C3" w:rsidRDefault="006531BF" w:rsidP="006531BF">
      <w:pPr>
        <w:pStyle w:val="ListParagraph"/>
        <w:numPr>
          <w:ilvl w:val="0"/>
          <w:numId w:val="30"/>
        </w:numPr>
      </w:pPr>
      <w:r w:rsidRPr="003679C3">
        <w:t xml:space="preserve">p50 </w:t>
      </w:r>
    </w:p>
    <w:p w14:paraId="408F9F06" w14:textId="77777777" w:rsidR="006531BF" w:rsidRPr="003679C3" w:rsidRDefault="006531BF" w:rsidP="006531BF">
      <w:pPr>
        <w:pStyle w:val="ListParagraph"/>
        <w:numPr>
          <w:ilvl w:val="0"/>
          <w:numId w:val="30"/>
        </w:numPr>
      </w:pPr>
      <w:r w:rsidRPr="003679C3">
        <w:t xml:space="preserve">p75 </w:t>
      </w:r>
    </w:p>
    <w:p w14:paraId="4885C69C" w14:textId="32C9745A" w:rsidR="006531BF" w:rsidRDefault="006531BF" w:rsidP="00570070">
      <w:pPr>
        <w:pStyle w:val="ListParagraph"/>
        <w:numPr>
          <w:ilvl w:val="0"/>
          <w:numId w:val="30"/>
        </w:numPr>
      </w:pPr>
      <w:r w:rsidRPr="003679C3">
        <w:t>p90</w:t>
      </w:r>
    </w:p>
    <w:p w14:paraId="1D1BFAE2" w14:textId="77777777" w:rsidR="00FB7D23" w:rsidRDefault="00A7109B" w:rsidP="00FB7D23">
      <w:pPr>
        <w:pStyle w:val="Heading2"/>
      </w:pPr>
      <w:r>
        <w:lastRenderedPageBreak/>
        <w:t>Heterogeneous effects</w:t>
      </w:r>
    </w:p>
    <w:p w14:paraId="6D6B6E8D" w14:textId="77777777" w:rsidR="006531BF" w:rsidRDefault="003866CA" w:rsidP="006531BF">
      <w:r>
        <w:t xml:space="preserve">If the letters are causing reductions in the receipt of controlled substances, it would be interesting to see if the reductions </w:t>
      </w:r>
      <w:r w:rsidR="00FB7D23">
        <w:t>were concentrated in certain types of patients.</w:t>
      </w:r>
      <w:r w:rsidR="00851E29">
        <w:t xml:space="preserve"> We will examine heterogeneity in effects across a number of different patient groups:</w:t>
      </w:r>
      <w:r w:rsidR="00FB7D23">
        <w:t xml:space="preserve"> </w:t>
      </w:r>
      <w:bookmarkStart w:id="10" w:name="_Ref273729997"/>
    </w:p>
    <w:p w14:paraId="5F1F5ABF" w14:textId="1BF2E681" w:rsidR="003866CA" w:rsidRPr="00A80A91" w:rsidRDefault="00A80A91" w:rsidP="003866CA">
      <w:pPr>
        <w:pStyle w:val="Heading3"/>
        <w:rPr>
          <w:i/>
        </w:rPr>
      </w:pPr>
      <w:r w:rsidRPr="00A80A91">
        <w:rPr>
          <w:i/>
        </w:rPr>
        <w:t xml:space="preserve">Optional: </w:t>
      </w:r>
      <w:r w:rsidR="00FB7D23" w:rsidRPr="00A80A91">
        <w:rPr>
          <w:i/>
        </w:rPr>
        <w:t>By</w:t>
      </w:r>
      <w:r w:rsidR="003866CA" w:rsidRPr="00A80A91">
        <w:rPr>
          <w:i/>
        </w:rPr>
        <w:t xml:space="preserve"> risk for controlled substance abuse</w:t>
      </w:r>
      <w:bookmarkEnd w:id="10"/>
    </w:p>
    <w:p w14:paraId="50E93A36" w14:textId="1E3E5C7C" w:rsidR="003866CA" w:rsidRPr="00A80A91" w:rsidRDefault="00FB7D23" w:rsidP="003866CA">
      <w:pPr>
        <w:rPr>
          <w:i/>
        </w:rPr>
      </w:pPr>
      <w:r w:rsidRPr="00A80A91">
        <w:rPr>
          <w:i/>
        </w:rPr>
        <w:t xml:space="preserve">We call on a measure of risk for controlled substance abuse from </w:t>
      </w:r>
      <w:proofErr w:type="spellStart"/>
      <w:r w:rsidRPr="00A80A91">
        <w:rPr>
          <w:i/>
        </w:rPr>
        <w:t>Parente</w:t>
      </w:r>
      <w:proofErr w:type="spellEnd"/>
      <w:r w:rsidRPr="00A80A91">
        <w:rPr>
          <w:i/>
        </w:rPr>
        <w:t xml:space="preserve"> et al (2004). The paper </w:t>
      </w:r>
      <w:r w:rsidR="001A2E02" w:rsidRPr="00A80A91">
        <w:rPr>
          <w:i/>
        </w:rPr>
        <w:t>constructs</w:t>
      </w:r>
      <w:r w:rsidR="003866CA" w:rsidRPr="00A80A91">
        <w:rPr>
          <w:i/>
        </w:rPr>
        <w:t xml:space="preserve"> claims-based markers called CS-PURE that are predictive of </w:t>
      </w:r>
      <w:r w:rsidRPr="00A80A91">
        <w:rPr>
          <w:i/>
        </w:rPr>
        <w:t>such</w:t>
      </w:r>
      <w:r w:rsidR="003866CA" w:rsidRPr="00A80A91">
        <w:rPr>
          <w:i/>
        </w:rPr>
        <w:t xml:space="preserve"> abuse. </w:t>
      </w:r>
      <w:r w:rsidRPr="00A80A91">
        <w:rPr>
          <w:i/>
        </w:rPr>
        <w:t>They</w:t>
      </w:r>
      <w:r w:rsidR="003866CA" w:rsidRPr="00A80A91">
        <w:rPr>
          <w:i/>
        </w:rPr>
        <w:t xml:space="preserve"> propose 10 such markers. We </w:t>
      </w:r>
      <w:r w:rsidR="00763DE3" w:rsidRPr="00A80A91">
        <w:rPr>
          <w:i/>
        </w:rPr>
        <w:t xml:space="preserve">will </w:t>
      </w:r>
      <w:r w:rsidR="003866CA" w:rsidRPr="00A80A91">
        <w:rPr>
          <w:i/>
        </w:rPr>
        <w:t xml:space="preserve">calculate </w:t>
      </w:r>
      <w:r w:rsidR="00841584" w:rsidRPr="00A80A91">
        <w:rPr>
          <w:i/>
        </w:rPr>
        <w:t>them using beneficiary claims</w:t>
      </w:r>
      <w:r w:rsidR="003866CA" w:rsidRPr="00A80A91">
        <w:rPr>
          <w:i/>
        </w:rPr>
        <w:t xml:space="preserve"> prior to the letters being sent. </w:t>
      </w:r>
      <w:r w:rsidR="00841584" w:rsidRPr="00A80A91">
        <w:rPr>
          <w:i/>
        </w:rPr>
        <w:t xml:space="preserve">Then we </w:t>
      </w:r>
      <w:r w:rsidR="00763DE3" w:rsidRPr="00A80A91">
        <w:rPr>
          <w:i/>
        </w:rPr>
        <w:t xml:space="preserve">will </w:t>
      </w:r>
      <w:r w:rsidR="00841584" w:rsidRPr="00A80A91">
        <w:rPr>
          <w:i/>
        </w:rPr>
        <w:t>divide the patients into groups based on the number of CS-PURE markers that were triggered.</w:t>
      </w:r>
    </w:p>
    <w:p w14:paraId="1E6B07E1" w14:textId="77777777" w:rsidR="003866CA" w:rsidRPr="00A80A91" w:rsidRDefault="001A2E02" w:rsidP="00A13A6E">
      <w:pPr>
        <w:rPr>
          <w:i/>
        </w:rPr>
      </w:pPr>
      <w:r w:rsidRPr="00A80A91">
        <w:rPr>
          <w:i/>
        </w:rPr>
        <w:t>The</w:t>
      </w:r>
      <w:r w:rsidR="003866CA" w:rsidRPr="00A80A91">
        <w:rPr>
          <w:i/>
        </w:rPr>
        <w:t xml:space="preserve"> regression</w:t>
      </w:r>
      <w:r w:rsidRPr="00A80A91">
        <w:rPr>
          <w:i/>
        </w:rPr>
        <w:t>s</w:t>
      </w:r>
      <w:r w:rsidR="003866CA" w:rsidRPr="00A80A91">
        <w:rPr>
          <w:i/>
        </w:rPr>
        <w:t xml:space="preserve"> will show whether the effect of the </w:t>
      </w:r>
      <w:r w:rsidRPr="00A80A91">
        <w:rPr>
          <w:i/>
        </w:rPr>
        <w:t>letter</w:t>
      </w:r>
      <w:r w:rsidR="003866CA" w:rsidRPr="00A80A91">
        <w:rPr>
          <w:i/>
        </w:rPr>
        <w:t xml:space="preserve"> is stronger (or weaker) for patients who seem more at risk of controlled substance abuse (as proxied by having more CS-PURE markers).</w:t>
      </w:r>
    </w:p>
    <w:p w14:paraId="0B1A098D" w14:textId="46792D54" w:rsidR="00FB7D23" w:rsidRDefault="00FB7D23" w:rsidP="00FB7D23">
      <w:pPr>
        <w:pStyle w:val="Heading3"/>
      </w:pPr>
      <w:r>
        <w:t xml:space="preserve">By prior use of </w:t>
      </w:r>
      <w:r w:rsidR="003A672C">
        <w:t>Seroquel</w:t>
      </w:r>
    </w:p>
    <w:p w14:paraId="00ED0C4A" w14:textId="44FB21A7" w:rsidR="00FB7D23" w:rsidRDefault="007C45CD" w:rsidP="00FB7D23">
      <w:r>
        <w:t xml:space="preserve">For all patients in the sample, we calculate their </w:t>
      </w:r>
      <w:r w:rsidR="00E23631">
        <w:t xml:space="preserve">prior utilization </w:t>
      </w:r>
      <w:r w:rsidR="00EF7250">
        <w:t>of Seroquel</w:t>
      </w:r>
      <w:r w:rsidR="00E23631">
        <w:t>.</w:t>
      </w:r>
      <w:r>
        <w:t xml:space="preserve"> Then we divide patients into </w:t>
      </w:r>
      <w:r w:rsidR="00E23631">
        <w:t>groups based on that utilization</w:t>
      </w:r>
      <w:r w:rsidR="0058620F">
        <w:t xml:space="preserve"> and consider </w:t>
      </w:r>
      <w:r w:rsidR="00AA68DF">
        <w:t>treatment effect heterogeneity across groups</w:t>
      </w:r>
      <w:r w:rsidR="002D77F3">
        <w:t>.</w:t>
      </w:r>
      <w:r w:rsidR="00E23631">
        <w:t xml:space="preserve"> </w:t>
      </w:r>
      <w:r>
        <w:t xml:space="preserve">This will show us whether the letters have different effects depending on whether the patient was a high or low user of </w:t>
      </w:r>
      <w:r w:rsidR="00763DE3">
        <w:t xml:space="preserve">controlled </w:t>
      </w:r>
      <w:r>
        <w:t>substances.</w:t>
      </w:r>
    </w:p>
    <w:p w14:paraId="20FD30DA" w14:textId="77777777" w:rsidR="00150BB4" w:rsidRDefault="007C45CD" w:rsidP="00150BB4">
      <w:r>
        <w:t>One concern with this specification is that if the sample includes low and high prescribing doctors (bec</w:t>
      </w:r>
      <w:r w:rsidR="00A907CA">
        <w:t>ause some doctors reformed prior to letter receipt</w:t>
      </w:r>
      <w:r>
        <w:t xml:space="preserve">), being a low using patient may just proxy for being a patient of a low prescribing doctor. To </w:t>
      </w:r>
      <w:r w:rsidR="00A907CA">
        <w:t>address</w:t>
      </w:r>
      <w:r>
        <w:t xml:space="preserve"> this, we can </w:t>
      </w:r>
      <w:r w:rsidR="00F677AC">
        <w:t xml:space="preserve">include physician </w:t>
      </w:r>
      <w:r w:rsidR="00E23631">
        <w:t>fixed effects in the specification</w:t>
      </w:r>
      <w:r w:rsidR="00F677AC">
        <w:t>.</w:t>
      </w:r>
    </w:p>
    <w:p w14:paraId="433F76A6" w14:textId="74B79CF0" w:rsidR="001A5D8A" w:rsidRDefault="001A5D8A" w:rsidP="001A5D8A">
      <w:pPr>
        <w:pStyle w:val="Heading3"/>
      </w:pPr>
      <w:r>
        <w:t>By appropriateness for Seroquel prescription</w:t>
      </w:r>
    </w:p>
    <w:p w14:paraId="0B1B55AA" w14:textId="44C9E5A8" w:rsidR="00CB4B1E" w:rsidRPr="00CB4B1E" w:rsidRDefault="00271830" w:rsidP="00CB4B1E">
      <w:r>
        <w:t>We will split patients into groups based on their observable appropriateness for Seroquel (see Section</w:t>
      </w:r>
      <w:r w:rsidR="000E76EE">
        <w:t xml:space="preserve"> </w:t>
      </w:r>
      <w:r w:rsidR="000E76EE">
        <w:fldChar w:fldCharType="begin"/>
      </w:r>
      <w:r w:rsidR="000E76EE">
        <w:instrText xml:space="preserve"> REF _Ref430275676 \r \h </w:instrText>
      </w:r>
      <w:r w:rsidR="000E76EE">
        <w:fldChar w:fldCharType="separate"/>
      </w:r>
      <w:r w:rsidR="000E76EE">
        <w:t>4.3.1</w:t>
      </w:r>
      <w:r w:rsidR="000E76EE">
        <w:fldChar w:fldCharType="end"/>
      </w:r>
      <w:r>
        <w:t xml:space="preserve">) and consider whether the effect </w:t>
      </w:r>
      <w:r w:rsidR="001C47B6">
        <w:t>of the letter differed by group</w:t>
      </w:r>
      <w:r w:rsidR="00F50ACD">
        <w:t>.</w:t>
      </w:r>
    </w:p>
    <w:p w14:paraId="2C47D6FE" w14:textId="77777777" w:rsidR="00F677AC" w:rsidRDefault="00F677AC" w:rsidP="00150BB4">
      <w:pPr>
        <w:pStyle w:val="Heading3"/>
      </w:pPr>
      <w:r>
        <w:t xml:space="preserve">By </w:t>
      </w:r>
      <w:r w:rsidR="00150BB4">
        <w:t>share of substances the patient got from prescriber</w:t>
      </w:r>
    </w:p>
    <w:p w14:paraId="5B0F8B4D" w14:textId="40F2C87B" w:rsidR="00CE5FE0" w:rsidRDefault="00150BB4" w:rsidP="00F677AC">
      <w:r>
        <w:t xml:space="preserve">We will explore whether the effects are different for patients who were </w:t>
      </w:r>
      <w:r w:rsidR="00EF7250">
        <w:t>getting Seroquel</w:t>
      </w:r>
      <w:r>
        <w:t xml:space="preserve"> from other doctors.</w:t>
      </w:r>
      <w:r w:rsidR="00CE5FE0">
        <w:t xml:space="preserve"> These patients may be </w:t>
      </w:r>
      <w:proofErr w:type="gramStart"/>
      <w:r w:rsidR="00CE5FE0">
        <w:t>more able</w:t>
      </w:r>
      <w:proofErr w:type="gramEnd"/>
      <w:r w:rsidR="00CE5FE0">
        <w:t xml:space="preserve"> to evade any effect of the letter on the targeted doctor.</w:t>
      </w:r>
    </w:p>
    <w:p w14:paraId="7E5FF3EE" w14:textId="0DEDFC6F" w:rsidR="00F677AC" w:rsidRDefault="00F677AC" w:rsidP="00F677AC">
      <w:r>
        <w:t xml:space="preserve">For each patient, we calculate the percent of her </w:t>
      </w:r>
      <w:r w:rsidR="00EF7250">
        <w:t>Seroquel</w:t>
      </w:r>
      <w:r>
        <w:t xml:space="preserve"> in the prior year that she received from the physician in question. </w:t>
      </w:r>
      <w:r w:rsidR="00150BB4">
        <w:t xml:space="preserve">Then we calculate </w:t>
      </w:r>
      <w:r w:rsidR="00E23631">
        <w:t>groups based on this share (</w:t>
      </w:r>
      <w:r w:rsidR="00763DE3">
        <w:t>we may, for example, use</w:t>
      </w:r>
      <w:r w:rsidR="00150BB4">
        <w:t xml:space="preserve"> two groups: 100% from the physician in question and &lt;100%).</w:t>
      </w:r>
    </w:p>
    <w:p w14:paraId="421DE9A5" w14:textId="239D45D6" w:rsidR="00150BB4" w:rsidRPr="00F677AC" w:rsidRDefault="00763DE3" w:rsidP="00F677AC">
      <w:r>
        <w:t>We will consider</w:t>
      </w:r>
      <w:r w:rsidR="00150BB4">
        <w:t xml:space="preserve"> includ</w:t>
      </w:r>
      <w:r>
        <w:t>ing</w:t>
      </w:r>
      <w:r w:rsidR="00150BB4">
        <w:t xml:space="preserve"> physician </w:t>
      </w:r>
      <w:r>
        <w:t xml:space="preserve">fixed effects in this specification </w:t>
      </w:r>
      <w:r w:rsidR="00150BB4">
        <w:t xml:space="preserve">so that </w:t>
      </w:r>
      <w:r w:rsidR="00CE5FE0">
        <w:t xml:space="preserve">the results are </w:t>
      </w:r>
      <w:r w:rsidR="00A907CA">
        <w:t>“within”</w:t>
      </w:r>
      <w:r w:rsidR="00CE5FE0">
        <w:t xml:space="preserve"> patients attributed to the same prescriber.</w:t>
      </w:r>
    </w:p>
    <w:p w14:paraId="395B9066" w14:textId="768EE4AF" w:rsidR="003866CA" w:rsidRPr="003679C3" w:rsidRDefault="003866CA" w:rsidP="003866CA">
      <w:pPr>
        <w:pStyle w:val="Heading2"/>
      </w:pPr>
      <w:r w:rsidRPr="003679C3">
        <w:t xml:space="preserve">Substitution toward other </w:t>
      </w:r>
      <w:r w:rsidR="00EF7250">
        <w:t>drugs</w:t>
      </w:r>
    </w:p>
    <w:p w14:paraId="08BF7153" w14:textId="57043D1B" w:rsidR="003866CA" w:rsidRDefault="003866CA" w:rsidP="00B5322B">
      <w:r>
        <w:t xml:space="preserve">If patients are induced to consume </w:t>
      </w:r>
      <w:r w:rsidR="00EF7250">
        <w:t>less Seroquel</w:t>
      </w:r>
      <w:r>
        <w:t xml:space="preserve">, they may substitute toward other </w:t>
      </w:r>
      <w:r w:rsidR="00EF7250">
        <w:t>drugs</w:t>
      </w:r>
      <w:r>
        <w:t>. The substitution outcomes we will study are those listed in section</w:t>
      </w:r>
      <w:r w:rsidR="00B5322B">
        <w:t xml:space="preserve"> </w:t>
      </w:r>
      <w:r w:rsidR="00B5322B">
        <w:fldChar w:fldCharType="begin"/>
      </w:r>
      <w:r w:rsidR="00B5322B">
        <w:instrText xml:space="preserve"> REF _Ref273730900 \r \h </w:instrText>
      </w:r>
      <w:r w:rsidR="00B5322B">
        <w:fldChar w:fldCharType="separate"/>
      </w:r>
      <w:r w:rsidR="00624B24">
        <w:t>4.7</w:t>
      </w:r>
      <w:r w:rsidR="00B5322B">
        <w:fldChar w:fldCharType="end"/>
      </w:r>
      <w:r w:rsidR="002B5A9A">
        <w:t>.</w:t>
      </w:r>
    </w:p>
    <w:p w14:paraId="336B2F95" w14:textId="77777777" w:rsidR="003866CA" w:rsidRDefault="003866CA" w:rsidP="003866CA">
      <w:pPr>
        <w:pStyle w:val="Heading2"/>
      </w:pPr>
      <w:r>
        <w:lastRenderedPageBreak/>
        <w:t>Health outcomes</w:t>
      </w:r>
    </w:p>
    <w:p w14:paraId="243F50EF" w14:textId="77777777" w:rsidR="00271830" w:rsidRDefault="003866CA" w:rsidP="00271830">
      <w:r>
        <w:t xml:space="preserve">We will also consider whether the letters have an effect on patients’ health outcomes. </w:t>
      </w:r>
      <w:r w:rsidR="00EF7250">
        <w:t xml:space="preserve">Depending on which types of patients are affected by the letters, </w:t>
      </w:r>
      <w:r w:rsidR="001A5D8A">
        <w:t xml:space="preserve">the marginal Seroquel prescription could be used for drug abuse or for legitimate treatment of psychiatric disorders. </w:t>
      </w:r>
      <w:r w:rsidR="00271830">
        <w:t>The effects on health outcomes are thus ambiguous.</w:t>
      </w:r>
    </w:p>
    <w:p w14:paraId="320D23F9" w14:textId="13835ABC" w:rsidR="003866CA" w:rsidRDefault="00271830" w:rsidP="00271830">
      <w:r>
        <w:t>We will consider a variety of outcomes related to mental health:</w:t>
      </w:r>
    </w:p>
    <w:p w14:paraId="07C993E9" w14:textId="77777777" w:rsidR="00B5322B" w:rsidRDefault="00B5322B" w:rsidP="003866CA">
      <w:pPr>
        <w:pStyle w:val="ListParagraph"/>
        <w:numPr>
          <w:ilvl w:val="0"/>
          <w:numId w:val="15"/>
        </w:numPr>
      </w:pPr>
      <w:r>
        <w:t>Any ED encounter</w:t>
      </w:r>
    </w:p>
    <w:p w14:paraId="5B3C01F9" w14:textId="77777777" w:rsidR="003866CA" w:rsidRDefault="003866CA" w:rsidP="003866CA">
      <w:pPr>
        <w:pStyle w:val="ListParagraph"/>
        <w:numPr>
          <w:ilvl w:val="0"/>
          <w:numId w:val="15"/>
        </w:numPr>
      </w:pPr>
      <w:r>
        <w:t>ED encounter for a drug overdose</w:t>
      </w:r>
    </w:p>
    <w:p w14:paraId="28248D5E" w14:textId="77777777" w:rsidR="002B5A9A" w:rsidRDefault="002B5A9A" w:rsidP="003866CA">
      <w:pPr>
        <w:pStyle w:val="ListParagraph"/>
        <w:numPr>
          <w:ilvl w:val="0"/>
          <w:numId w:val="15"/>
        </w:numPr>
      </w:pPr>
      <w:r>
        <w:t>ED encounter for mental health reasons</w:t>
      </w:r>
    </w:p>
    <w:p w14:paraId="1D5015CF" w14:textId="77777777" w:rsidR="00B5322B" w:rsidRDefault="00B5322B" w:rsidP="003866CA">
      <w:pPr>
        <w:pStyle w:val="ListParagraph"/>
        <w:numPr>
          <w:ilvl w:val="0"/>
          <w:numId w:val="15"/>
        </w:numPr>
      </w:pPr>
      <w:r>
        <w:t>Any inpatient stay</w:t>
      </w:r>
      <w:r w:rsidR="00E06811">
        <w:t xml:space="preserve"> (including at an inpatient rehabilitation facility)</w:t>
      </w:r>
    </w:p>
    <w:p w14:paraId="246164B1" w14:textId="77777777" w:rsidR="003866CA" w:rsidRDefault="00B5322B" w:rsidP="003866CA">
      <w:pPr>
        <w:pStyle w:val="ListParagraph"/>
        <w:numPr>
          <w:ilvl w:val="0"/>
          <w:numId w:val="15"/>
        </w:numPr>
      </w:pPr>
      <w:r>
        <w:t>Inpatient</w:t>
      </w:r>
      <w:r w:rsidR="003866CA">
        <w:t xml:space="preserve"> stay for a drug overdose</w:t>
      </w:r>
    </w:p>
    <w:p w14:paraId="4760A082" w14:textId="77777777" w:rsidR="002B5A9A" w:rsidRDefault="002B5A9A" w:rsidP="003866CA">
      <w:pPr>
        <w:pStyle w:val="ListParagraph"/>
        <w:numPr>
          <w:ilvl w:val="0"/>
          <w:numId w:val="15"/>
        </w:numPr>
      </w:pPr>
      <w:r>
        <w:t>Inpatient stay for mental health reasons</w:t>
      </w:r>
    </w:p>
    <w:p w14:paraId="60FA7CA2" w14:textId="77777777" w:rsidR="003866CA" w:rsidRDefault="00B5322B" w:rsidP="003866CA">
      <w:pPr>
        <w:pStyle w:val="ListParagraph"/>
        <w:numPr>
          <w:ilvl w:val="0"/>
          <w:numId w:val="15"/>
        </w:numPr>
      </w:pPr>
      <w:r>
        <w:t>Receipt</w:t>
      </w:r>
      <w:r w:rsidR="003866CA">
        <w:t xml:space="preserve"> of outpatient mental health services (e.g. therapy and counseling)</w:t>
      </w:r>
    </w:p>
    <w:p w14:paraId="106B1696" w14:textId="77777777" w:rsidR="003866CA" w:rsidRDefault="003866CA" w:rsidP="005F6D8A">
      <w:pPr>
        <w:pStyle w:val="ListParagraph"/>
        <w:numPr>
          <w:ilvl w:val="0"/>
          <w:numId w:val="15"/>
        </w:numPr>
      </w:pPr>
      <w:r>
        <w:t>Death</w:t>
      </w:r>
    </w:p>
    <w:p w14:paraId="774E1FE7" w14:textId="7FBEAF70" w:rsidR="00BC13FE" w:rsidRDefault="00C03926">
      <w:r>
        <w:t xml:space="preserve">We will also explore using the letter as an instrument for </w:t>
      </w:r>
      <w:r w:rsidR="001A5D8A">
        <w:t>Seroquel</w:t>
      </w:r>
      <w:r>
        <w:t xml:space="preserve"> use to establish </w:t>
      </w:r>
      <w:r w:rsidR="00763DE3">
        <w:t xml:space="preserve">a causal </w:t>
      </w:r>
      <w:r>
        <w:t xml:space="preserve">effect of reduced prescription of </w:t>
      </w:r>
      <w:r w:rsidR="00285734">
        <w:t>antipsychotics</w:t>
      </w:r>
      <w:r>
        <w:t xml:space="preserve"> on health outcomes.</w:t>
      </w:r>
    </w:p>
    <w:p w14:paraId="0B2ACF97" w14:textId="77777777" w:rsidR="000532B7" w:rsidRDefault="000532B7" w:rsidP="000532B7">
      <w:pPr>
        <w:pStyle w:val="Heading1"/>
      </w:pPr>
      <w:r>
        <w:t>References</w:t>
      </w:r>
    </w:p>
    <w:p w14:paraId="1A822704" w14:textId="5C15969A" w:rsidR="00F045F1" w:rsidRPr="00E72CC6" w:rsidRDefault="00E72CC6" w:rsidP="001A5D8A">
      <w:proofErr w:type="spellStart"/>
      <w:r>
        <w:t>Parente</w:t>
      </w:r>
      <w:proofErr w:type="spellEnd"/>
      <w:r>
        <w:t xml:space="preserve">, Stephen T., Susan S. Kim, Michael D. Finch, Lisa A. </w:t>
      </w:r>
      <w:proofErr w:type="spellStart"/>
      <w:r>
        <w:t>Schloff</w:t>
      </w:r>
      <w:proofErr w:type="spellEnd"/>
      <w:r>
        <w:t xml:space="preserve">, Thomas S. Rector, </w:t>
      </w:r>
      <w:proofErr w:type="spellStart"/>
      <w:r>
        <w:t>Raafat</w:t>
      </w:r>
      <w:proofErr w:type="spellEnd"/>
      <w:r>
        <w:t xml:space="preserve"> </w:t>
      </w:r>
      <w:proofErr w:type="spellStart"/>
      <w:r>
        <w:t>Seifeldin</w:t>
      </w:r>
      <w:proofErr w:type="spellEnd"/>
      <w:r>
        <w:t xml:space="preserve">, and J. David </w:t>
      </w:r>
      <w:proofErr w:type="spellStart"/>
      <w:r>
        <w:t>Haddox</w:t>
      </w:r>
      <w:proofErr w:type="spellEnd"/>
      <w:r>
        <w:t xml:space="preserve">. 2004. “Identifying Controlled Substance Patterns of Utilization Requiring Evaluation Using Administrative Claims Data.” </w:t>
      </w:r>
      <w:r>
        <w:rPr>
          <w:i/>
        </w:rPr>
        <w:t>The American Journal of Managed Care</w:t>
      </w:r>
      <w:r>
        <w:t>, 10(11): 783-790.</w:t>
      </w:r>
    </w:p>
    <w:p w14:paraId="456409F3" w14:textId="4C510ABB" w:rsidR="00DA5D16" w:rsidRPr="00DA5D16" w:rsidRDefault="007F1482" w:rsidP="001A5D8A">
      <w:pPr>
        <w:pStyle w:val="Title"/>
      </w:pPr>
      <w:r>
        <w:t>APPENDIX</w:t>
      </w:r>
    </w:p>
    <w:p w14:paraId="29DE8EE3" w14:textId="77777777" w:rsidR="007F1482" w:rsidRDefault="00396818" w:rsidP="007F1482">
      <w:pPr>
        <w:pStyle w:val="Heading1"/>
        <w:numPr>
          <w:ilvl w:val="0"/>
          <w:numId w:val="17"/>
        </w:numPr>
      </w:pPr>
      <w:r>
        <w:t>Poisson</w:t>
      </w:r>
      <w:r w:rsidR="007F1482">
        <w:t xml:space="preserve"> Regression Specification</w:t>
      </w:r>
    </w:p>
    <w:p w14:paraId="5A1C6B9C" w14:textId="77777777" w:rsidR="007F1482" w:rsidRDefault="00C03926" w:rsidP="007F1482">
      <w:r>
        <w:t>We</w:t>
      </w:r>
      <w:r w:rsidR="007F1482">
        <w:t xml:space="preserve"> may consider Poisson regressions</w:t>
      </w:r>
      <w:r>
        <w:t xml:space="preserve"> because w</w:t>
      </w:r>
      <w:r w:rsidR="007F1482">
        <w:t>e are often interested in percent changes in outcomes due to the letter</w:t>
      </w:r>
      <w:r>
        <w:t>. T</w:t>
      </w:r>
      <w:r w:rsidR="007F1482">
        <w:t>he Poisson regression will let us produce these statistics even if the outcome is sometimes zero.</w:t>
      </w:r>
    </w:p>
    <w:p w14:paraId="0F593503" w14:textId="77777777" w:rsidR="007F1482" w:rsidRDefault="007F1482" w:rsidP="007F1482">
      <w:r>
        <w:t>The regressions will assume that the physician-level outcome takes the form:</w:t>
      </w:r>
    </w:p>
    <w:p w14:paraId="6C5378CC" w14:textId="77777777" w:rsidR="007F1482" w:rsidRPr="00954D7C" w:rsidRDefault="002A6BDB" w:rsidP="007F1482">
      <m:oMathPara>
        <m:oMath>
          <m:sSub>
            <m:sSubPr>
              <m:ctrlPr>
                <w:rPr>
                  <w:rFonts w:ascii="Cambria Math" w:hAnsi="Cambria Math"/>
                  <w:i/>
                </w:rPr>
              </m:ctrlPr>
            </m:sSubPr>
            <m:e>
              <m:r>
                <w:rPr>
                  <w:rFonts w:ascii="Cambria Math" w:hAnsi="Cambria Math"/>
                </w:rPr>
                <m:t>y</m:t>
              </m:r>
            </m:e>
            <m:sub>
              <m:r>
                <w:rPr>
                  <w:rFonts w:ascii="Cambria Math" w:hAnsi="Cambria Math"/>
                </w:rPr>
                <m:t>i</m:t>
              </m:r>
            </m:sub>
          </m:sSub>
          <m:r>
            <w:rPr>
              <w:rFonts w:ascii="Cambria Math" w:hAnsi="Cambria Math"/>
            </w:rPr>
            <m:t>=</m:t>
          </m:r>
          <m:r>
            <m:rPr>
              <m:sty m:val="p"/>
            </m:rPr>
            <w:rPr>
              <w:rFonts w:ascii="Cambria Math" w:hAnsi="Cambria Math"/>
            </w:rPr>
            <m:t>exp⁡</m:t>
          </m:r>
          <m:r>
            <w:rPr>
              <w:rFonts w:ascii="Cambria Math" w:hAnsi="Cambria Math"/>
            </w:rPr>
            <m:t>(α+β*</m:t>
          </m:r>
          <m:sSub>
            <m:sSubPr>
              <m:ctrlPr>
                <w:rPr>
                  <w:rFonts w:ascii="Cambria Math" w:hAnsi="Cambria Math"/>
                  <w:i/>
                </w:rPr>
              </m:ctrlPr>
            </m:sSubPr>
            <m:e>
              <m:r>
                <w:rPr>
                  <w:rFonts w:ascii="Cambria Math" w:hAnsi="Cambria Math"/>
                </w:rPr>
                <m:t>treat</m:t>
              </m:r>
            </m:e>
            <m:sub>
              <m:r>
                <w:rPr>
                  <w:rFonts w:ascii="Cambria Math" w:hAnsi="Cambria Math"/>
                </w:rPr>
                <m:t>i</m:t>
              </m:r>
            </m:sub>
          </m:sSub>
          <m:r>
            <w:rPr>
              <w:rFonts w:ascii="Cambria Math" w:hAnsi="Cambria Math"/>
            </w:rPr>
            <m:t>+</m:t>
          </m:r>
          <m:sSub>
            <m:sSubPr>
              <m:ctrlPr>
                <w:rPr>
                  <w:rFonts w:ascii="Cambria Math" w:hAnsi="Cambria Math"/>
                  <w:i/>
                </w:rPr>
              </m:ctrlPr>
            </m:sSubPr>
            <m:e>
              <m:r>
                <w:rPr>
                  <w:rFonts w:ascii="Cambria Math" w:hAnsi="Cambria Math"/>
                </w:rPr>
                <m:t>X</m:t>
              </m:r>
            </m:e>
            <m:sub>
              <m:r>
                <w:rPr>
                  <w:rFonts w:ascii="Cambria Math" w:hAnsi="Cambria Math"/>
                </w:rPr>
                <m:t>i</m:t>
              </m:r>
            </m:sub>
          </m:sSub>
          <m:r>
            <m:rPr>
              <m:sty m:val="p"/>
            </m:rPr>
            <w:rPr>
              <w:rFonts w:ascii="Cambria Math" w:hAnsi="Cambria Math"/>
            </w:rPr>
            <m:t>Γ)</m:t>
          </m:r>
          <m:r>
            <w:rPr>
              <w:rFonts w:ascii="Cambria Math" w:hAnsi="Cambria Math"/>
            </w:rPr>
            <m:t>+</m:t>
          </m:r>
          <m:sSub>
            <m:sSubPr>
              <m:ctrlPr>
                <w:rPr>
                  <w:rFonts w:ascii="Cambria Math" w:hAnsi="Cambria Math"/>
                  <w:i/>
                </w:rPr>
              </m:ctrlPr>
            </m:sSubPr>
            <m:e>
              <m:r>
                <w:rPr>
                  <w:rFonts w:ascii="Cambria Math" w:hAnsi="Cambria Math"/>
                </w:rPr>
                <m:t>e</m:t>
              </m:r>
            </m:e>
            <m:sub>
              <m:r>
                <w:rPr>
                  <w:rFonts w:ascii="Cambria Math" w:hAnsi="Cambria Math"/>
                </w:rPr>
                <m:t>i</m:t>
              </m:r>
            </m:sub>
          </m:sSub>
        </m:oMath>
      </m:oMathPara>
    </w:p>
    <w:p w14:paraId="594E199A" w14:textId="77777777" w:rsidR="007F1482" w:rsidRDefault="007F1482" w:rsidP="007F1482">
      <w:r>
        <w:t>And they will assume that the patient-level outcome takes the form:</w:t>
      </w:r>
    </w:p>
    <w:p w14:paraId="24390D93" w14:textId="77777777" w:rsidR="007F1482" w:rsidRDefault="002A6BDB" w:rsidP="007F1482">
      <m:oMathPara>
        <m:oMath>
          <m:sSub>
            <m:sSubPr>
              <m:ctrlPr>
                <w:rPr>
                  <w:rFonts w:ascii="Cambria Math" w:hAnsi="Cambria Math"/>
                  <w:i/>
                </w:rPr>
              </m:ctrlPr>
            </m:sSubPr>
            <m:e>
              <m:r>
                <w:rPr>
                  <w:rFonts w:ascii="Cambria Math" w:hAnsi="Cambria Math"/>
                </w:rPr>
                <m:t>y</m:t>
              </m:r>
            </m:e>
            <m:sub>
              <m:r>
                <w:rPr>
                  <w:rFonts w:ascii="Cambria Math" w:hAnsi="Cambria Math"/>
                </w:rPr>
                <m:t>j</m:t>
              </m:r>
            </m:sub>
          </m:sSub>
          <m:r>
            <w:rPr>
              <w:rFonts w:ascii="Cambria Math" w:hAnsi="Cambria Math"/>
            </w:rPr>
            <m:t>=</m:t>
          </m:r>
          <m:r>
            <m:rPr>
              <m:sty m:val="p"/>
            </m:rPr>
            <w:rPr>
              <w:rFonts w:ascii="Cambria Math" w:hAnsi="Cambria Math"/>
            </w:rPr>
            <m:t>exp⁡</m:t>
          </m:r>
          <m:r>
            <w:rPr>
              <w:rFonts w:ascii="Cambria Math" w:hAnsi="Cambria Math"/>
            </w:rPr>
            <m:t>(α+β*</m:t>
          </m:r>
          <m:sSub>
            <m:sSubPr>
              <m:ctrlPr>
                <w:rPr>
                  <w:rFonts w:ascii="Cambria Math" w:hAnsi="Cambria Math"/>
                  <w:i/>
                </w:rPr>
              </m:ctrlPr>
            </m:sSubPr>
            <m:e>
              <m:r>
                <w:rPr>
                  <w:rFonts w:ascii="Cambria Math" w:hAnsi="Cambria Math"/>
                </w:rPr>
                <m:t>treat</m:t>
              </m:r>
            </m:e>
            <m:sub>
              <m:r>
                <w:rPr>
                  <w:rFonts w:ascii="Cambria Math" w:hAnsi="Cambria Math"/>
                </w:rPr>
                <m:t>i</m:t>
              </m:r>
              <m:d>
                <m:dPr>
                  <m:ctrlPr>
                    <w:rPr>
                      <w:rFonts w:ascii="Cambria Math" w:hAnsi="Cambria Math"/>
                      <w:i/>
                    </w:rPr>
                  </m:ctrlPr>
                </m:dPr>
                <m:e>
                  <m:r>
                    <w:rPr>
                      <w:rFonts w:ascii="Cambria Math" w:hAnsi="Cambria Math"/>
                    </w:rPr>
                    <m:t>j</m:t>
                  </m:r>
                </m:e>
              </m:d>
            </m:sub>
          </m:sSub>
          <m:r>
            <w:rPr>
              <w:rFonts w:ascii="Cambria Math" w:hAnsi="Cambria Math"/>
            </w:rPr>
            <m:t>+</m:t>
          </m:r>
          <m:sSub>
            <m:sSubPr>
              <m:ctrlPr>
                <w:rPr>
                  <w:rFonts w:ascii="Cambria Math" w:hAnsi="Cambria Math"/>
                  <w:i/>
                </w:rPr>
              </m:ctrlPr>
            </m:sSubPr>
            <m:e>
              <m:r>
                <w:rPr>
                  <w:rFonts w:ascii="Cambria Math" w:hAnsi="Cambria Math"/>
                </w:rPr>
                <m:t>X</m:t>
              </m:r>
            </m:e>
            <m:sub>
              <m:r>
                <w:rPr>
                  <w:rFonts w:ascii="Cambria Math" w:hAnsi="Cambria Math"/>
                </w:rPr>
                <m:t>i</m:t>
              </m:r>
              <m:d>
                <m:dPr>
                  <m:ctrlPr>
                    <w:rPr>
                      <w:rFonts w:ascii="Cambria Math" w:hAnsi="Cambria Math"/>
                      <w:i/>
                    </w:rPr>
                  </m:ctrlPr>
                </m:dPr>
                <m:e>
                  <m:r>
                    <w:rPr>
                      <w:rFonts w:ascii="Cambria Math" w:hAnsi="Cambria Math"/>
                    </w:rPr>
                    <m:t>j</m:t>
                  </m:r>
                </m:e>
              </m:d>
            </m:sub>
          </m:sSub>
          <m:r>
            <m:rPr>
              <m:sty m:val="p"/>
            </m:rPr>
            <w:rPr>
              <w:rFonts w:ascii="Cambria Math" w:hAnsi="Cambria Math"/>
            </w:rPr>
            <m:t>Γ+</m:t>
          </m:r>
          <m:sSub>
            <m:sSubPr>
              <m:ctrlPr>
                <w:rPr>
                  <w:rFonts w:ascii="Cambria Math" w:hAnsi="Cambria Math"/>
                  <w:i/>
                </w:rPr>
              </m:ctrlPr>
            </m:sSubPr>
            <m:e>
              <m:r>
                <w:rPr>
                  <w:rFonts w:ascii="Cambria Math" w:hAnsi="Cambria Math"/>
                </w:rPr>
                <m:t>Z</m:t>
              </m:r>
            </m:e>
            <m:sub>
              <m:r>
                <w:rPr>
                  <w:rFonts w:ascii="Cambria Math" w:hAnsi="Cambria Math"/>
                </w:rPr>
                <m:t>j</m:t>
              </m:r>
            </m:sub>
          </m:sSub>
          <m:r>
            <m:rPr>
              <m:sty m:val="p"/>
            </m:rPr>
            <w:rPr>
              <w:rFonts w:ascii="Cambria Math" w:hAnsi="Cambria Math"/>
            </w:rPr>
            <m:t>Θ)</m:t>
          </m:r>
          <m:r>
            <w:rPr>
              <w:rFonts w:ascii="Cambria Math" w:hAnsi="Cambria Math"/>
            </w:rPr>
            <m:t>+</m:t>
          </m:r>
          <m:sSub>
            <m:sSubPr>
              <m:ctrlPr>
                <w:rPr>
                  <w:rFonts w:ascii="Cambria Math" w:hAnsi="Cambria Math"/>
                  <w:i/>
                </w:rPr>
              </m:ctrlPr>
            </m:sSubPr>
            <m:e>
              <m:r>
                <w:rPr>
                  <w:rFonts w:ascii="Cambria Math" w:hAnsi="Cambria Math"/>
                </w:rPr>
                <m:t>e</m:t>
              </m:r>
            </m:e>
            <m:sub>
              <m:r>
                <w:rPr>
                  <w:rFonts w:ascii="Cambria Math" w:hAnsi="Cambria Math"/>
                </w:rPr>
                <m:t>j</m:t>
              </m:r>
            </m:sub>
          </m:sSub>
        </m:oMath>
      </m:oMathPara>
    </w:p>
    <w:p w14:paraId="5CCA5D40" w14:textId="6E21BACF" w:rsidR="00F0417C" w:rsidRPr="00271830" w:rsidRDefault="007F1482" w:rsidP="002E795B">
      <w:r>
        <w:lastRenderedPageBreak/>
        <w:t xml:space="preserve">The coefficient of interest in the Poisson regressions is </w:t>
      </w:r>
      <m:oMath>
        <m:r>
          <w:rPr>
            <w:rFonts w:ascii="Cambria Math" w:hAnsi="Cambria Math"/>
          </w:rPr>
          <m:t>β</m:t>
        </m:r>
      </m:oMath>
      <w:r>
        <w:t xml:space="preserve">. This coefficient can be interpreted as the percent change in </w:t>
      </w:r>
      <w:r>
        <w:rPr>
          <w:i/>
        </w:rPr>
        <w:t xml:space="preserve">y </w:t>
      </w:r>
      <w:r>
        <w:t>due to the letter, analogous to an OLS regression with ln(</w:t>
      </w:r>
      <w:r>
        <w:rPr>
          <w:i/>
        </w:rPr>
        <w:t>y</w:t>
      </w:r>
      <w:r>
        <w:t>) on the left-hand side.</w:t>
      </w:r>
    </w:p>
    <w:sectPr w:rsidR="00F0417C" w:rsidRPr="00271830">
      <w:pgSz w:w="12240" w:h="15840"/>
      <w:pgMar w:top="1440" w:right="1800" w:bottom="1440" w:left="1800" w:header="720" w:footer="720" w:gutter="0"/>
      <w:cols w:space="720"/>
      <w:docGrid w:linePitch="360"/>
    </w:sectPr>
  </w:body>
</w:document>
</file>

<file path=word/comments.xml><?xml version="1.0" encoding="utf-8"?>
<w:comment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7" w:author="Adam Sacarny" w:date="2015-09-17T16:14:00Z" w:initials="AS">
    <w:p w14:paraId="08873FB6" w14:textId="7221FE1B" w:rsidR="00007906" w:rsidRDefault="00007906">
      <w:pPr>
        <w:pStyle w:val="CommentText"/>
      </w:pPr>
      <w:r>
        <w:rPr>
          <w:rStyle w:val="CommentReference"/>
        </w:rPr>
        <w:annotationRef/>
      </w:r>
      <w:r>
        <w:t>Drop this?</w:t>
      </w:r>
    </w:p>
  </w:comment>
</w:comments>
</file>

<file path=word/commentsExtended.xml><?xml version="1.0" encoding="utf-8"?>
<w15:commentsEx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08873FB6" w15:done="0"/>
</w15:commentsEx>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44C5241" w14:textId="77777777" w:rsidR="002A6BDB" w:rsidRDefault="002A6BDB" w:rsidP="00841584">
      <w:pPr>
        <w:spacing w:after="0" w:line="240" w:lineRule="auto"/>
      </w:pPr>
      <w:r>
        <w:separator/>
      </w:r>
    </w:p>
  </w:endnote>
  <w:endnote w:type="continuationSeparator" w:id="0">
    <w:p w14:paraId="51A6C2A9" w14:textId="77777777" w:rsidR="002A6BDB" w:rsidRDefault="002A6BDB" w:rsidP="008415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20005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80"/>
    <w:family w:val="auto"/>
    <w:pitch w:val="variable"/>
    <w:sig w:usb0="E00002FF" w:usb1="6AC7FDFB" w:usb2="08000012" w:usb3="00000000" w:csb0="0002009F" w:csb1="00000000"/>
  </w:font>
  <w:font w:name="Calibri">
    <w:panose1 w:val="020F0502020204030204"/>
    <w:charset w:val="00"/>
    <w:family w:val="auto"/>
    <w:pitch w:val="variable"/>
    <w:sig w:usb0="E00002FF" w:usb1="4000ACFF" w:usb2="00000001" w:usb3="00000000" w:csb0="0000019F" w:csb1="00000000"/>
  </w:font>
  <w:font w:name="ＭＳ ゴシック">
    <w:charset w:val="80"/>
    <w:family w:val="auto"/>
    <w:pitch w:val="variable"/>
    <w:sig w:usb0="E00002FF" w:usb1="6AC7FDFB" w:usb2="08000012" w:usb3="00000000" w:csb0="0002009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Times">
    <w:panose1 w:val="00000000000000000000"/>
    <w:charset w:val="4D"/>
    <w:family w:val="roman"/>
    <w:notTrueType/>
    <w:pitch w:val="variable"/>
    <w:sig w:usb0="00000003" w:usb1="00000000" w:usb2="00000000" w:usb3="00000000" w:csb0="00000001" w:csb1="00000000"/>
  </w:font>
  <w:font w:name="Palatino">
    <w:panose1 w:val="00000000000000000000"/>
    <w:charset w:val="00"/>
    <w:family w:val="auto"/>
    <w:pitch w:val="variable"/>
    <w:sig w:usb0="A00002FF" w:usb1="7800205A" w:usb2="14600000" w:usb3="00000000" w:csb0="00000193" w:csb1="00000000"/>
  </w:font>
  <w:font w:name="Calibri Light">
    <w:panose1 w:val="020F0302020204030204"/>
    <w:charset w:val="00"/>
    <w:family w:val="auto"/>
    <w:pitch w:val="variable"/>
    <w:sig w:usb0="A00002EF" w:usb1="4000207B" w:usb2="00000000" w:usb3="00000000" w:csb0="0000019F" w:csb1="00000000"/>
  </w:font>
  <w:font w:name="Cambria Math">
    <w:panose1 w:val="02040503050406030204"/>
    <w:charset w:val="00"/>
    <w:family w:val="auto"/>
    <w:pitch w:val="variable"/>
    <w:sig w:usb0="E00002FF" w:usb1="420024FF"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F134F36" w14:textId="77777777" w:rsidR="002A6BDB" w:rsidRDefault="002A6BDB" w:rsidP="00841584">
      <w:pPr>
        <w:spacing w:after="0" w:line="240" w:lineRule="auto"/>
      </w:pPr>
      <w:r>
        <w:separator/>
      </w:r>
    </w:p>
  </w:footnote>
  <w:footnote w:type="continuationSeparator" w:id="0">
    <w:p w14:paraId="12081BB4" w14:textId="77777777" w:rsidR="002A6BDB" w:rsidRDefault="002A6BDB" w:rsidP="00841584">
      <w:pPr>
        <w:spacing w:after="0" w:line="240" w:lineRule="auto"/>
      </w:pPr>
      <w:r>
        <w:continuationSeparator/>
      </w:r>
    </w:p>
  </w:footnote>
  <w:footnote w:id="1">
    <w:p w14:paraId="07F4062F" w14:textId="4D27EC43" w:rsidR="003E5A55" w:rsidRDefault="003E5A55">
      <w:pPr>
        <w:pStyle w:val="FootnoteText"/>
      </w:pPr>
      <w:r>
        <w:rPr>
          <w:rStyle w:val="FootnoteReference"/>
        </w:rPr>
        <w:footnoteRef/>
      </w:r>
      <w:r>
        <w:t xml:space="preserve"> In this document, when we refer to Seroquel we also include Seroquel XR and generic quetiapine.</w:t>
      </w:r>
    </w:p>
  </w:footnote>
  <w:footnote w:id="2">
    <w:p w14:paraId="5B6A2AB2" w14:textId="723CE53D" w:rsidR="002840A5" w:rsidRDefault="002840A5">
      <w:pPr>
        <w:pStyle w:val="FootnoteText"/>
      </w:pPr>
      <w:r>
        <w:rPr>
          <w:rStyle w:val="FootnoteReference"/>
        </w:rPr>
        <w:footnoteRef/>
      </w:r>
      <w:r>
        <w:t xml:space="preserve"> </w:t>
      </w:r>
      <w:r w:rsidR="003D3A2F">
        <w:t>The 2015</w:t>
      </w:r>
      <w:r>
        <w:t xml:space="preserve"> data </w:t>
      </w:r>
      <w:r w:rsidR="00422477">
        <w:t>was presented as one unsorted table depicting all prescribers in the study;</w:t>
      </w:r>
      <w:r>
        <w:t xml:space="preserve"> </w:t>
      </w:r>
      <w:r w:rsidR="003D3A2F">
        <w:t>the researchers have not</w:t>
      </w:r>
      <w:r>
        <w:t xml:space="preserve"> compared</w:t>
      </w:r>
      <w:r w:rsidR="00422477">
        <w:t xml:space="preserve"> any sample moments of the data</w:t>
      </w:r>
      <w:r>
        <w:t xml:space="preserve"> between treatment and control groups.</w:t>
      </w:r>
    </w:p>
  </w:footnote>
  <w:footnote w:id="3">
    <w:p w14:paraId="7D9F202E" w14:textId="62B2D3A2" w:rsidR="00007906" w:rsidRDefault="00007906">
      <w:pPr>
        <w:pStyle w:val="FootnoteText"/>
      </w:pPr>
      <w:r>
        <w:rPr>
          <w:rStyle w:val="FootnoteReference"/>
        </w:rPr>
        <w:footnoteRef/>
      </w:r>
      <w:r>
        <w:t xml:space="preserve"> See e.g. </w:t>
      </w:r>
      <w:r w:rsidRPr="00007906">
        <w:t>U.S. Government Accountability Office. Antipsychotic Drug Use: HHS Has Initiatives to Reduce Use among Older Adults in Nursing Homes, but Should Expand Efforts to Other Settings. 201</w:t>
      </w:r>
      <w:r>
        <w:t>5. Technical Report GAO-15-211.</w:t>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C7788F"/>
    <w:multiLevelType w:val="hybridMultilevel"/>
    <w:tmpl w:val="BD7007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2E424B8"/>
    <w:multiLevelType w:val="multilevel"/>
    <w:tmpl w:val="DF5451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8125639"/>
    <w:multiLevelType w:val="hybridMultilevel"/>
    <w:tmpl w:val="11D45F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8F72CAB"/>
    <w:multiLevelType w:val="hybridMultilevel"/>
    <w:tmpl w:val="D2F0E4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C3629BC"/>
    <w:multiLevelType w:val="hybridMultilevel"/>
    <w:tmpl w:val="BBAC52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C595D2E"/>
    <w:multiLevelType w:val="hybridMultilevel"/>
    <w:tmpl w:val="EEA493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ECB3D60"/>
    <w:multiLevelType w:val="hybridMultilevel"/>
    <w:tmpl w:val="87707488"/>
    <w:lvl w:ilvl="0" w:tplc="04090001">
      <w:start w:val="1"/>
      <w:numFmt w:val="bullet"/>
      <w:lvlText w:val=""/>
      <w:lvlJc w:val="left"/>
      <w:pPr>
        <w:ind w:left="778" w:hanging="360"/>
      </w:pPr>
      <w:rPr>
        <w:rFonts w:ascii="Symbol" w:hAnsi="Symbol" w:hint="default"/>
      </w:rPr>
    </w:lvl>
    <w:lvl w:ilvl="1" w:tplc="04090003" w:tentative="1">
      <w:start w:val="1"/>
      <w:numFmt w:val="bullet"/>
      <w:lvlText w:val="o"/>
      <w:lvlJc w:val="left"/>
      <w:pPr>
        <w:ind w:left="1498" w:hanging="360"/>
      </w:pPr>
      <w:rPr>
        <w:rFonts w:ascii="Courier New" w:hAnsi="Courier New" w:hint="default"/>
      </w:rPr>
    </w:lvl>
    <w:lvl w:ilvl="2" w:tplc="04090005" w:tentative="1">
      <w:start w:val="1"/>
      <w:numFmt w:val="bullet"/>
      <w:lvlText w:val=""/>
      <w:lvlJc w:val="left"/>
      <w:pPr>
        <w:ind w:left="2218" w:hanging="360"/>
      </w:pPr>
      <w:rPr>
        <w:rFonts w:ascii="Wingdings" w:hAnsi="Wingdings" w:hint="default"/>
      </w:rPr>
    </w:lvl>
    <w:lvl w:ilvl="3" w:tplc="04090001" w:tentative="1">
      <w:start w:val="1"/>
      <w:numFmt w:val="bullet"/>
      <w:lvlText w:val=""/>
      <w:lvlJc w:val="left"/>
      <w:pPr>
        <w:ind w:left="2938" w:hanging="360"/>
      </w:pPr>
      <w:rPr>
        <w:rFonts w:ascii="Symbol" w:hAnsi="Symbol" w:hint="default"/>
      </w:rPr>
    </w:lvl>
    <w:lvl w:ilvl="4" w:tplc="04090003" w:tentative="1">
      <w:start w:val="1"/>
      <w:numFmt w:val="bullet"/>
      <w:lvlText w:val="o"/>
      <w:lvlJc w:val="left"/>
      <w:pPr>
        <w:ind w:left="3658" w:hanging="360"/>
      </w:pPr>
      <w:rPr>
        <w:rFonts w:ascii="Courier New" w:hAnsi="Courier New" w:hint="default"/>
      </w:rPr>
    </w:lvl>
    <w:lvl w:ilvl="5" w:tplc="04090005" w:tentative="1">
      <w:start w:val="1"/>
      <w:numFmt w:val="bullet"/>
      <w:lvlText w:val=""/>
      <w:lvlJc w:val="left"/>
      <w:pPr>
        <w:ind w:left="4378" w:hanging="360"/>
      </w:pPr>
      <w:rPr>
        <w:rFonts w:ascii="Wingdings" w:hAnsi="Wingdings" w:hint="default"/>
      </w:rPr>
    </w:lvl>
    <w:lvl w:ilvl="6" w:tplc="04090001" w:tentative="1">
      <w:start w:val="1"/>
      <w:numFmt w:val="bullet"/>
      <w:lvlText w:val=""/>
      <w:lvlJc w:val="left"/>
      <w:pPr>
        <w:ind w:left="5098" w:hanging="360"/>
      </w:pPr>
      <w:rPr>
        <w:rFonts w:ascii="Symbol" w:hAnsi="Symbol" w:hint="default"/>
      </w:rPr>
    </w:lvl>
    <w:lvl w:ilvl="7" w:tplc="04090003" w:tentative="1">
      <w:start w:val="1"/>
      <w:numFmt w:val="bullet"/>
      <w:lvlText w:val="o"/>
      <w:lvlJc w:val="left"/>
      <w:pPr>
        <w:ind w:left="5818" w:hanging="360"/>
      </w:pPr>
      <w:rPr>
        <w:rFonts w:ascii="Courier New" w:hAnsi="Courier New" w:hint="default"/>
      </w:rPr>
    </w:lvl>
    <w:lvl w:ilvl="8" w:tplc="04090005" w:tentative="1">
      <w:start w:val="1"/>
      <w:numFmt w:val="bullet"/>
      <w:lvlText w:val=""/>
      <w:lvlJc w:val="left"/>
      <w:pPr>
        <w:ind w:left="6538" w:hanging="360"/>
      </w:pPr>
      <w:rPr>
        <w:rFonts w:ascii="Wingdings" w:hAnsi="Wingdings" w:hint="default"/>
      </w:rPr>
    </w:lvl>
  </w:abstractNum>
  <w:abstractNum w:abstractNumId="7">
    <w:nsid w:val="0F096D05"/>
    <w:multiLevelType w:val="hybridMultilevel"/>
    <w:tmpl w:val="71B248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06222B7"/>
    <w:multiLevelType w:val="hybridMultilevel"/>
    <w:tmpl w:val="21809D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7E42D2F"/>
    <w:multiLevelType w:val="multilevel"/>
    <w:tmpl w:val="5B46FC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82C16B8"/>
    <w:multiLevelType w:val="hybridMultilevel"/>
    <w:tmpl w:val="823A58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B35726C"/>
    <w:multiLevelType w:val="hybridMultilevel"/>
    <w:tmpl w:val="CDFE33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C8B3068"/>
    <w:multiLevelType w:val="multilevel"/>
    <w:tmpl w:val="811212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1E3C1D99"/>
    <w:multiLevelType w:val="multilevel"/>
    <w:tmpl w:val="38E662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2E1468E7"/>
    <w:multiLevelType w:val="hybridMultilevel"/>
    <w:tmpl w:val="4508D5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E570D68"/>
    <w:multiLevelType w:val="hybridMultilevel"/>
    <w:tmpl w:val="F6F49C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19320FD"/>
    <w:multiLevelType w:val="hybridMultilevel"/>
    <w:tmpl w:val="A342CE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3FD3299"/>
    <w:multiLevelType w:val="hybridMultilevel"/>
    <w:tmpl w:val="A0DA40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49A315A"/>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9">
    <w:nsid w:val="396A4615"/>
    <w:multiLevelType w:val="hybridMultilevel"/>
    <w:tmpl w:val="9A202B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AB60770"/>
    <w:multiLevelType w:val="hybridMultilevel"/>
    <w:tmpl w:val="119AC3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D785F1A"/>
    <w:multiLevelType w:val="hybridMultilevel"/>
    <w:tmpl w:val="533A61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E673AFE"/>
    <w:multiLevelType w:val="hybridMultilevel"/>
    <w:tmpl w:val="D0C49F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0AC4BC5"/>
    <w:multiLevelType w:val="hybridMultilevel"/>
    <w:tmpl w:val="0F70B2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6821D17"/>
    <w:multiLevelType w:val="hybridMultilevel"/>
    <w:tmpl w:val="76E251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75D7926"/>
    <w:multiLevelType w:val="hybridMultilevel"/>
    <w:tmpl w:val="020A97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764148F"/>
    <w:multiLevelType w:val="hybridMultilevel"/>
    <w:tmpl w:val="ADA2A5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CA4065A"/>
    <w:multiLevelType w:val="hybridMultilevel"/>
    <w:tmpl w:val="BCE4E7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D6E2EF3"/>
    <w:multiLevelType w:val="hybridMultilevel"/>
    <w:tmpl w:val="B22259A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500B7AA4"/>
    <w:multiLevelType w:val="hybridMultilevel"/>
    <w:tmpl w:val="7E526E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51BC647B"/>
    <w:multiLevelType w:val="hybridMultilevel"/>
    <w:tmpl w:val="2C24D572"/>
    <w:lvl w:ilvl="0" w:tplc="2982EA1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53732E93"/>
    <w:multiLevelType w:val="hybridMultilevel"/>
    <w:tmpl w:val="CED443B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2">
    <w:nsid w:val="58783EA1"/>
    <w:multiLevelType w:val="hybridMultilevel"/>
    <w:tmpl w:val="B8620D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D816C42"/>
    <w:multiLevelType w:val="hybridMultilevel"/>
    <w:tmpl w:val="88E421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DE67CF0"/>
    <w:multiLevelType w:val="hybridMultilevel"/>
    <w:tmpl w:val="CB1C99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616955CF"/>
    <w:multiLevelType w:val="hybridMultilevel"/>
    <w:tmpl w:val="3B98A8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425319C"/>
    <w:multiLevelType w:val="hybridMultilevel"/>
    <w:tmpl w:val="C322985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46C3F1E"/>
    <w:multiLevelType w:val="multilevel"/>
    <w:tmpl w:val="55E492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65DE3DAB"/>
    <w:multiLevelType w:val="multilevel"/>
    <w:tmpl w:val="FCCEF9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66BA28FF"/>
    <w:multiLevelType w:val="hybridMultilevel"/>
    <w:tmpl w:val="126893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76B3BE9"/>
    <w:multiLevelType w:val="hybridMultilevel"/>
    <w:tmpl w:val="125CA8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EB72A60"/>
    <w:multiLevelType w:val="multilevel"/>
    <w:tmpl w:val="BD2A8E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6FEE4E9F"/>
    <w:multiLevelType w:val="hybridMultilevel"/>
    <w:tmpl w:val="F9BC3F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724F1185"/>
    <w:multiLevelType w:val="hybridMultilevel"/>
    <w:tmpl w:val="7EEA5A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7280791A"/>
    <w:multiLevelType w:val="hybridMultilevel"/>
    <w:tmpl w:val="48EA97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74385100"/>
    <w:multiLevelType w:val="hybridMultilevel"/>
    <w:tmpl w:val="64800C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721776F"/>
    <w:multiLevelType w:val="hybridMultilevel"/>
    <w:tmpl w:val="653897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7E462A17"/>
    <w:multiLevelType w:val="hybridMultilevel"/>
    <w:tmpl w:val="E4A66B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3"/>
  </w:num>
  <w:num w:numId="2">
    <w:abstractNumId w:val="12"/>
  </w:num>
  <w:num w:numId="3">
    <w:abstractNumId w:val="9"/>
  </w:num>
  <w:num w:numId="4">
    <w:abstractNumId w:val="41"/>
  </w:num>
  <w:num w:numId="5">
    <w:abstractNumId w:val="38"/>
  </w:num>
  <w:num w:numId="6">
    <w:abstractNumId w:val="37"/>
  </w:num>
  <w:num w:numId="7">
    <w:abstractNumId w:val="1"/>
  </w:num>
  <w:num w:numId="8">
    <w:abstractNumId w:val="18"/>
  </w:num>
  <w:num w:numId="9">
    <w:abstractNumId w:val="21"/>
  </w:num>
  <w:num w:numId="10">
    <w:abstractNumId w:val="34"/>
  </w:num>
  <w:num w:numId="11">
    <w:abstractNumId w:val="25"/>
  </w:num>
  <w:num w:numId="12">
    <w:abstractNumId w:val="23"/>
  </w:num>
  <w:num w:numId="13">
    <w:abstractNumId w:val="42"/>
  </w:num>
  <w:num w:numId="14">
    <w:abstractNumId w:val="27"/>
  </w:num>
  <w:num w:numId="15">
    <w:abstractNumId w:val="47"/>
  </w:num>
  <w:num w:numId="16">
    <w:abstractNumId w:val="6"/>
  </w:num>
  <w:num w:numId="1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3"/>
  </w:num>
  <w:num w:numId="19">
    <w:abstractNumId w:val="31"/>
  </w:num>
  <w:num w:numId="20">
    <w:abstractNumId w:val="8"/>
  </w:num>
  <w:num w:numId="21">
    <w:abstractNumId w:val="35"/>
  </w:num>
  <w:num w:numId="22">
    <w:abstractNumId w:val="45"/>
  </w:num>
  <w:num w:numId="23">
    <w:abstractNumId w:val="46"/>
  </w:num>
  <w:num w:numId="24">
    <w:abstractNumId w:val="22"/>
  </w:num>
  <w:num w:numId="25">
    <w:abstractNumId w:val="11"/>
  </w:num>
  <w:num w:numId="26">
    <w:abstractNumId w:val="15"/>
  </w:num>
  <w:num w:numId="27">
    <w:abstractNumId w:val="14"/>
  </w:num>
  <w:num w:numId="28">
    <w:abstractNumId w:val="20"/>
  </w:num>
  <w:num w:numId="29">
    <w:abstractNumId w:val="10"/>
  </w:num>
  <w:num w:numId="30">
    <w:abstractNumId w:val="24"/>
  </w:num>
  <w:num w:numId="31">
    <w:abstractNumId w:val="2"/>
  </w:num>
  <w:num w:numId="32">
    <w:abstractNumId w:val="28"/>
  </w:num>
  <w:num w:numId="33">
    <w:abstractNumId w:val="19"/>
  </w:num>
  <w:num w:numId="34">
    <w:abstractNumId w:val="26"/>
  </w:num>
  <w:num w:numId="35">
    <w:abstractNumId w:val="16"/>
  </w:num>
  <w:num w:numId="36">
    <w:abstractNumId w:val="4"/>
  </w:num>
  <w:num w:numId="37">
    <w:abstractNumId w:val="29"/>
  </w:num>
  <w:num w:numId="38">
    <w:abstractNumId w:val="3"/>
  </w:num>
  <w:num w:numId="39">
    <w:abstractNumId w:val="0"/>
  </w:num>
  <w:num w:numId="40">
    <w:abstractNumId w:val="17"/>
  </w:num>
  <w:num w:numId="41">
    <w:abstractNumId w:val="7"/>
  </w:num>
  <w:num w:numId="42">
    <w:abstractNumId w:val="36"/>
  </w:num>
  <w:num w:numId="43">
    <w:abstractNumId w:val="5"/>
  </w:num>
  <w:num w:numId="44">
    <w:abstractNumId w:val="30"/>
  </w:num>
  <w:num w:numId="45">
    <w:abstractNumId w:val="40"/>
  </w:num>
  <w:num w:numId="46">
    <w:abstractNumId w:val="43"/>
  </w:num>
  <w:num w:numId="47">
    <w:abstractNumId w:val="32"/>
  </w:num>
  <w:num w:numId="48">
    <w:abstractNumId w:val="44"/>
  </w:num>
  <w:num w:numId="49">
    <w:abstractNumId w:val="39"/>
  </w:num>
</w:numbering>
</file>

<file path=word/people.xml><?xml version="1.0" encoding="utf-8"?>
<w15:people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Adam Sacarny">
    <w15:presenceInfo w15:providerId="Windows Live" w15:userId="eb22b319aea22a2c"/>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6"/>
  <w:embedSystemFonts/>
  <w:proofState w:spelling="clean" w:grammar="clean"/>
  <w:revisionView w:comments="0" w:insDel="0" w:formatting="0"/>
  <w:defaultTabStop w:val="720"/>
  <w:displayHorizontalDrawingGridEvery w:val="0"/>
  <w:displayVerticalDrawingGridEvery w:val="0"/>
  <w:doNotUseMarginsForDrawingGridOrigin/>
  <w:noPunctuationKerning/>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66CA"/>
    <w:rsid w:val="00007906"/>
    <w:rsid w:val="000154D0"/>
    <w:rsid w:val="000532B7"/>
    <w:rsid w:val="000836BF"/>
    <w:rsid w:val="000B54CE"/>
    <w:rsid w:val="000C2202"/>
    <w:rsid w:val="000C221E"/>
    <w:rsid w:val="000D0D3A"/>
    <w:rsid w:val="000D33D0"/>
    <w:rsid w:val="000E76EE"/>
    <w:rsid w:val="00111DE6"/>
    <w:rsid w:val="00112D92"/>
    <w:rsid w:val="001163B0"/>
    <w:rsid w:val="00125217"/>
    <w:rsid w:val="00132419"/>
    <w:rsid w:val="00135248"/>
    <w:rsid w:val="001353AA"/>
    <w:rsid w:val="00150BB4"/>
    <w:rsid w:val="00160552"/>
    <w:rsid w:val="00161FDE"/>
    <w:rsid w:val="00164BEB"/>
    <w:rsid w:val="001663A9"/>
    <w:rsid w:val="00184495"/>
    <w:rsid w:val="00185902"/>
    <w:rsid w:val="001943C7"/>
    <w:rsid w:val="001A2E02"/>
    <w:rsid w:val="001A3952"/>
    <w:rsid w:val="001A5D8A"/>
    <w:rsid w:val="001B1F5C"/>
    <w:rsid w:val="001C47B6"/>
    <w:rsid w:val="001D1C3A"/>
    <w:rsid w:val="001E248F"/>
    <w:rsid w:val="001E5DAB"/>
    <w:rsid w:val="001F742D"/>
    <w:rsid w:val="00204148"/>
    <w:rsid w:val="002116E4"/>
    <w:rsid w:val="00225BA9"/>
    <w:rsid w:val="002269D7"/>
    <w:rsid w:val="0023366F"/>
    <w:rsid w:val="00243EA4"/>
    <w:rsid w:val="00255265"/>
    <w:rsid w:val="00271830"/>
    <w:rsid w:val="00272013"/>
    <w:rsid w:val="002778BC"/>
    <w:rsid w:val="002840A5"/>
    <w:rsid w:val="00285734"/>
    <w:rsid w:val="002A529A"/>
    <w:rsid w:val="002A6BDB"/>
    <w:rsid w:val="002B28B4"/>
    <w:rsid w:val="002B5A9A"/>
    <w:rsid w:val="002B72F6"/>
    <w:rsid w:val="002D77F3"/>
    <w:rsid w:val="002E795B"/>
    <w:rsid w:val="00307D7D"/>
    <w:rsid w:val="003335C2"/>
    <w:rsid w:val="003456CA"/>
    <w:rsid w:val="00347EC9"/>
    <w:rsid w:val="00351E9F"/>
    <w:rsid w:val="003866CA"/>
    <w:rsid w:val="00391A26"/>
    <w:rsid w:val="00396818"/>
    <w:rsid w:val="003A20B4"/>
    <w:rsid w:val="003A672C"/>
    <w:rsid w:val="003B3F4C"/>
    <w:rsid w:val="003B695C"/>
    <w:rsid w:val="003C0BF5"/>
    <w:rsid w:val="003D1DDD"/>
    <w:rsid w:val="003D3A2F"/>
    <w:rsid w:val="003D4E2A"/>
    <w:rsid w:val="003E5A55"/>
    <w:rsid w:val="003F1489"/>
    <w:rsid w:val="003F2996"/>
    <w:rsid w:val="00406206"/>
    <w:rsid w:val="00422477"/>
    <w:rsid w:val="004251B0"/>
    <w:rsid w:val="00435ABE"/>
    <w:rsid w:val="0044361E"/>
    <w:rsid w:val="00451425"/>
    <w:rsid w:val="00463D67"/>
    <w:rsid w:val="00464359"/>
    <w:rsid w:val="00483371"/>
    <w:rsid w:val="004916A5"/>
    <w:rsid w:val="004B3421"/>
    <w:rsid w:val="004C0D46"/>
    <w:rsid w:val="004D3B7B"/>
    <w:rsid w:val="00504E99"/>
    <w:rsid w:val="00512D1E"/>
    <w:rsid w:val="00526943"/>
    <w:rsid w:val="00542DCD"/>
    <w:rsid w:val="005464CC"/>
    <w:rsid w:val="005662DA"/>
    <w:rsid w:val="00570070"/>
    <w:rsid w:val="00572EE9"/>
    <w:rsid w:val="0058620F"/>
    <w:rsid w:val="00593229"/>
    <w:rsid w:val="00596E09"/>
    <w:rsid w:val="00597AEA"/>
    <w:rsid w:val="005A26DE"/>
    <w:rsid w:val="005B263E"/>
    <w:rsid w:val="005B4B2B"/>
    <w:rsid w:val="005B692C"/>
    <w:rsid w:val="005C22EA"/>
    <w:rsid w:val="005C7E42"/>
    <w:rsid w:val="005F6D8A"/>
    <w:rsid w:val="00607A1B"/>
    <w:rsid w:val="00611DDC"/>
    <w:rsid w:val="00617AD3"/>
    <w:rsid w:val="00624B24"/>
    <w:rsid w:val="00640265"/>
    <w:rsid w:val="006531BF"/>
    <w:rsid w:val="00671875"/>
    <w:rsid w:val="00691E6D"/>
    <w:rsid w:val="006A332D"/>
    <w:rsid w:val="006B0430"/>
    <w:rsid w:val="006C38A3"/>
    <w:rsid w:val="006C5E9F"/>
    <w:rsid w:val="006E4AA2"/>
    <w:rsid w:val="006F23E6"/>
    <w:rsid w:val="006F4D38"/>
    <w:rsid w:val="00704F17"/>
    <w:rsid w:val="00707D02"/>
    <w:rsid w:val="00737B07"/>
    <w:rsid w:val="007479F0"/>
    <w:rsid w:val="00750E72"/>
    <w:rsid w:val="007525E8"/>
    <w:rsid w:val="00763DE3"/>
    <w:rsid w:val="00782C2C"/>
    <w:rsid w:val="00791328"/>
    <w:rsid w:val="007A48C6"/>
    <w:rsid w:val="007B24B5"/>
    <w:rsid w:val="007C45CD"/>
    <w:rsid w:val="007D018B"/>
    <w:rsid w:val="007D089A"/>
    <w:rsid w:val="007F1482"/>
    <w:rsid w:val="00801D07"/>
    <w:rsid w:val="00804488"/>
    <w:rsid w:val="0080580B"/>
    <w:rsid w:val="008277F5"/>
    <w:rsid w:val="0083058F"/>
    <w:rsid w:val="00836752"/>
    <w:rsid w:val="00841584"/>
    <w:rsid w:val="00851E29"/>
    <w:rsid w:val="008A5734"/>
    <w:rsid w:val="008B7318"/>
    <w:rsid w:val="008D27E2"/>
    <w:rsid w:val="008E5224"/>
    <w:rsid w:val="008F3C38"/>
    <w:rsid w:val="00915E6E"/>
    <w:rsid w:val="009251C8"/>
    <w:rsid w:val="009415D9"/>
    <w:rsid w:val="00941E4D"/>
    <w:rsid w:val="00956436"/>
    <w:rsid w:val="00987D8E"/>
    <w:rsid w:val="009937EC"/>
    <w:rsid w:val="009939F3"/>
    <w:rsid w:val="009A37E8"/>
    <w:rsid w:val="009E05C2"/>
    <w:rsid w:val="009F7C32"/>
    <w:rsid w:val="00A0165D"/>
    <w:rsid w:val="00A13A6E"/>
    <w:rsid w:val="00A14C46"/>
    <w:rsid w:val="00A21916"/>
    <w:rsid w:val="00A25429"/>
    <w:rsid w:val="00A61277"/>
    <w:rsid w:val="00A7109B"/>
    <w:rsid w:val="00A80A91"/>
    <w:rsid w:val="00A907CA"/>
    <w:rsid w:val="00A9170A"/>
    <w:rsid w:val="00AA3D14"/>
    <w:rsid w:val="00AA68DF"/>
    <w:rsid w:val="00AB73C1"/>
    <w:rsid w:val="00AC6A26"/>
    <w:rsid w:val="00B160B8"/>
    <w:rsid w:val="00B5322B"/>
    <w:rsid w:val="00B57EBD"/>
    <w:rsid w:val="00B66DA9"/>
    <w:rsid w:val="00B708D2"/>
    <w:rsid w:val="00B8608E"/>
    <w:rsid w:val="00BB5DFB"/>
    <w:rsid w:val="00BB7CF2"/>
    <w:rsid w:val="00BC09DB"/>
    <w:rsid w:val="00BC13FE"/>
    <w:rsid w:val="00BD202A"/>
    <w:rsid w:val="00BE7041"/>
    <w:rsid w:val="00C03926"/>
    <w:rsid w:val="00C04C7D"/>
    <w:rsid w:val="00C07006"/>
    <w:rsid w:val="00C134EC"/>
    <w:rsid w:val="00C21365"/>
    <w:rsid w:val="00C2233A"/>
    <w:rsid w:val="00C2328F"/>
    <w:rsid w:val="00C3176B"/>
    <w:rsid w:val="00C61D10"/>
    <w:rsid w:val="00CA14BA"/>
    <w:rsid w:val="00CA1F3E"/>
    <w:rsid w:val="00CA6F35"/>
    <w:rsid w:val="00CB2BF1"/>
    <w:rsid w:val="00CB4B1E"/>
    <w:rsid w:val="00CC7112"/>
    <w:rsid w:val="00CE5FE0"/>
    <w:rsid w:val="00D05282"/>
    <w:rsid w:val="00D402B6"/>
    <w:rsid w:val="00D456FE"/>
    <w:rsid w:val="00D747C6"/>
    <w:rsid w:val="00D75292"/>
    <w:rsid w:val="00D831A6"/>
    <w:rsid w:val="00DA5D16"/>
    <w:rsid w:val="00DE47BD"/>
    <w:rsid w:val="00E01CA5"/>
    <w:rsid w:val="00E06811"/>
    <w:rsid w:val="00E07156"/>
    <w:rsid w:val="00E23631"/>
    <w:rsid w:val="00E315F9"/>
    <w:rsid w:val="00E37304"/>
    <w:rsid w:val="00E37783"/>
    <w:rsid w:val="00E631D6"/>
    <w:rsid w:val="00E63AF5"/>
    <w:rsid w:val="00E71C74"/>
    <w:rsid w:val="00E72CC6"/>
    <w:rsid w:val="00E73D9B"/>
    <w:rsid w:val="00E756CD"/>
    <w:rsid w:val="00E82C8D"/>
    <w:rsid w:val="00EA7FA7"/>
    <w:rsid w:val="00EB3E96"/>
    <w:rsid w:val="00EB538F"/>
    <w:rsid w:val="00EB7369"/>
    <w:rsid w:val="00EF7250"/>
    <w:rsid w:val="00F0417C"/>
    <w:rsid w:val="00F045F1"/>
    <w:rsid w:val="00F05D12"/>
    <w:rsid w:val="00F15C51"/>
    <w:rsid w:val="00F211D5"/>
    <w:rsid w:val="00F26A4D"/>
    <w:rsid w:val="00F36D1E"/>
    <w:rsid w:val="00F50ACD"/>
    <w:rsid w:val="00F565F7"/>
    <w:rsid w:val="00F61E2C"/>
    <w:rsid w:val="00F64161"/>
    <w:rsid w:val="00F677AC"/>
    <w:rsid w:val="00F75195"/>
    <w:rsid w:val="00F76548"/>
    <w:rsid w:val="00F77559"/>
    <w:rsid w:val="00F85597"/>
    <w:rsid w:val="00F957A2"/>
    <w:rsid w:val="00FA74AB"/>
    <w:rsid w:val="00FB7D23"/>
    <w:rsid w:val="00FC1A3D"/>
    <w:rsid w:val="00FE1F06"/>
    <w:rsid w:val="00FE445D"/>
    <w:rsid w:val="00FF391F"/>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oNotEmbedSmartTags/>
  <w:decimalSymbol w:val="."/>
  <w:listSeparator w:val=","/>
  <w14:docId w14:val="23148AE5"/>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07906"/>
  </w:style>
  <w:style w:type="paragraph" w:styleId="Heading1">
    <w:name w:val="heading 1"/>
    <w:basedOn w:val="Normal"/>
    <w:next w:val="Normal"/>
    <w:link w:val="Heading1Char"/>
    <w:uiPriority w:val="9"/>
    <w:qFormat/>
    <w:rsid w:val="007F1482"/>
    <w:pPr>
      <w:keepNext/>
      <w:keepLines/>
      <w:numPr>
        <w:numId w:val="8"/>
      </w:numPr>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7F1482"/>
    <w:pPr>
      <w:keepNext/>
      <w:keepLines/>
      <w:numPr>
        <w:ilvl w:val="1"/>
        <w:numId w:val="8"/>
      </w:numPr>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7F1482"/>
    <w:pPr>
      <w:keepNext/>
      <w:keepLines/>
      <w:numPr>
        <w:ilvl w:val="2"/>
        <w:numId w:val="8"/>
      </w:numPr>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7F1482"/>
    <w:pPr>
      <w:keepNext/>
      <w:keepLines/>
      <w:numPr>
        <w:ilvl w:val="3"/>
        <w:numId w:val="8"/>
      </w:numPr>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7F1482"/>
    <w:pPr>
      <w:keepNext/>
      <w:keepLines/>
      <w:numPr>
        <w:ilvl w:val="4"/>
        <w:numId w:val="8"/>
      </w:numPr>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7F1482"/>
    <w:pPr>
      <w:keepNext/>
      <w:keepLines/>
      <w:numPr>
        <w:ilvl w:val="5"/>
        <w:numId w:val="8"/>
      </w:numPr>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7F1482"/>
    <w:pPr>
      <w:keepNext/>
      <w:keepLines/>
      <w:numPr>
        <w:ilvl w:val="6"/>
        <w:numId w:val="8"/>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7F1482"/>
    <w:pPr>
      <w:keepNext/>
      <w:keepLines/>
      <w:numPr>
        <w:ilvl w:val="7"/>
        <w:numId w:val="8"/>
      </w:numPr>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7F1482"/>
    <w:pPr>
      <w:keepNext/>
      <w:keepLines/>
      <w:numPr>
        <w:ilvl w:val="8"/>
        <w:numId w:val="8"/>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F1482"/>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7F1482"/>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7F1482"/>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7F1482"/>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7F1482"/>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7F1482"/>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7F1482"/>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7F1482"/>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7F1482"/>
    <w:rPr>
      <w:rFonts w:asciiTheme="majorHAnsi" w:eastAsiaTheme="majorEastAsia" w:hAnsiTheme="majorHAnsi" w:cstheme="majorBidi"/>
      <w:i/>
      <w:iCs/>
      <w:color w:val="404040" w:themeColor="text1" w:themeTint="BF"/>
      <w:sz w:val="20"/>
      <w:szCs w:val="20"/>
    </w:rPr>
  </w:style>
  <w:style w:type="paragraph" w:customStyle="1" w:styleId="noindent">
    <w:name w:val="noindent"/>
    <w:basedOn w:val="Normal"/>
    <w:rsid w:val="003866CA"/>
    <w:pPr>
      <w:spacing w:before="100" w:beforeAutospacing="1" w:after="100" w:afterAutospacing="1"/>
    </w:pPr>
  </w:style>
  <w:style w:type="character" w:customStyle="1" w:styleId="ecsx-10001">
    <w:name w:val="ecsx-10001"/>
    <w:basedOn w:val="DefaultParagraphFont"/>
    <w:rsid w:val="003866CA"/>
    <w:rPr>
      <w:b/>
      <w:bCs/>
    </w:rPr>
  </w:style>
  <w:style w:type="character" w:customStyle="1" w:styleId="ecsi-1000">
    <w:name w:val="ecsi-1000"/>
    <w:basedOn w:val="DefaultParagraphFont"/>
    <w:rsid w:val="003866CA"/>
  </w:style>
  <w:style w:type="paragraph" w:styleId="Title">
    <w:name w:val="Title"/>
    <w:basedOn w:val="Normal"/>
    <w:next w:val="Normal"/>
    <w:link w:val="TitleChar"/>
    <w:uiPriority w:val="10"/>
    <w:qFormat/>
    <w:rsid w:val="007F1482"/>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7F1482"/>
    <w:rPr>
      <w:rFonts w:asciiTheme="majorHAnsi" w:eastAsiaTheme="majorEastAsia" w:hAnsiTheme="majorHAnsi" w:cstheme="majorBidi"/>
      <w:color w:val="17365D" w:themeColor="text2" w:themeShade="BF"/>
      <w:spacing w:val="5"/>
      <w:kern w:val="28"/>
      <w:sz w:val="52"/>
      <w:szCs w:val="52"/>
    </w:rPr>
  </w:style>
  <w:style w:type="character" w:styleId="CommentReference">
    <w:name w:val="annotation reference"/>
    <w:basedOn w:val="DefaultParagraphFont"/>
    <w:uiPriority w:val="99"/>
    <w:semiHidden/>
    <w:unhideWhenUsed/>
    <w:rsid w:val="003866CA"/>
    <w:rPr>
      <w:sz w:val="18"/>
      <w:szCs w:val="18"/>
    </w:rPr>
  </w:style>
  <w:style w:type="paragraph" w:styleId="CommentText">
    <w:name w:val="annotation text"/>
    <w:basedOn w:val="Normal"/>
    <w:link w:val="CommentTextChar"/>
    <w:uiPriority w:val="99"/>
    <w:semiHidden/>
    <w:unhideWhenUsed/>
    <w:rsid w:val="003866CA"/>
    <w:rPr>
      <w:szCs w:val="24"/>
    </w:rPr>
  </w:style>
  <w:style w:type="character" w:customStyle="1" w:styleId="CommentTextChar">
    <w:name w:val="Comment Text Char"/>
    <w:basedOn w:val="DefaultParagraphFont"/>
    <w:link w:val="CommentText"/>
    <w:uiPriority w:val="99"/>
    <w:semiHidden/>
    <w:rsid w:val="003866CA"/>
    <w:rPr>
      <w:rFonts w:ascii="Calibri" w:hAnsi="Calibri"/>
      <w:lang w:eastAsia="en-US"/>
    </w:rPr>
  </w:style>
  <w:style w:type="paragraph" w:styleId="ListParagraph">
    <w:name w:val="List Paragraph"/>
    <w:basedOn w:val="Normal"/>
    <w:uiPriority w:val="34"/>
    <w:qFormat/>
    <w:rsid w:val="007F1482"/>
    <w:pPr>
      <w:ind w:left="720"/>
      <w:contextualSpacing/>
    </w:pPr>
  </w:style>
  <w:style w:type="paragraph" w:styleId="BalloonText">
    <w:name w:val="Balloon Text"/>
    <w:basedOn w:val="Normal"/>
    <w:link w:val="BalloonTextChar"/>
    <w:uiPriority w:val="99"/>
    <w:semiHidden/>
    <w:unhideWhenUsed/>
    <w:rsid w:val="003866CA"/>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3866CA"/>
    <w:rPr>
      <w:rFonts w:ascii="Lucida Grande" w:hAnsi="Lucida Grande" w:cs="Lucida Grande"/>
      <w:sz w:val="18"/>
      <w:szCs w:val="18"/>
      <w:lang w:eastAsia="en-US"/>
    </w:rPr>
  </w:style>
  <w:style w:type="paragraph" w:styleId="Subtitle">
    <w:name w:val="Subtitle"/>
    <w:basedOn w:val="Normal"/>
    <w:next w:val="Normal"/>
    <w:link w:val="SubtitleChar"/>
    <w:uiPriority w:val="11"/>
    <w:qFormat/>
    <w:rsid w:val="007F1482"/>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7F1482"/>
    <w:rPr>
      <w:rFonts w:asciiTheme="majorHAnsi" w:eastAsiaTheme="majorEastAsia" w:hAnsiTheme="majorHAnsi" w:cstheme="majorBidi"/>
      <w:i/>
      <w:iCs/>
      <w:color w:val="4F81BD" w:themeColor="accent1"/>
      <w:spacing w:val="15"/>
      <w:sz w:val="24"/>
      <w:szCs w:val="24"/>
    </w:rPr>
  </w:style>
  <w:style w:type="paragraph" w:styleId="Caption">
    <w:name w:val="caption"/>
    <w:basedOn w:val="Normal"/>
    <w:next w:val="Normal"/>
    <w:uiPriority w:val="35"/>
    <w:semiHidden/>
    <w:unhideWhenUsed/>
    <w:qFormat/>
    <w:rsid w:val="007F1482"/>
    <w:pPr>
      <w:spacing w:line="240" w:lineRule="auto"/>
    </w:pPr>
    <w:rPr>
      <w:b/>
      <w:bCs/>
      <w:color w:val="4F81BD" w:themeColor="accent1"/>
      <w:sz w:val="18"/>
      <w:szCs w:val="18"/>
    </w:rPr>
  </w:style>
  <w:style w:type="character" w:styleId="Strong">
    <w:name w:val="Strong"/>
    <w:basedOn w:val="DefaultParagraphFont"/>
    <w:qFormat/>
    <w:rsid w:val="007F1482"/>
    <w:rPr>
      <w:b/>
      <w:bCs/>
    </w:rPr>
  </w:style>
  <w:style w:type="character" w:styleId="Emphasis">
    <w:name w:val="Emphasis"/>
    <w:basedOn w:val="DefaultParagraphFont"/>
    <w:uiPriority w:val="20"/>
    <w:qFormat/>
    <w:rsid w:val="007F1482"/>
    <w:rPr>
      <w:i/>
      <w:iCs/>
    </w:rPr>
  </w:style>
  <w:style w:type="paragraph" w:styleId="NoSpacing">
    <w:name w:val="No Spacing"/>
    <w:uiPriority w:val="1"/>
    <w:qFormat/>
    <w:rsid w:val="007F1482"/>
    <w:pPr>
      <w:spacing w:after="0" w:line="240" w:lineRule="auto"/>
    </w:pPr>
  </w:style>
  <w:style w:type="paragraph" w:styleId="Quote">
    <w:name w:val="Quote"/>
    <w:basedOn w:val="Normal"/>
    <w:next w:val="Normal"/>
    <w:link w:val="QuoteChar"/>
    <w:uiPriority w:val="29"/>
    <w:qFormat/>
    <w:rsid w:val="007F1482"/>
    <w:rPr>
      <w:i/>
      <w:iCs/>
      <w:color w:val="000000" w:themeColor="text1"/>
    </w:rPr>
  </w:style>
  <w:style w:type="character" w:customStyle="1" w:styleId="QuoteChar">
    <w:name w:val="Quote Char"/>
    <w:basedOn w:val="DefaultParagraphFont"/>
    <w:link w:val="Quote"/>
    <w:uiPriority w:val="29"/>
    <w:rsid w:val="007F1482"/>
    <w:rPr>
      <w:i/>
      <w:iCs/>
      <w:color w:val="000000" w:themeColor="text1"/>
    </w:rPr>
  </w:style>
  <w:style w:type="paragraph" w:styleId="IntenseQuote">
    <w:name w:val="Intense Quote"/>
    <w:basedOn w:val="Normal"/>
    <w:next w:val="Normal"/>
    <w:link w:val="IntenseQuoteChar"/>
    <w:uiPriority w:val="30"/>
    <w:qFormat/>
    <w:rsid w:val="007F1482"/>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7F1482"/>
    <w:rPr>
      <w:b/>
      <w:bCs/>
      <w:i/>
      <w:iCs/>
      <w:color w:val="4F81BD" w:themeColor="accent1"/>
    </w:rPr>
  </w:style>
  <w:style w:type="character" w:styleId="SubtleEmphasis">
    <w:name w:val="Subtle Emphasis"/>
    <w:basedOn w:val="DefaultParagraphFont"/>
    <w:uiPriority w:val="19"/>
    <w:qFormat/>
    <w:rsid w:val="007F1482"/>
    <w:rPr>
      <w:i/>
      <w:iCs/>
      <w:color w:val="808080" w:themeColor="text1" w:themeTint="7F"/>
    </w:rPr>
  </w:style>
  <w:style w:type="character" w:styleId="IntenseEmphasis">
    <w:name w:val="Intense Emphasis"/>
    <w:basedOn w:val="DefaultParagraphFont"/>
    <w:uiPriority w:val="21"/>
    <w:qFormat/>
    <w:rsid w:val="007F1482"/>
    <w:rPr>
      <w:b/>
      <w:bCs/>
      <w:i/>
      <w:iCs/>
      <w:color w:val="4F81BD" w:themeColor="accent1"/>
    </w:rPr>
  </w:style>
  <w:style w:type="character" w:styleId="SubtleReference">
    <w:name w:val="Subtle Reference"/>
    <w:basedOn w:val="DefaultParagraphFont"/>
    <w:uiPriority w:val="31"/>
    <w:qFormat/>
    <w:rsid w:val="007F1482"/>
    <w:rPr>
      <w:smallCaps/>
      <w:color w:val="C0504D" w:themeColor="accent2"/>
      <w:u w:val="single"/>
    </w:rPr>
  </w:style>
  <w:style w:type="character" w:styleId="IntenseReference">
    <w:name w:val="Intense Reference"/>
    <w:basedOn w:val="DefaultParagraphFont"/>
    <w:uiPriority w:val="32"/>
    <w:qFormat/>
    <w:rsid w:val="007F1482"/>
    <w:rPr>
      <w:b/>
      <w:bCs/>
      <w:smallCaps/>
      <w:color w:val="C0504D" w:themeColor="accent2"/>
      <w:spacing w:val="5"/>
      <w:u w:val="single"/>
    </w:rPr>
  </w:style>
  <w:style w:type="character" w:styleId="BookTitle">
    <w:name w:val="Book Title"/>
    <w:basedOn w:val="DefaultParagraphFont"/>
    <w:uiPriority w:val="33"/>
    <w:qFormat/>
    <w:rsid w:val="007F1482"/>
    <w:rPr>
      <w:b/>
      <w:bCs/>
      <w:smallCaps/>
      <w:spacing w:val="5"/>
    </w:rPr>
  </w:style>
  <w:style w:type="paragraph" w:styleId="TOCHeading">
    <w:name w:val="TOC Heading"/>
    <w:basedOn w:val="Heading1"/>
    <w:next w:val="Normal"/>
    <w:uiPriority w:val="39"/>
    <w:semiHidden/>
    <w:unhideWhenUsed/>
    <w:qFormat/>
    <w:rsid w:val="007F1482"/>
    <w:pPr>
      <w:outlineLvl w:val="9"/>
    </w:pPr>
  </w:style>
  <w:style w:type="paragraph" w:styleId="CommentSubject">
    <w:name w:val="annotation subject"/>
    <w:basedOn w:val="CommentText"/>
    <w:next w:val="CommentText"/>
    <w:link w:val="CommentSubjectChar"/>
    <w:uiPriority w:val="99"/>
    <w:semiHidden/>
    <w:unhideWhenUsed/>
    <w:rsid w:val="006E4AA2"/>
    <w:pPr>
      <w:spacing w:line="240" w:lineRule="auto"/>
    </w:pPr>
    <w:rPr>
      <w:b/>
      <w:bCs/>
      <w:sz w:val="20"/>
      <w:szCs w:val="20"/>
    </w:rPr>
  </w:style>
  <w:style w:type="character" w:customStyle="1" w:styleId="CommentSubjectChar">
    <w:name w:val="Comment Subject Char"/>
    <w:basedOn w:val="CommentTextChar"/>
    <w:link w:val="CommentSubject"/>
    <w:uiPriority w:val="99"/>
    <w:semiHidden/>
    <w:rsid w:val="006E4AA2"/>
    <w:rPr>
      <w:rFonts w:ascii="Calibri" w:hAnsi="Calibri"/>
      <w:b/>
      <w:bCs/>
      <w:sz w:val="20"/>
      <w:szCs w:val="20"/>
      <w:lang w:eastAsia="en-US"/>
    </w:rPr>
  </w:style>
  <w:style w:type="paragraph" w:styleId="Revision">
    <w:name w:val="Revision"/>
    <w:hidden/>
    <w:uiPriority w:val="99"/>
    <w:semiHidden/>
    <w:rsid w:val="00E756CD"/>
    <w:pPr>
      <w:spacing w:after="0" w:line="240" w:lineRule="auto"/>
    </w:pPr>
  </w:style>
  <w:style w:type="paragraph" w:styleId="DocumentMap">
    <w:name w:val="Document Map"/>
    <w:basedOn w:val="Normal"/>
    <w:link w:val="DocumentMapChar"/>
    <w:uiPriority w:val="99"/>
    <w:semiHidden/>
    <w:unhideWhenUsed/>
    <w:rsid w:val="008E5224"/>
    <w:pPr>
      <w:spacing w:after="0" w:line="240" w:lineRule="auto"/>
    </w:pPr>
    <w:rPr>
      <w:rFonts w:ascii="Lucida Grande" w:hAnsi="Lucida Grande" w:cs="Lucida Grande"/>
      <w:sz w:val="24"/>
      <w:szCs w:val="24"/>
    </w:rPr>
  </w:style>
  <w:style w:type="character" w:customStyle="1" w:styleId="DocumentMapChar">
    <w:name w:val="Document Map Char"/>
    <w:basedOn w:val="DefaultParagraphFont"/>
    <w:link w:val="DocumentMap"/>
    <w:uiPriority w:val="99"/>
    <w:semiHidden/>
    <w:rsid w:val="008E5224"/>
    <w:rPr>
      <w:rFonts w:ascii="Lucida Grande" w:hAnsi="Lucida Grande" w:cs="Lucida Grande"/>
      <w:sz w:val="24"/>
      <w:szCs w:val="24"/>
    </w:rPr>
  </w:style>
  <w:style w:type="paragraph" w:styleId="Header">
    <w:name w:val="header"/>
    <w:basedOn w:val="Normal"/>
    <w:link w:val="HeaderChar"/>
    <w:uiPriority w:val="99"/>
    <w:unhideWhenUsed/>
    <w:rsid w:val="00841584"/>
    <w:pPr>
      <w:tabs>
        <w:tab w:val="center" w:pos="4320"/>
        <w:tab w:val="right" w:pos="8640"/>
      </w:tabs>
      <w:spacing w:after="0" w:line="240" w:lineRule="auto"/>
    </w:pPr>
  </w:style>
  <w:style w:type="character" w:customStyle="1" w:styleId="HeaderChar">
    <w:name w:val="Header Char"/>
    <w:basedOn w:val="DefaultParagraphFont"/>
    <w:link w:val="Header"/>
    <w:uiPriority w:val="99"/>
    <w:rsid w:val="00841584"/>
  </w:style>
  <w:style w:type="paragraph" w:styleId="Footer">
    <w:name w:val="footer"/>
    <w:basedOn w:val="Normal"/>
    <w:link w:val="FooterChar"/>
    <w:uiPriority w:val="99"/>
    <w:unhideWhenUsed/>
    <w:rsid w:val="00841584"/>
    <w:pPr>
      <w:tabs>
        <w:tab w:val="center" w:pos="4320"/>
        <w:tab w:val="right" w:pos="8640"/>
      </w:tabs>
      <w:spacing w:after="0" w:line="240" w:lineRule="auto"/>
    </w:pPr>
  </w:style>
  <w:style w:type="character" w:customStyle="1" w:styleId="FooterChar">
    <w:name w:val="Footer Char"/>
    <w:basedOn w:val="DefaultParagraphFont"/>
    <w:link w:val="Footer"/>
    <w:uiPriority w:val="99"/>
    <w:rsid w:val="00841584"/>
  </w:style>
  <w:style w:type="character" w:styleId="Hyperlink">
    <w:name w:val="Hyperlink"/>
    <w:basedOn w:val="DefaultParagraphFont"/>
    <w:uiPriority w:val="99"/>
    <w:rsid w:val="00F75195"/>
    <w:rPr>
      <w:color w:val="0000FF"/>
      <w:u w:val="single"/>
    </w:rPr>
  </w:style>
  <w:style w:type="character" w:styleId="FootnoteReference">
    <w:name w:val="footnote reference"/>
    <w:basedOn w:val="DefaultParagraphFont"/>
    <w:uiPriority w:val="99"/>
    <w:rsid w:val="00F75195"/>
    <w:rPr>
      <w:vertAlign w:val="superscript"/>
    </w:rPr>
  </w:style>
  <w:style w:type="paragraph" w:customStyle="1" w:styleId="TableTitle">
    <w:name w:val="Table Title"/>
    <w:basedOn w:val="Normal"/>
    <w:next w:val="Normal"/>
    <w:link w:val="TableTitleChar"/>
    <w:qFormat/>
    <w:rsid w:val="00F75195"/>
    <w:pPr>
      <w:keepNext/>
      <w:keepLines/>
      <w:suppressAutoHyphens/>
      <w:spacing w:before="120" w:after="40" w:line="240" w:lineRule="auto"/>
    </w:pPr>
    <w:rPr>
      <w:rFonts w:ascii="Times New Roman" w:eastAsiaTheme="minorHAnsi" w:hAnsi="Times New Roman" w:cs="Arial"/>
      <w:b/>
      <w:sz w:val="24"/>
      <w:lang w:eastAsia="en-US"/>
    </w:rPr>
  </w:style>
  <w:style w:type="character" w:customStyle="1" w:styleId="TableTitleChar">
    <w:name w:val="Table Title Char"/>
    <w:basedOn w:val="DefaultParagraphFont"/>
    <w:link w:val="TableTitle"/>
    <w:rsid w:val="00F75195"/>
    <w:rPr>
      <w:rFonts w:ascii="Times New Roman" w:eastAsiaTheme="minorHAnsi" w:hAnsi="Times New Roman" w:cs="Arial"/>
      <w:b/>
      <w:sz w:val="24"/>
      <w:lang w:eastAsia="en-US"/>
    </w:rPr>
  </w:style>
  <w:style w:type="paragraph" w:styleId="FootnoteText">
    <w:name w:val="footnote text"/>
    <w:basedOn w:val="Normal"/>
    <w:link w:val="FootnoteTextChar"/>
    <w:uiPriority w:val="99"/>
    <w:unhideWhenUsed/>
    <w:rsid w:val="00F75195"/>
    <w:pPr>
      <w:suppressAutoHyphens/>
      <w:spacing w:after="120" w:line="240" w:lineRule="auto"/>
    </w:pPr>
    <w:rPr>
      <w:rFonts w:ascii="Times New Roman" w:eastAsia="Times New Roman" w:hAnsi="Times New Roman" w:cs="Arial"/>
      <w:sz w:val="20"/>
      <w:szCs w:val="20"/>
      <w:lang w:eastAsia="en-US"/>
    </w:rPr>
  </w:style>
  <w:style w:type="character" w:customStyle="1" w:styleId="FootnoteTextChar">
    <w:name w:val="Footnote Text Char"/>
    <w:basedOn w:val="DefaultParagraphFont"/>
    <w:link w:val="FootnoteText"/>
    <w:uiPriority w:val="99"/>
    <w:rsid w:val="00F75195"/>
    <w:rPr>
      <w:rFonts w:ascii="Times New Roman" w:eastAsia="Times New Roman" w:hAnsi="Times New Roman" w:cs="Arial"/>
      <w:sz w:val="20"/>
      <w:szCs w:val="20"/>
      <w:lang w:eastAsia="en-US"/>
    </w:rPr>
  </w:style>
  <w:style w:type="paragraph" w:customStyle="1" w:styleId="AddressBlock">
    <w:name w:val="Address Block"/>
    <w:basedOn w:val="Normal"/>
    <w:link w:val="AddressBlockChar"/>
    <w:qFormat/>
    <w:rsid w:val="00F75195"/>
    <w:pPr>
      <w:suppressAutoHyphens/>
      <w:spacing w:after="0" w:line="240" w:lineRule="auto"/>
    </w:pPr>
    <w:rPr>
      <w:rFonts w:ascii="Times New Roman" w:eastAsia="Times" w:hAnsi="Times New Roman" w:cs="Arial"/>
      <w:sz w:val="24"/>
      <w:szCs w:val="20"/>
      <w:lang w:eastAsia="en-US"/>
    </w:rPr>
  </w:style>
  <w:style w:type="character" w:customStyle="1" w:styleId="AddressBlockChar">
    <w:name w:val="Address Block Char"/>
    <w:basedOn w:val="DefaultParagraphFont"/>
    <w:link w:val="AddressBlock"/>
    <w:rsid w:val="00F75195"/>
    <w:rPr>
      <w:rFonts w:ascii="Times New Roman" w:eastAsia="Times" w:hAnsi="Times New Roman" w:cs="Arial"/>
      <w:sz w:val="24"/>
      <w:szCs w:val="20"/>
      <w:lang w:eastAsia="en-US"/>
    </w:rPr>
  </w:style>
  <w:style w:type="paragraph" w:customStyle="1" w:styleId="CMSLetterHeadAddress">
    <w:name w:val="CMS Letter Head Address"/>
    <w:basedOn w:val="Normal"/>
    <w:link w:val="CMSLetterHeadAddressChar"/>
    <w:qFormat/>
    <w:rsid w:val="00F75195"/>
    <w:pPr>
      <w:suppressAutoHyphens/>
      <w:spacing w:after="8" w:line="240" w:lineRule="auto"/>
    </w:pPr>
    <w:rPr>
      <w:rFonts w:ascii="Palatino" w:eastAsia="Times" w:hAnsi="Palatino" w:cs="Arial"/>
      <w:b/>
      <w:color w:val="002060"/>
      <w:sz w:val="18"/>
      <w:szCs w:val="20"/>
      <w:lang w:eastAsia="en-US"/>
    </w:rPr>
  </w:style>
  <w:style w:type="character" w:customStyle="1" w:styleId="CMSLetterHeadAddressChar">
    <w:name w:val="CMS Letter Head Address Char"/>
    <w:basedOn w:val="DefaultParagraphFont"/>
    <w:link w:val="CMSLetterHeadAddress"/>
    <w:rsid w:val="00F75195"/>
    <w:rPr>
      <w:rFonts w:ascii="Palatino" w:eastAsia="Times" w:hAnsi="Palatino" w:cs="Arial"/>
      <w:b/>
      <w:color w:val="002060"/>
      <w:sz w:val="18"/>
      <w:szCs w:val="20"/>
      <w:lang w:eastAsia="en-US"/>
    </w:rPr>
  </w:style>
  <w:style w:type="paragraph" w:customStyle="1" w:styleId="CMSLetterhead2">
    <w:name w:val="CMS Letterhead 2"/>
    <w:basedOn w:val="Normal"/>
    <w:link w:val="CMSLetterhead2Char"/>
    <w:qFormat/>
    <w:rsid w:val="00F75195"/>
    <w:pPr>
      <w:suppressAutoHyphens/>
      <w:spacing w:after="120" w:line="240" w:lineRule="auto"/>
    </w:pPr>
    <w:rPr>
      <w:rFonts w:ascii="Palatino" w:eastAsia="Times" w:hAnsi="Palatino" w:cs="Arial"/>
      <w:b/>
      <w:noProof/>
      <w:color w:val="002060"/>
      <w:spacing w:val="-5"/>
      <w:sz w:val="24"/>
      <w:szCs w:val="20"/>
      <w:lang w:eastAsia="en-US"/>
    </w:rPr>
  </w:style>
  <w:style w:type="character" w:customStyle="1" w:styleId="CMSLetterhead2Char">
    <w:name w:val="CMS Letterhead 2 Char"/>
    <w:basedOn w:val="DefaultParagraphFont"/>
    <w:link w:val="CMSLetterhead2"/>
    <w:rsid w:val="00F75195"/>
    <w:rPr>
      <w:rFonts w:ascii="Palatino" w:eastAsia="Times" w:hAnsi="Palatino" w:cs="Arial"/>
      <w:b/>
      <w:noProof/>
      <w:color w:val="002060"/>
      <w:spacing w:val="-5"/>
      <w:sz w:val="24"/>
      <w:szCs w:val="20"/>
      <w:lang w:eastAsia="en-US"/>
    </w:rPr>
  </w:style>
  <w:style w:type="table" w:styleId="TableGrid">
    <w:name w:val="Table Grid"/>
    <w:basedOn w:val="TableNormal"/>
    <w:rsid w:val="00F75195"/>
    <w:pPr>
      <w:spacing w:after="0" w:line="240" w:lineRule="auto"/>
    </w:pPr>
    <w:rPr>
      <w:rFonts w:ascii="Times" w:eastAsia="Times" w:hAnsi="Times" w:cs="Times New Roman"/>
      <w:sz w:val="20"/>
      <w:szCs w:val="20"/>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eHeaderRow">
    <w:name w:val="Table Header Row"/>
    <w:basedOn w:val="Normal"/>
    <w:next w:val="Normal"/>
    <w:link w:val="TableHeaderRowChar"/>
    <w:qFormat/>
    <w:rsid w:val="00F75195"/>
    <w:pPr>
      <w:keepNext/>
      <w:keepLines/>
      <w:suppressAutoHyphens/>
      <w:spacing w:after="20" w:line="240" w:lineRule="auto"/>
      <w:jc w:val="center"/>
    </w:pPr>
    <w:rPr>
      <w:rFonts w:ascii="Times New Roman" w:eastAsia="Times" w:hAnsi="Times New Roman" w:cs="Arial"/>
      <w:b/>
      <w:sz w:val="24"/>
      <w:szCs w:val="20"/>
      <w:lang w:eastAsia="en-US"/>
    </w:rPr>
  </w:style>
  <w:style w:type="character" w:customStyle="1" w:styleId="TableHeaderRowChar">
    <w:name w:val="Table Header Row Char"/>
    <w:basedOn w:val="DefaultParagraphFont"/>
    <w:link w:val="TableHeaderRow"/>
    <w:rsid w:val="00F75195"/>
    <w:rPr>
      <w:rFonts w:ascii="Times New Roman" w:eastAsia="Times" w:hAnsi="Times New Roman" w:cs="Arial"/>
      <w:b/>
      <w:sz w:val="24"/>
      <w:szCs w:val="20"/>
      <w:lang w:eastAsia="en-US"/>
    </w:rPr>
  </w:style>
  <w:style w:type="paragraph" w:customStyle="1" w:styleId="TableTextLeft">
    <w:name w:val="Table Text Left"/>
    <w:basedOn w:val="Normal"/>
    <w:next w:val="Normal"/>
    <w:link w:val="TableTextLeftChar"/>
    <w:qFormat/>
    <w:rsid w:val="00F75195"/>
    <w:pPr>
      <w:suppressAutoHyphens/>
      <w:spacing w:before="40" w:after="40" w:line="240" w:lineRule="auto"/>
    </w:pPr>
    <w:rPr>
      <w:rFonts w:ascii="Times New Roman" w:eastAsia="Times" w:hAnsi="Times New Roman" w:cs="Arial"/>
      <w:sz w:val="24"/>
      <w:szCs w:val="20"/>
      <w:lang w:eastAsia="en-US"/>
    </w:rPr>
  </w:style>
  <w:style w:type="character" w:customStyle="1" w:styleId="TableTextLeftChar">
    <w:name w:val="Table Text Left Char"/>
    <w:basedOn w:val="DefaultParagraphFont"/>
    <w:link w:val="TableTextLeft"/>
    <w:rsid w:val="00F75195"/>
    <w:rPr>
      <w:rFonts w:ascii="Times New Roman" w:eastAsia="Times" w:hAnsi="Times New Roman" w:cs="Arial"/>
      <w:sz w:val="24"/>
      <w:szCs w:val="20"/>
      <w:lang w:eastAsia="en-US"/>
    </w:rPr>
  </w:style>
  <w:style w:type="paragraph" w:customStyle="1" w:styleId="TableTextRight">
    <w:name w:val="Table Text Right"/>
    <w:basedOn w:val="Normal"/>
    <w:next w:val="Normal"/>
    <w:link w:val="TableTextRightChar"/>
    <w:qFormat/>
    <w:rsid w:val="00F75195"/>
    <w:pPr>
      <w:suppressAutoHyphens/>
      <w:spacing w:before="40" w:after="40" w:line="240" w:lineRule="auto"/>
      <w:jc w:val="right"/>
    </w:pPr>
    <w:rPr>
      <w:rFonts w:ascii="Times New Roman" w:eastAsia="Times" w:hAnsi="Times New Roman" w:cs="Arial"/>
      <w:sz w:val="24"/>
      <w:szCs w:val="20"/>
      <w:lang w:eastAsia="en-US"/>
    </w:rPr>
  </w:style>
  <w:style w:type="character" w:customStyle="1" w:styleId="TableTextRightChar">
    <w:name w:val="Table Text Right Char"/>
    <w:basedOn w:val="DefaultParagraphFont"/>
    <w:link w:val="TableTextRight"/>
    <w:rsid w:val="00F75195"/>
    <w:rPr>
      <w:rFonts w:ascii="Times New Roman" w:eastAsia="Times" w:hAnsi="Times New Roman" w:cs="Arial"/>
      <w:sz w:val="24"/>
      <w:szCs w:val="20"/>
      <w:lang w:eastAsia="en-US"/>
    </w:rPr>
  </w:style>
  <w:style w:type="paragraph" w:customStyle="1" w:styleId="AddressBlockLast">
    <w:name w:val="Address Block Last"/>
    <w:basedOn w:val="AddressBlock"/>
    <w:link w:val="AddressBlockLastChar"/>
    <w:qFormat/>
    <w:rsid w:val="00F75195"/>
    <w:pPr>
      <w:spacing w:after="240"/>
    </w:pPr>
  </w:style>
  <w:style w:type="paragraph" w:styleId="NormalIndent">
    <w:name w:val="Normal Indent"/>
    <w:basedOn w:val="Normal"/>
    <w:rsid w:val="00F75195"/>
    <w:pPr>
      <w:pBdr>
        <w:top w:val="single" w:sz="4" w:space="1" w:color="auto"/>
        <w:left w:val="single" w:sz="4" w:space="4" w:color="auto"/>
        <w:bottom w:val="single" w:sz="4" w:space="1" w:color="auto"/>
        <w:right w:val="single" w:sz="4" w:space="4" w:color="auto"/>
      </w:pBdr>
      <w:suppressAutoHyphens/>
      <w:spacing w:after="120" w:line="240" w:lineRule="auto"/>
      <w:ind w:left="432" w:right="432"/>
    </w:pPr>
    <w:rPr>
      <w:rFonts w:ascii="Times New Roman" w:eastAsia="Times" w:hAnsi="Times New Roman" w:cs="Arial"/>
      <w:sz w:val="24"/>
      <w:szCs w:val="20"/>
      <w:lang w:eastAsia="en-US"/>
    </w:rPr>
  </w:style>
  <w:style w:type="character" w:customStyle="1" w:styleId="AddressBlockLastChar">
    <w:name w:val="Address Block Last Char"/>
    <w:basedOn w:val="AddressBlockChar"/>
    <w:link w:val="AddressBlockLast"/>
    <w:rsid w:val="00F75195"/>
    <w:rPr>
      <w:rFonts w:ascii="Times New Roman" w:eastAsia="Times" w:hAnsi="Times New Roman" w:cs="Arial"/>
      <w:sz w:val="24"/>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78337884">
      <w:bodyDiv w:val="1"/>
      <w:marLeft w:val="0"/>
      <w:marRight w:val="0"/>
      <w:marTop w:val="0"/>
      <w:marBottom w:val="0"/>
      <w:divBdr>
        <w:top w:val="none" w:sz="0" w:space="0" w:color="auto"/>
        <w:left w:val="none" w:sz="0" w:space="0" w:color="auto"/>
        <w:bottom w:val="none" w:sz="0" w:space="0" w:color="auto"/>
        <w:right w:val="none" w:sz="0" w:space="0" w:color="auto"/>
      </w:divBdr>
    </w:div>
    <w:div w:id="162241398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comments" Target="comments.xml"/><Relationship Id="rId8" Type="http://schemas.microsoft.com/office/2011/relationships/commentsExtended" Target="commentsExtended.xml"/><Relationship Id="rId9" Type="http://schemas.openxmlformats.org/officeDocument/2006/relationships/fontTable" Target="fontTable.xml"/><Relationship Id="rId10" Type="http://schemas.microsoft.com/office/2011/relationships/people" Target="peop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85</TotalTime>
  <Pages>11</Pages>
  <Words>3231</Words>
  <Characters>18418</Characters>
  <Application>Microsoft Macintosh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Adam Sacarny</dc:creator>
  <cp:lastModifiedBy>Adam Sacarny</cp:lastModifiedBy>
  <cp:revision>28</cp:revision>
  <cp:lastPrinted>2015-09-23T19:42:00Z</cp:lastPrinted>
  <dcterms:created xsi:type="dcterms:W3CDTF">2016-02-18T18:30:00Z</dcterms:created>
  <dcterms:modified xsi:type="dcterms:W3CDTF">2016-03-05T19:52:00Z</dcterms:modified>
</cp:coreProperties>
</file>