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9C18CF" w14:textId="77777777" w:rsidR="00833413" w:rsidRDefault="00833413" w:rsidP="00833413">
      <w:pPr>
        <w:jc w:val="center"/>
      </w:pPr>
    </w:p>
    <w:p w14:paraId="6170A247" w14:textId="77777777" w:rsidR="00833413" w:rsidRDefault="00833413" w:rsidP="00833413">
      <w:pPr>
        <w:jc w:val="center"/>
      </w:pPr>
    </w:p>
    <w:p w14:paraId="390E645F" w14:textId="77777777" w:rsidR="00833413" w:rsidRDefault="00833413" w:rsidP="00833413">
      <w:pPr>
        <w:jc w:val="center"/>
      </w:pPr>
    </w:p>
    <w:p w14:paraId="782D5D89" w14:textId="77777777" w:rsidR="00833413" w:rsidRDefault="00833413" w:rsidP="00833413">
      <w:pPr>
        <w:jc w:val="center"/>
      </w:pPr>
    </w:p>
    <w:p w14:paraId="7F6A467A" w14:textId="77777777" w:rsidR="00833413" w:rsidRDefault="00833413" w:rsidP="00833413">
      <w:pPr>
        <w:jc w:val="center"/>
      </w:pPr>
      <w:r w:rsidRPr="00833413">
        <w:t>Overcoming the Planning Fallacy: Evidence from Online Education</w:t>
      </w:r>
    </w:p>
    <w:p w14:paraId="2B1EC450" w14:textId="77777777" w:rsidR="00833413" w:rsidRDefault="00833413" w:rsidP="00833413">
      <w:pPr>
        <w:jc w:val="center"/>
      </w:pPr>
      <w:r>
        <w:t>Analysis Plan</w:t>
      </w:r>
    </w:p>
    <w:p w14:paraId="565DECA1" w14:textId="77777777" w:rsidR="00833413" w:rsidRDefault="00833413" w:rsidP="00833413">
      <w:pPr>
        <w:jc w:val="center"/>
      </w:pPr>
    </w:p>
    <w:p w14:paraId="6C4BC5D6" w14:textId="77777777" w:rsidR="00833413" w:rsidRDefault="00833413" w:rsidP="00833413">
      <w:pPr>
        <w:jc w:val="center"/>
      </w:pPr>
    </w:p>
    <w:p w14:paraId="31F18B6B" w14:textId="77777777" w:rsidR="00833413" w:rsidRDefault="00833413" w:rsidP="00833413">
      <w:pPr>
        <w:jc w:val="center"/>
      </w:pPr>
    </w:p>
    <w:p w14:paraId="1A7E5846" w14:textId="77777777" w:rsidR="00833413" w:rsidRDefault="00833413" w:rsidP="00833413">
      <w:pPr>
        <w:jc w:val="center"/>
      </w:pPr>
    </w:p>
    <w:p w14:paraId="7C0D2515" w14:textId="77777777" w:rsidR="00833413" w:rsidRDefault="00833413" w:rsidP="00833413">
      <w:pPr>
        <w:jc w:val="center"/>
      </w:pPr>
      <w:r>
        <w:t>Richard Patterson</w:t>
      </w:r>
      <w:r>
        <w:rPr>
          <w:rStyle w:val="FootnoteReference"/>
        </w:rPr>
        <w:footnoteReference w:id="1"/>
      </w:r>
      <w:r>
        <w:t>, Nolan Pope</w:t>
      </w:r>
      <w:r>
        <w:rPr>
          <w:rStyle w:val="FootnoteReference"/>
        </w:rPr>
        <w:footnoteReference w:id="2"/>
      </w:r>
      <w:r>
        <w:t xml:space="preserve"> </w:t>
      </w:r>
    </w:p>
    <w:p w14:paraId="1F54848D" w14:textId="77777777" w:rsidR="00833413" w:rsidRDefault="00833413">
      <w:r>
        <w:br w:type="page"/>
      </w:r>
    </w:p>
    <w:p w14:paraId="086DDAAF" w14:textId="77777777" w:rsidR="00833413" w:rsidRDefault="00833413" w:rsidP="00833413">
      <w:pPr>
        <w:rPr>
          <w:b/>
        </w:rPr>
      </w:pPr>
      <w:r>
        <w:rPr>
          <w:b/>
        </w:rPr>
        <w:lastRenderedPageBreak/>
        <w:t>Abstract:</w:t>
      </w:r>
    </w:p>
    <w:p w14:paraId="796B2DA8" w14:textId="01C55C5D" w:rsidR="00833413" w:rsidRPr="00833413" w:rsidRDefault="00833413" w:rsidP="00833413">
      <w:r w:rsidRPr="00833413">
        <w:t xml:space="preserve">The purpose of this study is to examine the </w:t>
      </w:r>
      <w:r w:rsidR="00F5541F">
        <w:t>effect</w:t>
      </w:r>
      <w:r w:rsidRPr="00833413">
        <w:t xml:space="preserve"> of planning tools on course completion and retention at</w:t>
      </w:r>
      <w:r>
        <w:t xml:space="preserve"> a large</w:t>
      </w:r>
      <w:r w:rsidRPr="00833413">
        <w:t xml:space="preserve"> not-for-profit online university. In particular, this research will examine whether students who complete a detailed study calendar and receive reminders about their study and course-completion </w:t>
      </w:r>
      <w:r>
        <w:t>plans</w:t>
      </w:r>
      <w:r w:rsidRPr="00833413">
        <w:t xml:space="preserve"> complete more course credits and are more likely to re-enroll in courses than students who do not create a calendar or receive study reminders.  This study will also examine whether students who</w:t>
      </w:r>
      <w:r>
        <w:t>,</w:t>
      </w:r>
      <w:r w:rsidRPr="00833413">
        <w:t xml:space="preserve"> </w:t>
      </w:r>
      <w:r>
        <w:t xml:space="preserve">in addition </w:t>
      </w:r>
      <w:r w:rsidR="003C13D8">
        <w:t xml:space="preserve">to </w:t>
      </w:r>
      <w:r>
        <w:t>creat</w:t>
      </w:r>
      <w:r w:rsidR="003C13D8">
        <w:t>ing</w:t>
      </w:r>
      <w:r>
        <w:t xml:space="preserve"> calendars and receiv</w:t>
      </w:r>
      <w:r w:rsidR="003C13D8">
        <w:t>ing</w:t>
      </w:r>
      <w:r>
        <w:t xml:space="preserve"> reminders, also </w:t>
      </w:r>
      <w:r w:rsidRPr="00833413">
        <w:t xml:space="preserve">receive follow-up from </w:t>
      </w:r>
      <w:proofErr w:type="gramStart"/>
      <w:r w:rsidRPr="00833413">
        <w:t>mentors</w:t>
      </w:r>
      <w:proofErr w:type="gramEnd"/>
      <w:r w:rsidRPr="00833413">
        <w:t xml:space="preserve"> </w:t>
      </w:r>
      <w:r>
        <w:t>experience</w:t>
      </w:r>
      <w:r w:rsidRPr="00833413">
        <w:t xml:space="preserve"> additional academic performance.  In addition to identifying practical tools that could help online students achieve greater academic success, this study will inform whether problems with planning and memory are significant factors in poor performance in online education settings.</w:t>
      </w:r>
    </w:p>
    <w:p w14:paraId="1FC38E2E" w14:textId="77777777" w:rsidR="00833413" w:rsidRDefault="00833413" w:rsidP="00833413">
      <w:pPr>
        <w:rPr>
          <w:b/>
        </w:rPr>
      </w:pPr>
    </w:p>
    <w:p w14:paraId="2C322FD6" w14:textId="77777777" w:rsidR="00833413" w:rsidRDefault="00833413" w:rsidP="00833413">
      <w:r>
        <w:rPr>
          <w:b/>
        </w:rPr>
        <w:t xml:space="preserve">Location: </w:t>
      </w:r>
      <w:r>
        <w:t>United States</w:t>
      </w:r>
    </w:p>
    <w:p w14:paraId="1C61F644" w14:textId="77777777" w:rsidR="00833413" w:rsidRDefault="00833413" w:rsidP="00833413"/>
    <w:p w14:paraId="75315A27" w14:textId="775EEECB" w:rsidR="00833413" w:rsidRDefault="00382E83" w:rsidP="00833413">
      <w:r>
        <w:rPr>
          <w:b/>
        </w:rPr>
        <w:t xml:space="preserve">Anticipated Active Study Dates: </w:t>
      </w:r>
      <w:r w:rsidR="004172EE">
        <w:t>February</w:t>
      </w:r>
      <w:r>
        <w:t xml:space="preserve"> </w:t>
      </w:r>
      <w:r w:rsidR="00820FFA">
        <w:t>15</w:t>
      </w:r>
      <w:r>
        <w:t>, 2016-</w:t>
      </w:r>
      <w:r w:rsidR="004172EE">
        <w:t>November</w:t>
      </w:r>
      <w:r>
        <w:t xml:space="preserve"> 1, 2016</w:t>
      </w:r>
    </w:p>
    <w:p w14:paraId="015C8701" w14:textId="77EF51EB" w:rsidR="00382E83" w:rsidRDefault="00820FFA" w:rsidP="00833413">
      <w:r>
        <w:t>This timeframe allows three</w:t>
      </w:r>
      <w:r w:rsidR="00382E83">
        <w:t xml:space="preserve"> study coh</w:t>
      </w:r>
      <w:r>
        <w:t>orts to be enrolled in full six-</w:t>
      </w:r>
      <w:r w:rsidR="00382E83">
        <w:t>month semesters.</w:t>
      </w:r>
    </w:p>
    <w:p w14:paraId="55B3D627" w14:textId="77777777" w:rsidR="00382E83" w:rsidRDefault="00382E83" w:rsidP="00833413"/>
    <w:p w14:paraId="6F2B7720" w14:textId="77777777" w:rsidR="00382E83" w:rsidRDefault="00382E83" w:rsidP="00833413">
      <w:pPr>
        <w:rPr>
          <w:b/>
        </w:rPr>
      </w:pPr>
      <w:r>
        <w:rPr>
          <w:b/>
        </w:rPr>
        <w:t>Interventions:</w:t>
      </w:r>
    </w:p>
    <w:p w14:paraId="7185ED93" w14:textId="69CFAC64" w:rsidR="00382E83" w:rsidRPr="00820FFA" w:rsidRDefault="00382E83" w:rsidP="00382E83">
      <w:pPr>
        <w:pStyle w:val="ListParagraph"/>
        <w:numPr>
          <w:ilvl w:val="0"/>
          <w:numId w:val="1"/>
        </w:numPr>
        <w:rPr>
          <w:b/>
        </w:rPr>
      </w:pPr>
      <w:r>
        <w:rPr>
          <w:b/>
        </w:rPr>
        <w:t xml:space="preserve">Control Group: </w:t>
      </w:r>
      <w:r>
        <w:t xml:space="preserve">Students in </w:t>
      </w:r>
      <w:r w:rsidR="003C13D8">
        <w:t xml:space="preserve">the </w:t>
      </w:r>
      <w:r>
        <w:t xml:space="preserve">control group </w:t>
      </w:r>
      <w:r w:rsidRPr="00382E83">
        <w:t xml:space="preserve">will complete the regular registration and orientation without any </w:t>
      </w:r>
      <w:r w:rsidR="00820FFA">
        <w:t>planning</w:t>
      </w:r>
      <w:r w:rsidRPr="00382E83">
        <w:t xml:space="preserve"> resources.</w:t>
      </w:r>
    </w:p>
    <w:p w14:paraId="62A2C8D2" w14:textId="4BEDAB80" w:rsidR="00820FFA" w:rsidRPr="00820FFA" w:rsidRDefault="00382E83" w:rsidP="00382E83">
      <w:pPr>
        <w:pStyle w:val="ListParagraph"/>
        <w:numPr>
          <w:ilvl w:val="0"/>
          <w:numId w:val="1"/>
        </w:numPr>
        <w:rPr>
          <w:b/>
        </w:rPr>
      </w:pPr>
      <w:r>
        <w:rPr>
          <w:b/>
        </w:rPr>
        <w:t xml:space="preserve">Planning </w:t>
      </w:r>
      <w:r w:rsidR="00820FFA">
        <w:rPr>
          <w:b/>
        </w:rPr>
        <w:t xml:space="preserve">Treatment </w:t>
      </w:r>
      <w:r>
        <w:rPr>
          <w:b/>
        </w:rPr>
        <w:t xml:space="preserve">Group: </w:t>
      </w:r>
      <w:r>
        <w:t xml:space="preserve">Prior to the first semester, this group will be guided through a detailed weekly planning process and will receive </w:t>
      </w:r>
      <w:r w:rsidR="00887018">
        <w:t>mobile phone notification</w:t>
      </w:r>
      <w:r>
        <w:t xml:space="preserve"> reminders about study plans and upcoming completion benchmarks in the course. </w:t>
      </w:r>
    </w:p>
    <w:p w14:paraId="58F71D0F" w14:textId="1DA8B4A6" w:rsidR="00382E83" w:rsidRPr="00382E83" w:rsidRDefault="00820FFA" w:rsidP="00820FFA">
      <w:pPr>
        <w:pStyle w:val="ListParagraph"/>
        <w:numPr>
          <w:ilvl w:val="0"/>
          <w:numId w:val="1"/>
        </w:numPr>
        <w:rPr>
          <w:b/>
        </w:rPr>
      </w:pPr>
      <w:r>
        <w:rPr>
          <w:b/>
        </w:rPr>
        <w:t xml:space="preserve">Legacy Planning Group: </w:t>
      </w:r>
      <w:r>
        <w:t xml:space="preserve">Students in the legacy group </w:t>
      </w:r>
      <w:r w:rsidRPr="00382E83">
        <w:t>will complete the regu</w:t>
      </w:r>
      <w:r>
        <w:t>lar registration and orientation with a simple planning exercise</w:t>
      </w:r>
      <w:r w:rsidRPr="00382E83">
        <w:t>.</w:t>
      </w:r>
      <w:r>
        <w:t xml:space="preserve"> This planning exercise, which is less detailed than the exercise in the planning treatment group, is the current status quo for enrolling students. It includes no reminders or specific calendar activities.  </w:t>
      </w:r>
    </w:p>
    <w:p w14:paraId="1B22B4DF" w14:textId="77777777" w:rsidR="003143FF" w:rsidRDefault="003143FF" w:rsidP="00833413">
      <w:pPr>
        <w:rPr>
          <w:b/>
        </w:rPr>
      </w:pPr>
      <w:r>
        <w:rPr>
          <w:b/>
        </w:rPr>
        <w:t xml:space="preserve">Outcomes: </w:t>
      </w:r>
    </w:p>
    <w:p w14:paraId="1D81A27C" w14:textId="77777777" w:rsidR="003143FF" w:rsidRPr="00106B0A" w:rsidRDefault="003143FF" w:rsidP="00833413">
      <w:pPr>
        <w:rPr>
          <w:i/>
        </w:rPr>
      </w:pPr>
      <w:r w:rsidRPr="00106B0A">
        <w:rPr>
          <w:i/>
        </w:rPr>
        <w:t>Primary Outcomes-</w:t>
      </w:r>
    </w:p>
    <w:p w14:paraId="11432FDD" w14:textId="77777777" w:rsidR="003143FF" w:rsidRDefault="003143FF" w:rsidP="003143FF">
      <w:pPr>
        <w:pStyle w:val="ListParagraph"/>
        <w:numPr>
          <w:ilvl w:val="0"/>
          <w:numId w:val="2"/>
        </w:numPr>
      </w:pPr>
      <w:r>
        <w:t>Credit hours c</w:t>
      </w:r>
      <w:r w:rsidRPr="003143FF">
        <w:t>ompleted</w:t>
      </w:r>
      <w:r>
        <w:t xml:space="preserve"> during first semester</w:t>
      </w:r>
    </w:p>
    <w:p w14:paraId="598FE955" w14:textId="77777777" w:rsidR="003143FF" w:rsidRPr="003143FF" w:rsidRDefault="00106B0A" w:rsidP="003143FF">
      <w:pPr>
        <w:pStyle w:val="ListParagraph"/>
        <w:numPr>
          <w:ilvl w:val="0"/>
          <w:numId w:val="2"/>
        </w:numPr>
      </w:pPr>
      <w:r>
        <w:t>Indicator for completion of</w:t>
      </w:r>
      <w:r w:rsidR="003143FF">
        <w:t xml:space="preserve"> 12 or more credits</w:t>
      </w:r>
      <w:r>
        <w:t xml:space="preserve"> during first semester</w:t>
      </w:r>
    </w:p>
    <w:p w14:paraId="00F736A1" w14:textId="77777777" w:rsidR="003143FF" w:rsidRPr="003143FF" w:rsidRDefault="003143FF" w:rsidP="003143FF">
      <w:pPr>
        <w:pStyle w:val="ListParagraph"/>
        <w:numPr>
          <w:ilvl w:val="0"/>
          <w:numId w:val="2"/>
        </w:numPr>
      </w:pPr>
      <w:r w:rsidRPr="003143FF">
        <w:t xml:space="preserve">Re-enrollment </w:t>
      </w:r>
      <w:r>
        <w:t>in</w:t>
      </w:r>
      <w:r w:rsidRPr="003143FF">
        <w:t xml:space="preserve"> following semester</w:t>
      </w:r>
    </w:p>
    <w:p w14:paraId="26F75C50" w14:textId="77777777" w:rsidR="003143FF" w:rsidRPr="00106B0A" w:rsidRDefault="003143FF" w:rsidP="003143FF">
      <w:pPr>
        <w:rPr>
          <w:i/>
        </w:rPr>
      </w:pPr>
      <w:r w:rsidRPr="00106B0A">
        <w:rPr>
          <w:i/>
        </w:rPr>
        <w:t>Secondary Outcomes-</w:t>
      </w:r>
    </w:p>
    <w:p w14:paraId="7A9D27C7" w14:textId="77777777" w:rsidR="003143FF" w:rsidRPr="00106B0A" w:rsidRDefault="003143FF" w:rsidP="003143FF">
      <w:pPr>
        <w:pStyle w:val="ListParagraph"/>
        <w:numPr>
          <w:ilvl w:val="0"/>
          <w:numId w:val="3"/>
        </w:numPr>
      </w:pPr>
      <w:r w:rsidRPr="00106B0A">
        <w:t xml:space="preserve">Number of </w:t>
      </w:r>
      <w:proofErr w:type="gramStart"/>
      <w:r w:rsidRPr="00106B0A">
        <w:t>days</w:t>
      </w:r>
      <w:proofErr w:type="gramEnd"/>
      <w:r w:rsidRPr="00106B0A">
        <w:t xml:space="preserve"> students access course website</w:t>
      </w:r>
    </w:p>
    <w:p w14:paraId="7A0BE3E7" w14:textId="77777777" w:rsidR="003143FF" w:rsidRPr="00106B0A" w:rsidRDefault="00106B0A" w:rsidP="003143FF">
      <w:pPr>
        <w:pStyle w:val="ListParagraph"/>
        <w:numPr>
          <w:ilvl w:val="0"/>
          <w:numId w:val="3"/>
        </w:numPr>
      </w:pPr>
      <w:r w:rsidRPr="00106B0A">
        <w:t xml:space="preserve">Days per month (for each month in </w:t>
      </w:r>
      <w:proofErr w:type="gramStart"/>
      <w:r w:rsidRPr="00106B0A">
        <w:t>6 month</w:t>
      </w:r>
      <w:proofErr w:type="gramEnd"/>
      <w:r w:rsidRPr="00106B0A">
        <w:t xml:space="preserve"> term) students access course website</w:t>
      </w:r>
    </w:p>
    <w:p w14:paraId="35331F03" w14:textId="77777777" w:rsidR="00106B0A" w:rsidRDefault="00106B0A" w:rsidP="003143FF">
      <w:pPr>
        <w:pStyle w:val="ListParagraph"/>
        <w:numPr>
          <w:ilvl w:val="0"/>
          <w:numId w:val="3"/>
        </w:numPr>
      </w:pPr>
      <w:r w:rsidRPr="00106B0A">
        <w:t>Time to first course completion</w:t>
      </w:r>
    </w:p>
    <w:p w14:paraId="48E07084" w14:textId="20B4B8E4" w:rsidR="002936D5" w:rsidRPr="00106B0A" w:rsidRDefault="002936D5" w:rsidP="003143FF">
      <w:pPr>
        <w:pStyle w:val="ListParagraph"/>
        <w:numPr>
          <w:ilvl w:val="0"/>
          <w:numId w:val="3"/>
        </w:numPr>
      </w:pPr>
      <w:r>
        <w:t xml:space="preserve">Credit hours completed per month (in each </w:t>
      </w:r>
      <w:proofErr w:type="gramStart"/>
      <w:r>
        <w:t>6 month</w:t>
      </w:r>
      <w:proofErr w:type="gramEnd"/>
      <w:r>
        <w:t xml:space="preserve"> term)</w:t>
      </w:r>
    </w:p>
    <w:p w14:paraId="053986F1" w14:textId="77777777" w:rsidR="00106B0A" w:rsidRDefault="00106B0A" w:rsidP="00106B0A">
      <w:pPr>
        <w:rPr>
          <w:b/>
        </w:rPr>
      </w:pPr>
    </w:p>
    <w:p w14:paraId="0AFA7EA8" w14:textId="77777777" w:rsidR="00106B0A" w:rsidRPr="00106B0A" w:rsidRDefault="00106B0A" w:rsidP="00106B0A">
      <w:pPr>
        <w:rPr>
          <w:i/>
        </w:rPr>
      </w:pPr>
      <w:r w:rsidRPr="00106B0A">
        <w:rPr>
          <w:i/>
        </w:rPr>
        <w:t>Tertiary Outcomes-</w:t>
      </w:r>
    </w:p>
    <w:p w14:paraId="46D9A1DD" w14:textId="77777777" w:rsidR="00106B0A" w:rsidRDefault="00106B0A" w:rsidP="00106B0A">
      <w:pPr>
        <w:pStyle w:val="ListParagraph"/>
        <w:numPr>
          <w:ilvl w:val="0"/>
          <w:numId w:val="4"/>
        </w:numPr>
      </w:pPr>
      <w:r w:rsidRPr="00106B0A">
        <w:t>Indicator for course website logon during scheduled study times</w:t>
      </w:r>
    </w:p>
    <w:p w14:paraId="262362EB" w14:textId="77777777" w:rsidR="00106B0A" w:rsidRDefault="00106B0A" w:rsidP="00106B0A">
      <w:pPr>
        <w:pStyle w:val="ListParagraph"/>
        <w:numPr>
          <w:ilvl w:val="0"/>
          <w:numId w:val="4"/>
        </w:numPr>
      </w:pPr>
      <w:r w:rsidRPr="00106B0A">
        <w:t>Number of changes to study calendar</w:t>
      </w:r>
    </w:p>
    <w:p w14:paraId="4A15AA46" w14:textId="27C4CC9D" w:rsidR="002C4A40" w:rsidRDefault="00887018" w:rsidP="002C4A40">
      <w:pPr>
        <w:pStyle w:val="ListParagraph"/>
        <w:numPr>
          <w:ilvl w:val="0"/>
          <w:numId w:val="4"/>
        </w:numPr>
      </w:pPr>
      <w:r>
        <w:t>Course website activity in relation to reminders</w:t>
      </w:r>
    </w:p>
    <w:p w14:paraId="12D96EC6" w14:textId="63ACA4E9" w:rsidR="00887018" w:rsidRDefault="00887018" w:rsidP="002C4A40">
      <w:pPr>
        <w:pStyle w:val="ListParagraph"/>
        <w:numPr>
          <w:ilvl w:val="0"/>
          <w:numId w:val="4"/>
        </w:numPr>
      </w:pPr>
      <w:r>
        <w:t>Receipt of web and mobile notification reminders</w:t>
      </w:r>
    </w:p>
    <w:p w14:paraId="36969DB9" w14:textId="77777777" w:rsidR="00106B0A" w:rsidRDefault="00106B0A" w:rsidP="00106B0A"/>
    <w:p w14:paraId="4B2D9F91" w14:textId="77777777" w:rsidR="00106B0A" w:rsidRDefault="00106B0A" w:rsidP="00106B0A">
      <w:pPr>
        <w:rPr>
          <w:b/>
        </w:rPr>
      </w:pPr>
      <w:r w:rsidRPr="00106B0A">
        <w:rPr>
          <w:b/>
        </w:rPr>
        <w:t>Experimental Design</w:t>
      </w:r>
      <w:r>
        <w:rPr>
          <w:b/>
        </w:rPr>
        <w:t>:</w:t>
      </w:r>
    </w:p>
    <w:p w14:paraId="304F63F4" w14:textId="15807227" w:rsidR="00D63DBC" w:rsidRPr="00D63DBC" w:rsidRDefault="00D63DBC" w:rsidP="00106B0A">
      <w:r>
        <w:t xml:space="preserve">Students in this trial will be randomly assigned to one of </w:t>
      </w:r>
      <w:r w:rsidR="00887018">
        <w:t>three</w:t>
      </w:r>
      <w:r>
        <w:t xml:space="preserve"> treatment groups.  </w:t>
      </w:r>
    </w:p>
    <w:p w14:paraId="70BA5F27" w14:textId="77262355" w:rsidR="00D63DBC" w:rsidRPr="00D63DBC" w:rsidRDefault="00D63DBC" w:rsidP="00106B0A">
      <w:pPr>
        <w:pStyle w:val="ListParagraph"/>
        <w:numPr>
          <w:ilvl w:val="0"/>
          <w:numId w:val="5"/>
        </w:numPr>
      </w:pPr>
      <w:r w:rsidRPr="00D63DBC">
        <w:rPr>
          <w:rFonts w:cs="Arial"/>
          <w:iCs/>
        </w:rPr>
        <w:t xml:space="preserve">Individuals in the </w:t>
      </w:r>
      <w:r>
        <w:rPr>
          <w:rFonts w:cs="Arial"/>
          <w:iCs/>
        </w:rPr>
        <w:t>first (</w:t>
      </w:r>
      <w:r w:rsidRPr="00D63DBC">
        <w:rPr>
          <w:rFonts w:cs="Arial"/>
          <w:iCs/>
        </w:rPr>
        <w:t>control</w:t>
      </w:r>
      <w:r>
        <w:rPr>
          <w:rFonts w:cs="Arial"/>
          <w:iCs/>
        </w:rPr>
        <w:t>)</w:t>
      </w:r>
      <w:r w:rsidRPr="00D63DBC">
        <w:rPr>
          <w:rFonts w:cs="Arial"/>
          <w:iCs/>
        </w:rPr>
        <w:t xml:space="preserve"> group will complete the regular registration and orientation without any additional resources. This group will provide a comparison for the groups that receive additional</w:t>
      </w:r>
      <w:r w:rsidR="005A0B15">
        <w:rPr>
          <w:rFonts w:cs="Arial"/>
          <w:iCs/>
        </w:rPr>
        <w:t xml:space="preserve"> planning resources.</w:t>
      </w:r>
    </w:p>
    <w:p w14:paraId="38E1615E" w14:textId="77777777" w:rsidR="00D63DBC" w:rsidRDefault="00D63DBC" w:rsidP="00D63DBC">
      <w:pPr>
        <w:pStyle w:val="ListParagraph"/>
      </w:pPr>
    </w:p>
    <w:p w14:paraId="174A8744" w14:textId="189AAB7B" w:rsidR="00AC190C" w:rsidRPr="00D63DBC" w:rsidRDefault="00AC190C" w:rsidP="00AC190C">
      <w:pPr>
        <w:pStyle w:val="ListParagraph"/>
        <w:numPr>
          <w:ilvl w:val="0"/>
          <w:numId w:val="5"/>
        </w:numPr>
      </w:pPr>
      <w:r w:rsidRPr="00D63DBC">
        <w:t xml:space="preserve">The second </w:t>
      </w:r>
      <w:r>
        <w:t xml:space="preserve">(planning) </w:t>
      </w:r>
      <w:r w:rsidRPr="00D63DBC">
        <w:t>group</w:t>
      </w:r>
      <w:r>
        <w:t xml:space="preserve"> </w:t>
      </w:r>
      <w:r w:rsidRPr="00D63DBC">
        <w:t xml:space="preserve">will receive automated planning resources in addition to their regular orientation and initial meeting with their student mentors (each student at </w:t>
      </w:r>
      <w:r>
        <w:t>the online institution</w:t>
      </w:r>
      <w:r w:rsidRPr="00D63DBC">
        <w:t xml:space="preserve"> is assigned a mentor). These automated planning resources will walk through planning activities that will culminate in a weekly schedule with study times and course completion benchmarks throughout the semester. Students will also receive reminders about their plans and benchmark goals throughout the semester. The calendars and reminders will be managed by </w:t>
      </w:r>
      <w:r w:rsidR="00AC2235">
        <w:t>the university</w:t>
      </w:r>
      <w:r w:rsidRPr="00D63DBC">
        <w:t>.</w:t>
      </w:r>
      <w:r w:rsidRPr="00D63DBC">
        <w:rPr>
          <w:b/>
        </w:rPr>
        <w:t xml:space="preserve">  </w:t>
      </w:r>
    </w:p>
    <w:p w14:paraId="2133F793" w14:textId="77777777" w:rsidR="00AC190C" w:rsidRDefault="00AC190C" w:rsidP="00AC190C">
      <w:pPr>
        <w:pStyle w:val="ListParagraph"/>
      </w:pPr>
    </w:p>
    <w:p w14:paraId="61AD7AE6" w14:textId="37D5ED52" w:rsidR="00AC190C" w:rsidRDefault="00AC190C" w:rsidP="00AC190C">
      <w:pPr>
        <w:pStyle w:val="ListParagraph"/>
      </w:pPr>
      <w:r>
        <w:t>A</w:t>
      </w:r>
      <w:r w:rsidRPr="00D63DBC">
        <w:t xml:space="preserve">s part of orientation for students in this group, we will share </w:t>
      </w:r>
      <w:r w:rsidR="00AC2235">
        <w:t>the university</w:t>
      </w:r>
      <w:r w:rsidRPr="00D63DBC">
        <w:t>'s recommendation for the</w:t>
      </w:r>
      <w:r w:rsidR="00AC2235">
        <w:t xml:space="preserve"> amount of study time each week (1-2 hours per credit) and require them to complete an interactive weekly planning activity</w:t>
      </w:r>
      <w:r w:rsidRPr="00D63DBC">
        <w:t>.</w:t>
      </w:r>
      <w:r w:rsidR="00AC2235">
        <w:t xml:space="preserve"> This activity planning activity breaks</w:t>
      </w:r>
      <w:r w:rsidR="00043EE6">
        <w:t xml:space="preserve"> the week into four categories (work, study, recreation, family &amp; home) and 21 subcategories </w:t>
      </w:r>
      <w:r w:rsidR="00043EE6" w:rsidRPr="00043EE6">
        <w:t>(</w:t>
      </w:r>
      <w:r w:rsidR="00043EE6" w:rsidRPr="00043EE6">
        <w:rPr>
          <w:b/>
        </w:rPr>
        <w:t>work</w:t>
      </w:r>
      <w:r w:rsidR="00043EE6">
        <w:t xml:space="preserve">-working, commuting, other work time; </w:t>
      </w:r>
      <w:r w:rsidR="00043EE6" w:rsidRPr="00043EE6">
        <w:rPr>
          <w:b/>
        </w:rPr>
        <w:t>study</w:t>
      </w:r>
      <w:r w:rsidR="00043EE6">
        <w:t xml:space="preserve">-mentor support, course readings, course writing, group activity, other study time; </w:t>
      </w:r>
      <w:r w:rsidR="00043EE6">
        <w:rPr>
          <w:b/>
        </w:rPr>
        <w:t>recreation-</w:t>
      </w:r>
      <w:r w:rsidR="00043EE6">
        <w:t xml:space="preserve">watching </w:t>
      </w:r>
      <w:proofErr w:type="spellStart"/>
      <w:r w:rsidR="00043EE6">
        <w:t>tv</w:t>
      </w:r>
      <w:proofErr w:type="spellEnd"/>
      <w:r w:rsidR="00043EE6">
        <w:t xml:space="preserve">, socializing, reading, exercise &amp; sports, browsing internet, other recreation; and </w:t>
      </w:r>
      <w:r w:rsidR="00043EE6">
        <w:rPr>
          <w:b/>
        </w:rPr>
        <w:t>family &amp; home-</w:t>
      </w:r>
      <w:r w:rsidR="00043EE6">
        <w:t>caring for family, preparing &amp; eating meals, cleaning &amp; laundry, household management, lawn and garden, sleep, other home and family).</w:t>
      </w:r>
      <w:r w:rsidR="00AC2235">
        <w:t xml:space="preserve"> </w:t>
      </w:r>
      <w:r w:rsidR="00043EE6">
        <w:t xml:space="preserve"> Once this planning activity is completed, students</w:t>
      </w:r>
      <w:r w:rsidRPr="00D63DBC">
        <w:t xml:space="preserve"> will then fill in a weekly google calendar with their major time commitments. </w:t>
      </w:r>
      <w:r w:rsidR="008D1849">
        <w:t>This calendar is pre-populated with activities for study, work, recreation, family/personal time. Students are required to use information from the planning activity to click and drag activities to create a weekly plan. Students are required to submit a screenshot of their completed calendar as an enrollment requirement.</w:t>
      </w:r>
      <w:r w:rsidRPr="00D63DBC">
        <w:t xml:space="preserve"> Students will be given </w:t>
      </w:r>
      <w:r w:rsidR="008D1849">
        <w:t xml:space="preserve">immediate </w:t>
      </w:r>
      <w:r w:rsidRPr="00D63DBC">
        <w:t>access to this calendar and will be able to change their weekly schedules throughout the semester.</w:t>
      </w:r>
    </w:p>
    <w:p w14:paraId="5750A1BF" w14:textId="77777777" w:rsidR="00AC190C" w:rsidRDefault="00AC190C" w:rsidP="00AC190C">
      <w:pPr>
        <w:pStyle w:val="ListParagraph"/>
      </w:pPr>
    </w:p>
    <w:p w14:paraId="4B59EE35" w14:textId="598E4A9E" w:rsidR="00AC190C" w:rsidRDefault="00AC190C" w:rsidP="00AC190C">
      <w:pPr>
        <w:pStyle w:val="ListParagraph"/>
      </w:pPr>
      <w:r>
        <w:t>After students have confirmed their course schedule with their student mentors, a computer program will automatically set complet</w:t>
      </w:r>
      <w:r w:rsidR="00E038F2">
        <w:t>ion benchmarks for the semester</w:t>
      </w:r>
      <w:r>
        <w:t xml:space="preserve">. These completion benchmarks will be set based on the start and finish date of each course. These finish dates for each course will be the main completion benchmarks. In addition, using the start and finish </w:t>
      </w:r>
      <w:r>
        <w:lastRenderedPageBreak/>
        <w:t>dates for each course and the timeframes outlined in the Course of Study Guide, we will generate intermediate completion benchmarks for each course. These intermediate completion benchmarks will be the dates by which each major course assessment should be completed and the dates by which each weekly unit of work in the Course of Study Guide should be completed. These completion benchmarks will be added to the google calendar and students will be able to change their completion benchmarks throughout the semester.</w:t>
      </w:r>
    </w:p>
    <w:p w14:paraId="54144E94" w14:textId="77777777" w:rsidR="00AC190C" w:rsidRDefault="00AC190C" w:rsidP="00AC190C">
      <w:pPr>
        <w:pStyle w:val="ListParagraph"/>
      </w:pPr>
    </w:p>
    <w:p w14:paraId="2A17701D" w14:textId="4B7A15E3" w:rsidR="00AC190C" w:rsidRDefault="00AC190C" w:rsidP="00AC190C">
      <w:pPr>
        <w:pStyle w:val="ListParagraph"/>
      </w:pPr>
      <w:r>
        <w:t>Finally, students will receive regular</w:t>
      </w:r>
      <w:r w:rsidR="008D1849">
        <w:t xml:space="preserve"> mobile</w:t>
      </w:r>
      <w:r>
        <w:t xml:space="preserve"> push notification reminders regarding their scheduled study sessions and completion benchmarks. Students will receive two study reminders each week 15 minutes before randomly selected study sessions (between 9am and 8pm). In addition to </w:t>
      </w:r>
      <w:r w:rsidR="008D1849">
        <w:t>notifications</w:t>
      </w:r>
      <w:r>
        <w:t xml:space="preserve"> about scheduled study times, students will also receive a reminder</w:t>
      </w:r>
      <w:r w:rsidR="003C066E">
        <w:t xml:space="preserve"> at 4pm</w:t>
      </w:r>
      <w:r>
        <w:t xml:space="preserve"> two days before each completion benchmark reminding them that their completion benchmark is approaching.</w:t>
      </w:r>
      <w:r w:rsidR="008D1849">
        <w:t xml:space="preserve"> These notifications will also be available in on the WGU homepage. </w:t>
      </w:r>
      <w:r>
        <w:t xml:space="preserve"> </w:t>
      </w:r>
    </w:p>
    <w:p w14:paraId="3103BF67" w14:textId="77777777" w:rsidR="00627CFD" w:rsidRPr="00627CFD" w:rsidRDefault="00627CFD" w:rsidP="00627CFD">
      <w:pPr>
        <w:pStyle w:val="ListParagraph"/>
        <w:rPr>
          <w:b/>
        </w:rPr>
      </w:pPr>
    </w:p>
    <w:p w14:paraId="194C34DB" w14:textId="6CE9049B" w:rsidR="00CB5A49" w:rsidRDefault="00AC190C" w:rsidP="00CB5A49">
      <w:pPr>
        <w:pStyle w:val="ListParagraph"/>
        <w:numPr>
          <w:ilvl w:val="0"/>
          <w:numId w:val="5"/>
        </w:numPr>
      </w:pPr>
      <w:r>
        <w:t>Students in the legacy planning treatment group will complete</w:t>
      </w:r>
      <w:r w:rsidR="00CB5A49">
        <w:t xml:space="preserve"> the standard enrollment process and</w:t>
      </w:r>
      <w:r>
        <w:t xml:space="preserve"> the status quo planning exercise</w:t>
      </w:r>
      <w:r w:rsidR="00CB5A49">
        <w:t>. The status quo planning exercise includes asking students to “Fill in the number of hours you spend on each activity” where students allocate up to 24 hours to the following activities:</w:t>
      </w:r>
      <w:r>
        <w:t xml:space="preserve"> </w:t>
      </w:r>
      <w:r w:rsidR="00CB5A49">
        <w:t xml:space="preserve">Working, Procrastination, Education, Sleeping, Exercise/Sports, Family commitments, Personal care and grooming, Meal preparation/eating/cleanup, Transportation, Relaxing/TV/videogames/hobbies (alone), Socializing/entertainment (with friends), and Other. Students also fill in approximately 20 hours of study time into weekly excel grid with 30 minute increments.  </w:t>
      </w:r>
    </w:p>
    <w:p w14:paraId="281C8EC5" w14:textId="77777777" w:rsidR="00415F2F" w:rsidRDefault="005F6FEB" w:rsidP="00833413">
      <w:pPr>
        <w:rPr>
          <w:b/>
        </w:rPr>
      </w:pPr>
      <w:r>
        <w:rPr>
          <w:b/>
        </w:rPr>
        <w:t>Randomization and Sample Size</w:t>
      </w:r>
      <w:r w:rsidR="00415F2F">
        <w:rPr>
          <w:b/>
        </w:rPr>
        <w:t>:</w:t>
      </w:r>
    </w:p>
    <w:p w14:paraId="6A9DE777" w14:textId="77777777" w:rsidR="00415F2F" w:rsidRDefault="00415F2F" w:rsidP="00833413">
      <w:pPr>
        <w:rPr>
          <w:i/>
        </w:rPr>
      </w:pPr>
      <w:r>
        <w:rPr>
          <w:i/>
        </w:rPr>
        <w:t>Randomization Method</w:t>
      </w:r>
    </w:p>
    <w:p w14:paraId="46C5C082" w14:textId="683D8845" w:rsidR="00415F2F" w:rsidRDefault="00415F2F" w:rsidP="00833413">
      <w:r>
        <w:t>Computerized randomization conducted in office</w:t>
      </w:r>
      <w:r w:rsidR="00CB5A49">
        <w:t>.</w:t>
      </w:r>
    </w:p>
    <w:p w14:paraId="2B7713DE" w14:textId="77777777" w:rsidR="00415F2F" w:rsidRDefault="00415F2F" w:rsidP="00833413"/>
    <w:p w14:paraId="092A05F9" w14:textId="4F9C5912" w:rsidR="00415F2F" w:rsidRDefault="00415F2F" w:rsidP="00833413">
      <w:pPr>
        <w:rPr>
          <w:i/>
        </w:rPr>
      </w:pPr>
      <w:r>
        <w:rPr>
          <w:i/>
        </w:rPr>
        <w:t>Randomization Level</w:t>
      </w:r>
    </w:p>
    <w:p w14:paraId="3C11F53C" w14:textId="17F9E11B" w:rsidR="00CB5A49" w:rsidRPr="00CB5A49" w:rsidRDefault="00CB5A49" w:rsidP="00833413">
      <w:r>
        <w:t xml:space="preserve">Student level randomization, blocked by field: medical or non-medical.  </w:t>
      </w:r>
    </w:p>
    <w:p w14:paraId="2C33E9B0" w14:textId="77777777" w:rsidR="00415F2F" w:rsidRDefault="00415F2F" w:rsidP="00833413"/>
    <w:p w14:paraId="5E98E2AC" w14:textId="77777777" w:rsidR="00415F2F" w:rsidRDefault="00415F2F" w:rsidP="00833413">
      <w:pPr>
        <w:rPr>
          <w:i/>
        </w:rPr>
      </w:pPr>
      <w:r>
        <w:rPr>
          <w:i/>
        </w:rPr>
        <w:t xml:space="preserve">Sample size </w:t>
      </w:r>
    </w:p>
    <w:p w14:paraId="2A3CC33E" w14:textId="1CFE4C39" w:rsidR="00415F2F" w:rsidRDefault="009730CA" w:rsidP="00833413">
      <w:r>
        <w:t>Approximately 15,000 students or 3 months of incoming students</w:t>
      </w:r>
    </w:p>
    <w:p w14:paraId="3ABA5808" w14:textId="77777777" w:rsidR="005F6FEB" w:rsidRDefault="005F6FEB" w:rsidP="00833413">
      <w:pPr>
        <w:rPr>
          <w:b/>
          <w:i/>
        </w:rPr>
      </w:pPr>
    </w:p>
    <w:p w14:paraId="19CFFF5A" w14:textId="77777777" w:rsidR="00367781" w:rsidRDefault="00367781" w:rsidP="00833413">
      <w:pPr>
        <w:rPr>
          <w:b/>
        </w:rPr>
      </w:pPr>
      <w:r>
        <w:rPr>
          <w:b/>
        </w:rPr>
        <w:t>Power Calculation:</w:t>
      </w:r>
    </w:p>
    <w:p w14:paraId="5B83EE5E" w14:textId="3AAA1436" w:rsidR="00367781" w:rsidRDefault="000C5457" w:rsidP="0019378F">
      <w:pPr>
        <w:pStyle w:val="ListParagraph"/>
        <w:numPr>
          <w:ilvl w:val="0"/>
          <w:numId w:val="6"/>
        </w:numPr>
        <w:spacing w:after="0"/>
      </w:pPr>
      <w:r>
        <w:t xml:space="preserve">Using prior semesters’ data on the average number of credit hours completed, the standard deviation of credit hours completed, and the average number of students mentored by a mentor we estimate that with a sample of </w:t>
      </w:r>
      <w:r w:rsidR="009730CA">
        <w:t>5,000</w:t>
      </w:r>
      <w:r>
        <w:t xml:space="preserve"> students</w:t>
      </w:r>
      <w:r w:rsidR="002765BB">
        <w:t xml:space="preserve"> in each arm of the experiment</w:t>
      </w:r>
      <w:r w:rsidR="009730CA">
        <w:t xml:space="preserve"> we will </w:t>
      </w:r>
      <w:r w:rsidR="009730CA">
        <w:lastRenderedPageBreak/>
        <w:t xml:space="preserve">be able to detect </w:t>
      </w:r>
      <w:r w:rsidR="002765BB">
        <w:t>effect size</w:t>
      </w:r>
      <w:r w:rsidR="009730CA">
        <w:t>s</w:t>
      </w:r>
      <w:r w:rsidR="002765BB">
        <w:t xml:space="preserve"> </w:t>
      </w:r>
      <w:r w:rsidR="009730CA">
        <w:t xml:space="preserve">at the 5% level </w:t>
      </w:r>
      <w:r w:rsidR="002765BB">
        <w:t xml:space="preserve">of </w:t>
      </w:r>
      <w:r w:rsidR="009730CA">
        <w:t xml:space="preserve">approximately 0.5 </w:t>
      </w:r>
      <w:r w:rsidR="002765BB">
        <w:t xml:space="preserve">on </w:t>
      </w:r>
      <w:r>
        <w:t>c</w:t>
      </w:r>
      <w:r w:rsidR="00367781">
        <w:t>redit hours c</w:t>
      </w:r>
      <w:r w:rsidR="00367781" w:rsidRPr="003143FF">
        <w:t>ompleted</w:t>
      </w:r>
      <w:r w:rsidR="00367781">
        <w:t xml:space="preserve"> during </w:t>
      </w:r>
      <w:r>
        <w:t xml:space="preserve">students’ </w:t>
      </w:r>
      <w:r w:rsidR="00367781">
        <w:t>first semester</w:t>
      </w:r>
      <w:r>
        <w:t xml:space="preserve"> </w:t>
      </w:r>
    </w:p>
    <w:p w14:paraId="6F5C81B5" w14:textId="77777777" w:rsidR="00367781" w:rsidRDefault="00367781" w:rsidP="0019378F">
      <w:pPr>
        <w:spacing w:after="0"/>
      </w:pPr>
    </w:p>
    <w:p w14:paraId="67347510" w14:textId="220CA258" w:rsidR="00367781" w:rsidRDefault="000C5457" w:rsidP="0019378F">
      <w:pPr>
        <w:pStyle w:val="ListParagraph"/>
        <w:numPr>
          <w:ilvl w:val="0"/>
          <w:numId w:val="6"/>
        </w:numPr>
        <w:spacing w:after="0"/>
      </w:pPr>
      <w:r>
        <w:t>Using prior semesters’ data on the average number of students who completed 12 or more credit</w:t>
      </w:r>
      <w:r w:rsidR="009730CA">
        <w:t xml:space="preserve">s, </w:t>
      </w:r>
      <w:r>
        <w:t xml:space="preserve">we estimate </w:t>
      </w:r>
      <w:r w:rsidR="002765BB">
        <w:t xml:space="preserve">that with a sample of </w:t>
      </w:r>
      <w:r w:rsidR="009730CA">
        <w:t>5000</w:t>
      </w:r>
      <w:r w:rsidR="002765BB">
        <w:t xml:space="preserve"> students in each arm of the experiment</w:t>
      </w:r>
      <w:r w:rsidR="009730CA">
        <w:t xml:space="preserve"> we will be able to detect</w:t>
      </w:r>
      <w:r>
        <w:t xml:space="preserve"> </w:t>
      </w:r>
      <w:r w:rsidR="002765BB">
        <w:t>effect size</w:t>
      </w:r>
      <w:r w:rsidR="009730CA">
        <w:t>s</w:t>
      </w:r>
      <w:r>
        <w:t xml:space="preserve"> </w:t>
      </w:r>
      <w:r w:rsidR="009730CA">
        <w:t>of 3</w:t>
      </w:r>
      <w:r w:rsidR="002765BB">
        <w:t xml:space="preserve"> percentage points on the likelihood of c</w:t>
      </w:r>
      <w:r w:rsidR="00367781">
        <w:t>ompleti</w:t>
      </w:r>
      <w:r w:rsidR="002765BB">
        <w:t>ng</w:t>
      </w:r>
      <w:r w:rsidR="00367781">
        <w:t xml:space="preserve"> 12 or more credits during first semester</w:t>
      </w:r>
      <w:r w:rsidR="002765BB">
        <w:t>.</w:t>
      </w:r>
    </w:p>
    <w:p w14:paraId="627BCC90" w14:textId="77777777" w:rsidR="00367781" w:rsidRPr="003143FF" w:rsidRDefault="00367781" w:rsidP="0019378F">
      <w:pPr>
        <w:spacing w:after="0"/>
      </w:pPr>
    </w:p>
    <w:p w14:paraId="038EDF9D" w14:textId="1DFCDA40" w:rsidR="00367781" w:rsidRDefault="002765BB" w:rsidP="0019378F">
      <w:pPr>
        <w:pStyle w:val="ListParagraph"/>
        <w:numPr>
          <w:ilvl w:val="0"/>
          <w:numId w:val="6"/>
        </w:numPr>
        <w:spacing w:after="0"/>
        <w:rPr>
          <w:b/>
        </w:rPr>
      </w:pPr>
      <w:r>
        <w:t xml:space="preserve">Using prior semesters’ data on the average number of students who re-enroll in courses the following semester </w:t>
      </w:r>
      <w:r w:rsidR="009730CA">
        <w:t>we estimate that with a sample of 5000</w:t>
      </w:r>
      <w:r>
        <w:t xml:space="preserve"> students in each arm of the experim</w:t>
      </w:r>
      <w:r w:rsidR="009730CA">
        <w:t xml:space="preserve">ent we will be able to detect </w:t>
      </w:r>
      <w:r>
        <w:t>effect size</w:t>
      </w:r>
      <w:r w:rsidR="009730CA">
        <w:t>s</w:t>
      </w:r>
      <w:r>
        <w:t xml:space="preserve"> of 3 percentage points on the likelihood of re-enrolling in course the following semester.</w:t>
      </w:r>
    </w:p>
    <w:p w14:paraId="1B25471B" w14:textId="77777777" w:rsidR="00367781" w:rsidRPr="00367781" w:rsidRDefault="00367781" w:rsidP="00833413">
      <w:pPr>
        <w:rPr>
          <w:b/>
        </w:rPr>
      </w:pPr>
    </w:p>
    <w:p w14:paraId="00258BB6" w14:textId="77777777" w:rsidR="00833413" w:rsidRDefault="00833413" w:rsidP="00833413"/>
    <w:p w14:paraId="3B6D81BC" w14:textId="77777777" w:rsidR="00367781" w:rsidRDefault="00367781" w:rsidP="00833413">
      <w:pPr>
        <w:rPr>
          <w:b/>
        </w:rPr>
      </w:pPr>
      <w:r w:rsidRPr="00367781">
        <w:rPr>
          <w:b/>
        </w:rPr>
        <w:t>Analysis Plan:</w:t>
      </w:r>
    </w:p>
    <w:p w14:paraId="7316E11D" w14:textId="77777777" w:rsidR="000C7ACF" w:rsidRDefault="000C7ACF" w:rsidP="00833413">
      <w:pPr>
        <w:rPr>
          <w:i/>
        </w:rPr>
      </w:pPr>
      <w:r>
        <w:rPr>
          <w:i/>
        </w:rPr>
        <w:t>Exclusion Restrictions</w:t>
      </w:r>
    </w:p>
    <w:p w14:paraId="4FC6F944" w14:textId="0745B96A" w:rsidR="000C7ACF" w:rsidRPr="000C7ACF" w:rsidRDefault="005672EC" w:rsidP="00833413">
      <w:r>
        <w:t xml:space="preserve">We will exclude students from analysis </w:t>
      </w:r>
      <w:r w:rsidR="006F70BC">
        <w:t>that do not complete registration by the registration deadline</w:t>
      </w:r>
      <w:r w:rsidR="001A3AE2">
        <w:t>. (25</w:t>
      </w:r>
      <w:r w:rsidR="001A3AE2" w:rsidRPr="001A3AE2">
        <w:rPr>
          <w:vertAlign w:val="superscript"/>
        </w:rPr>
        <w:t>th</w:t>
      </w:r>
      <w:r w:rsidR="001A3AE2">
        <w:t xml:space="preserve"> of the registration Month) these students are completely dropped from WGU.  </w:t>
      </w:r>
      <w:r w:rsidR="00887018">
        <w:t xml:space="preserve">All graduate students are omitted from </w:t>
      </w:r>
      <w:r w:rsidR="0033724F">
        <w:t xml:space="preserve">the main analysis, </w:t>
      </w:r>
      <w:r w:rsidR="00A27B02">
        <w:t>but will be looked at in a secondary analysis</w:t>
      </w:r>
      <w:r w:rsidR="00887018">
        <w:t xml:space="preserve">. While a third of the study participants are randomized into the legacy </w:t>
      </w:r>
      <w:r w:rsidR="00EC60AA">
        <w:t xml:space="preserve">planning orientation </w:t>
      </w:r>
      <w:r w:rsidR="00887018">
        <w:t xml:space="preserve">program, our primary public analysis excludes this group. </w:t>
      </w:r>
      <w:r w:rsidR="007A57B7">
        <w:t>Therefore, the following analysis plan only refers to t</w:t>
      </w:r>
      <w:bookmarkStart w:id="0" w:name="_GoBack"/>
      <w:bookmarkEnd w:id="0"/>
      <w:r w:rsidR="007A57B7">
        <w:t xml:space="preserve">reatment groups 1 &amp; 2.  </w:t>
      </w:r>
      <w:r w:rsidR="00887018">
        <w:t xml:space="preserve"> </w:t>
      </w:r>
    </w:p>
    <w:p w14:paraId="1F55768E" w14:textId="77777777" w:rsidR="003443AE" w:rsidRDefault="003443AE" w:rsidP="00833413">
      <w:pPr>
        <w:rPr>
          <w:i/>
        </w:rPr>
      </w:pPr>
      <w:r>
        <w:rPr>
          <w:i/>
        </w:rPr>
        <w:t>Balance Testing</w:t>
      </w:r>
    </w:p>
    <w:p w14:paraId="2CB1D8B0" w14:textId="1AF857EE" w:rsidR="003443AE" w:rsidRPr="003443AE" w:rsidRDefault="003443AE" w:rsidP="00833413">
      <w:r>
        <w:t xml:space="preserve">We will test for balance of demographic characteristics </w:t>
      </w:r>
      <w:r w:rsidR="000C7ACF">
        <w:t xml:space="preserve">across treatments including: age, gender, race, HS GPA, standardized test scores, and financial aid. We will use an F test to test equality of </w:t>
      </w:r>
      <w:r w:rsidR="00760958">
        <w:t xml:space="preserve">all </w:t>
      </w:r>
      <w:r w:rsidR="000C7ACF">
        <w:t xml:space="preserve">variables across treatments </w:t>
      </w:r>
      <m:oMath>
        <m:sSub>
          <m:sSubPr>
            <m:ctrlPr>
              <w:rPr>
                <w:rFonts w:ascii="Cambria Math" w:hAnsi="Cambria Math"/>
                <w:i/>
              </w:rPr>
            </m:ctrlPr>
          </m:sSubPr>
          <m:e>
            <m:r>
              <m:rPr>
                <m:sty m:val="bi"/>
              </m:rPr>
              <w:rPr>
                <w:rFonts w:ascii="Cambria Math" w:hAnsi="Cambria Math"/>
              </w:rPr>
              <m:t>T</m:t>
            </m:r>
          </m:e>
          <m:sub>
            <m:r>
              <m:rPr>
                <m:sty m:val="bi"/>
              </m:rPr>
              <w:rPr>
                <w:rFonts w:ascii="Cambria Math" w:hAnsi="Cambria Math"/>
              </w:rPr>
              <m:t>1</m:t>
            </m:r>
          </m:sub>
        </m:sSub>
        <m:r>
          <w:rPr>
            <w:rFonts w:ascii="Cambria Math" w:hAnsi="Cambria Math"/>
          </w:rPr>
          <m:t>=</m:t>
        </m:r>
        <m:sSub>
          <m:sSubPr>
            <m:ctrlPr>
              <w:rPr>
                <w:rFonts w:ascii="Cambria Math" w:hAnsi="Cambria Math"/>
                <w:b/>
                <w:i/>
              </w:rPr>
            </m:ctrlPr>
          </m:sSubPr>
          <m:e>
            <m:r>
              <m:rPr>
                <m:sty m:val="bi"/>
              </m:rPr>
              <w:rPr>
                <w:rFonts w:ascii="Cambria Math" w:hAnsi="Cambria Math"/>
              </w:rPr>
              <m:t>T</m:t>
            </m:r>
          </m:e>
          <m:sub>
            <m:r>
              <m:rPr>
                <m:sty m:val="bi"/>
              </m:rPr>
              <w:rPr>
                <w:rFonts w:ascii="Cambria Math" w:hAnsi="Cambria Math"/>
              </w:rPr>
              <m:t>2</m:t>
            </m:r>
          </m:sub>
        </m:sSub>
      </m:oMath>
      <w:r w:rsidR="000C7ACF">
        <w:t xml:space="preserve">and T tests to test pair-wise equality of variables  </w:t>
      </w:r>
      <m:oMath>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2</m:t>
            </m:r>
          </m:sub>
        </m:sSub>
        <m:r>
          <w:rPr>
            <w:rFonts w:ascii="Cambria Math" w:hAnsi="Cambria Math"/>
          </w:rPr>
          <m:t>.</m:t>
        </m:r>
      </m:oMath>
    </w:p>
    <w:p w14:paraId="3DD2AD22" w14:textId="77777777" w:rsidR="000C7ACF" w:rsidRDefault="000C7ACF" w:rsidP="00833413">
      <w:pPr>
        <w:rPr>
          <w:i/>
        </w:rPr>
      </w:pPr>
    </w:p>
    <w:p w14:paraId="22714514" w14:textId="6CE96202" w:rsidR="001140E0" w:rsidRDefault="001140E0" w:rsidP="00833413">
      <w:pPr>
        <w:rPr>
          <w:i/>
        </w:rPr>
      </w:pPr>
      <w:r>
        <w:rPr>
          <w:i/>
        </w:rPr>
        <w:t>Summary Statistics</w:t>
      </w:r>
    </w:p>
    <w:p w14:paraId="5061DA57" w14:textId="154D8620" w:rsidR="001140E0" w:rsidRPr="001140E0" w:rsidRDefault="001140E0" w:rsidP="00833413">
      <w:r>
        <w:t xml:space="preserve">In addition to reporting demographic pre-study characteristics by treatment category for our balance test, we will also report summary statistics for all primary, secondary, and tertiary outcomes.  </w:t>
      </w:r>
    </w:p>
    <w:p w14:paraId="259D1CDA" w14:textId="77777777" w:rsidR="001140E0" w:rsidRDefault="001140E0" w:rsidP="00833413">
      <w:pPr>
        <w:rPr>
          <w:i/>
        </w:rPr>
      </w:pPr>
    </w:p>
    <w:p w14:paraId="5648B8FB" w14:textId="77777777" w:rsidR="00367781" w:rsidRPr="00367781" w:rsidRDefault="00367781" w:rsidP="00833413">
      <w:pPr>
        <w:rPr>
          <w:i/>
        </w:rPr>
      </w:pPr>
      <w:r w:rsidRPr="00367781">
        <w:rPr>
          <w:i/>
        </w:rPr>
        <w:t>Primary analysis</w:t>
      </w:r>
    </w:p>
    <w:p w14:paraId="3EED67E6" w14:textId="77777777" w:rsidR="00367781" w:rsidRDefault="00367781" w:rsidP="00833413">
      <w:r>
        <w:t xml:space="preserve">Our primary analysis will examine the impact of </w:t>
      </w:r>
      <w:r w:rsidR="009B28C8">
        <w:t xml:space="preserve">treatment assignment </w:t>
      </w:r>
      <w:r w:rsidR="00D50B13">
        <w:t xml:space="preserve">on major academic outcomes including: </w:t>
      </w:r>
    </w:p>
    <w:p w14:paraId="34B7BFEB" w14:textId="77777777" w:rsidR="00D50B13" w:rsidRDefault="00D50B13" w:rsidP="00D50B13">
      <w:pPr>
        <w:pStyle w:val="ListParagraph"/>
        <w:numPr>
          <w:ilvl w:val="0"/>
          <w:numId w:val="7"/>
        </w:numPr>
      </w:pPr>
      <w:r>
        <w:t>Credit hours c</w:t>
      </w:r>
      <w:r w:rsidRPr="003143FF">
        <w:t>ompleted</w:t>
      </w:r>
      <w:r>
        <w:t xml:space="preserve"> during first semester</w:t>
      </w:r>
    </w:p>
    <w:p w14:paraId="084A5A4A" w14:textId="77777777" w:rsidR="00D50B13" w:rsidRPr="003143FF" w:rsidRDefault="00D50B13" w:rsidP="00D50B13">
      <w:pPr>
        <w:pStyle w:val="ListParagraph"/>
        <w:numPr>
          <w:ilvl w:val="0"/>
          <w:numId w:val="7"/>
        </w:numPr>
      </w:pPr>
      <w:r>
        <w:t>Indicator for completion of 12 or more credits during first semester</w:t>
      </w:r>
    </w:p>
    <w:p w14:paraId="27767A0A" w14:textId="77777777" w:rsidR="00D50B13" w:rsidRDefault="00D50B13" w:rsidP="00D50B13">
      <w:pPr>
        <w:pStyle w:val="ListParagraph"/>
        <w:numPr>
          <w:ilvl w:val="0"/>
          <w:numId w:val="7"/>
        </w:numPr>
      </w:pPr>
      <w:r w:rsidRPr="003143FF">
        <w:t xml:space="preserve">Re-enrollment </w:t>
      </w:r>
      <w:r>
        <w:t>in</w:t>
      </w:r>
      <w:r w:rsidRPr="003143FF">
        <w:t xml:space="preserve"> following semester</w:t>
      </w:r>
    </w:p>
    <w:p w14:paraId="07348B1B" w14:textId="77777777" w:rsidR="00D50B13" w:rsidRDefault="00D50B13" w:rsidP="00D50B13">
      <w:r>
        <w:lastRenderedPageBreak/>
        <w:t>We will use OLS to estimate the following equation</w:t>
      </w:r>
      <w:r w:rsidR="006F70BC">
        <w:t>:</w:t>
      </w:r>
      <w:r>
        <w:t xml:space="preserve"> </w:t>
      </w:r>
    </w:p>
    <w:p w14:paraId="05C94A80" w14:textId="37E54852" w:rsidR="00D50B13" w:rsidRPr="00D50B13" w:rsidRDefault="000C74BD" w:rsidP="00D50B13">
      <m:oMathPara>
        <m:oMath>
          <m:sSub>
            <m:sSubPr>
              <m:ctrlPr>
                <w:rPr>
                  <w:rFonts w:ascii="Cambria Math" w:hAnsi="Cambria Math"/>
                  <w:i/>
                </w:rPr>
              </m:ctrlPr>
            </m:sSubPr>
            <m:e>
              <m:d>
                <m:dPr>
                  <m:ctrlPr>
                    <w:rPr>
                      <w:rFonts w:ascii="Cambria Math" w:hAnsi="Cambria Math"/>
                      <w:i/>
                    </w:rPr>
                  </m:ctrlPr>
                </m:dPr>
                <m:e>
                  <m:r>
                    <m:rPr>
                      <m:sty m:val="p"/>
                    </m:rPr>
                    <w:rPr>
                      <w:rFonts w:ascii="Cambria Math" w:hAnsi="Cambria Math"/>
                    </w:rPr>
                    <m:t>I</m:t>
                  </m:r>
                </m:e>
              </m:d>
              <m:r>
                <w:rPr>
                  <w:rFonts w:ascii="Cambria Math" w:hAnsi="Cambria Math"/>
                </w:rPr>
                <m:t xml:space="preserve">              y</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1</m:t>
              </m:r>
            </m:sub>
          </m:sSub>
          <m:sSub>
            <m:sSubPr>
              <m:ctrlPr>
                <w:rPr>
                  <w:rFonts w:ascii="Cambria Math" w:hAnsi="Cambria Math"/>
                  <w:i/>
                </w:rPr>
              </m:ctrlPr>
            </m:sSubPr>
            <m:e>
              <m:r>
                <w:rPr>
                  <w:rFonts w:ascii="Cambria Math" w:hAnsi="Cambria Math"/>
                </w:rPr>
                <m:t>T</m:t>
              </m:r>
            </m:e>
            <m:sub>
              <m:r>
                <w:rPr>
                  <w:rFonts w:ascii="Cambria Math" w:hAnsi="Cambria Math"/>
                </w:rPr>
                <m:t>i</m:t>
              </m:r>
            </m:sub>
          </m:sSub>
          <m:r>
            <m:rPr>
              <m:sty m:val="bi"/>
            </m:rP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2</m:t>
              </m:r>
            </m:sub>
          </m:sSub>
          <m:sSub>
            <m:sSubPr>
              <m:ctrlPr>
                <w:rPr>
                  <w:rFonts w:ascii="Cambria Math" w:hAnsi="Cambria Math"/>
                  <w:b/>
                  <w:i/>
                </w:rPr>
              </m:ctrlPr>
            </m:sSubPr>
            <m:e>
              <m:r>
                <m:rPr>
                  <m:sty m:val="bi"/>
                </m:rPr>
                <w:rPr>
                  <w:rFonts w:ascii="Cambria Math" w:hAnsi="Cambria Math"/>
                </w:rPr>
                <m:t>V</m:t>
              </m:r>
            </m:e>
            <m:sub>
              <m:r>
                <m:rPr>
                  <m:sty m:val="bi"/>
                </m:rPr>
                <w:rPr>
                  <w:rFonts w:ascii="Cambria Math" w:hAnsi="Cambria Math"/>
                </w:rPr>
                <m:t>i</m:t>
              </m:r>
            </m:sub>
          </m:sSub>
          <m:r>
            <m:rPr>
              <m:sty m:val="bi"/>
            </m:rPr>
            <w:rPr>
              <w:rFonts w:ascii="Cambria Math" w:hAnsi="Cambria Math"/>
            </w:rPr>
            <m:t>+</m:t>
          </m:r>
          <m:sSub>
            <m:sSubPr>
              <m:ctrlPr>
                <w:rPr>
                  <w:rFonts w:ascii="Cambria Math" w:hAnsi="Cambria Math"/>
                  <w:i/>
                </w:rPr>
              </m:ctrlPr>
            </m:sSubPr>
            <m:e>
              <m:r>
                <w:rPr>
                  <w:rFonts w:ascii="Cambria Math" w:hAnsi="Cambria Math"/>
                </w:rPr>
                <m:t>ϵ</m:t>
              </m:r>
            </m:e>
            <m:sub>
              <m:r>
                <w:rPr>
                  <w:rFonts w:ascii="Cambria Math" w:hAnsi="Cambria Math"/>
                </w:rPr>
                <m:t>i</m:t>
              </m:r>
            </m:sub>
          </m:sSub>
        </m:oMath>
      </m:oMathPara>
    </w:p>
    <w:p w14:paraId="163BD31D" w14:textId="76397689" w:rsidR="00D50B13" w:rsidRDefault="00D50B13" w:rsidP="00833413">
      <w:r>
        <w:t xml:space="preserve">Where  </w:t>
      </w:r>
      <m:oMath>
        <m:sSub>
          <m:sSubPr>
            <m:ctrlPr>
              <w:rPr>
                <w:rFonts w:ascii="Cambria Math" w:hAnsi="Cambria Math"/>
                <w:i/>
              </w:rPr>
            </m:ctrlPr>
          </m:sSubPr>
          <m:e>
            <m:r>
              <w:rPr>
                <w:rFonts w:ascii="Cambria Math" w:hAnsi="Cambria Math"/>
              </w:rPr>
              <m:t>y</m:t>
            </m:r>
          </m:e>
          <m:sub>
            <m:r>
              <w:rPr>
                <w:rFonts w:ascii="Cambria Math" w:hAnsi="Cambria Math"/>
              </w:rPr>
              <m:t>i</m:t>
            </m:r>
          </m:sub>
        </m:sSub>
      </m:oMath>
      <w:r>
        <w:rPr>
          <w:rFonts w:eastAsiaTheme="minorEastAsia"/>
        </w:rPr>
        <w:t xml:space="preserve">  is a major academic outcome,</w:t>
      </w:r>
      <w:r>
        <w:rPr>
          <w:rFonts w:eastAsiaTheme="minorEastAsia"/>
          <w:b/>
        </w:rPr>
        <w:t xml:space="preserve"> </w:t>
      </w:r>
      <m:oMath>
        <m:sSub>
          <m:sSubPr>
            <m:ctrlPr>
              <w:rPr>
                <w:rFonts w:ascii="Cambria Math" w:hAnsi="Cambria Math"/>
                <w:i/>
              </w:rPr>
            </m:ctrlPr>
          </m:sSubPr>
          <m:e>
            <m:r>
              <w:rPr>
                <w:rFonts w:ascii="Cambria Math" w:hAnsi="Cambria Math"/>
              </w:rPr>
              <m:t>T</m:t>
            </m:r>
          </m:e>
          <m:sub>
            <m:r>
              <w:rPr>
                <w:rFonts w:ascii="Cambria Math" w:hAnsi="Cambria Math"/>
              </w:rPr>
              <m:t>i</m:t>
            </m:r>
          </m:sub>
        </m:sSub>
      </m:oMath>
      <w:r>
        <w:rPr>
          <w:rFonts w:eastAsiaTheme="minorEastAsia"/>
        </w:rPr>
        <w:t xml:space="preserve"> is </w:t>
      </w:r>
      <w:r w:rsidR="00760958">
        <w:rPr>
          <w:rFonts w:eastAsiaTheme="minorEastAsia"/>
        </w:rPr>
        <w:t>assignment to treatment</w:t>
      </w:r>
      <w:r>
        <w:rPr>
          <w:rFonts w:eastAsiaTheme="minorEastAsia"/>
        </w:rPr>
        <w:t xml:space="preserve">, and </w:t>
      </w:r>
      <m:oMath>
        <m:sSub>
          <m:sSubPr>
            <m:ctrlPr>
              <w:rPr>
                <w:rFonts w:ascii="Cambria Math" w:hAnsi="Cambria Math"/>
                <w:b/>
                <w:i/>
              </w:rPr>
            </m:ctrlPr>
          </m:sSubPr>
          <m:e>
            <m:r>
              <m:rPr>
                <m:sty m:val="bi"/>
              </m:rPr>
              <w:rPr>
                <w:rFonts w:ascii="Cambria Math" w:hAnsi="Cambria Math"/>
              </w:rPr>
              <m:t>V</m:t>
            </m:r>
          </m:e>
          <m:sub>
            <m:r>
              <m:rPr>
                <m:sty m:val="bi"/>
              </m:rPr>
              <w:rPr>
                <w:rFonts w:ascii="Cambria Math" w:hAnsi="Cambria Math"/>
              </w:rPr>
              <m:t>i</m:t>
            </m:r>
          </m:sub>
        </m:sSub>
      </m:oMath>
      <w:r>
        <w:rPr>
          <w:rFonts w:eastAsiaTheme="minorEastAsia"/>
          <w:b/>
        </w:rPr>
        <w:t xml:space="preserve"> </w:t>
      </w:r>
      <w:r w:rsidR="005672EC">
        <w:rPr>
          <w:rFonts w:eastAsiaTheme="minorEastAsia"/>
        </w:rPr>
        <w:t xml:space="preserve">is a vector of individual demographic characteristics. We will run two specifications for each outcome (1) without a vector of controls and (2) a full vector of control variables including: </w:t>
      </w:r>
      <w:r w:rsidR="005672EC">
        <w:t xml:space="preserve">age, </w:t>
      </w:r>
      <w:r w:rsidR="00802EBF">
        <w:t>sex</w:t>
      </w:r>
      <w:r w:rsidR="005672EC">
        <w:t>, race, HS GPA, standardized test scores, and financial aid.</w:t>
      </w:r>
      <w:r w:rsidR="0019378F">
        <w:t xml:space="preserve"> </w:t>
      </w:r>
      <w:r w:rsidR="006F70BC">
        <w:t xml:space="preserve"> In each case, we will cluster standard errors at the mentor level.  </w:t>
      </w:r>
    </w:p>
    <w:p w14:paraId="101EC55F" w14:textId="77777777" w:rsidR="006F70BC" w:rsidRDefault="006F70BC" w:rsidP="00833413"/>
    <w:p w14:paraId="07868C15" w14:textId="5BB4F54D" w:rsidR="006F70BC" w:rsidRDefault="006F70BC" w:rsidP="00833413">
      <w:pPr>
        <w:rPr>
          <w:i/>
        </w:rPr>
      </w:pPr>
      <w:r>
        <w:rPr>
          <w:i/>
        </w:rPr>
        <w:t>Heterog</w:t>
      </w:r>
      <w:r w:rsidR="009730CA">
        <w:rPr>
          <w:i/>
        </w:rPr>
        <w:t>ene</w:t>
      </w:r>
      <w:r>
        <w:rPr>
          <w:i/>
        </w:rPr>
        <w:t xml:space="preserve">ity Analysis of Primary Outcomes </w:t>
      </w:r>
    </w:p>
    <w:p w14:paraId="4FB8A871" w14:textId="77777777" w:rsidR="006F70BC" w:rsidRDefault="006F70BC" w:rsidP="00833413"/>
    <w:p w14:paraId="7A22D455" w14:textId="77777777" w:rsidR="006F70BC" w:rsidRDefault="006F70BC" w:rsidP="00833413">
      <w:r>
        <w:t xml:space="preserve">In our heterogeneity analysis we will estimate the following equation: </w:t>
      </w:r>
    </w:p>
    <w:p w14:paraId="2538C68E" w14:textId="3CA575B2" w:rsidR="006F70BC" w:rsidRPr="00CC0675" w:rsidRDefault="000C74BD" w:rsidP="006F70BC">
      <w:pPr>
        <w:rPr>
          <w:rFonts w:eastAsiaTheme="minorEastAsia"/>
        </w:rPr>
      </w:pPr>
      <m:oMathPara>
        <m:oMath>
          <m:sSub>
            <m:sSubPr>
              <m:ctrlPr>
                <w:rPr>
                  <w:rFonts w:ascii="Cambria Math" w:hAnsi="Cambria Math"/>
                  <w:i/>
                </w:rPr>
              </m:ctrlPr>
            </m:sSubPr>
            <m:e>
              <m:r>
                <w:rPr>
                  <w:rFonts w:ascii="Cambria Math" w:hAnsi="Cambria Math"/>
                </w:rPr>
                <m:t>(</m:t>
              </m:r>
              <m:r>
                <m:rPr>
                  <m:sty m:val="p"/>
                </m:rPr>
                <w:rPr>
                  <w:rFonts w:ascii="Cambria Math" w:hAnsi="Cambria Math"/>
                </w:rPr>
                <m:t>II)</m:t>
              </m:r>
              <m:r>
                <w:rPr>
                  <w:rFonts w:ascii="Cambria Math" w:hAnsi="Cambria Math"/>
                </w:rPr>
                <m:t xml:space="preserve">                  y</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1</m:t>
              </m:r>
            </m:sub>
          </m:sSub>
          <m:r>
            <m:rPr>
              <m:sty m:val="bi"/>
            </m:rPr>
            <w:rPr>
              <w:rFonts w:ascii="Cambria Math" w:hAnsi="Cambria Math"/>
            </w:rPr>
            <m:t>T+</m:t>
          </m:r>
          <m:sSub>
            <m:sSubPr>
              <m:ctrlPr>
                <w:rPr>
                  <w:rFonts w:ascii="Cambria Math" w:hAnsi="Cambria Math"/>
                  <w:b/>
                  <w:i/>
                </w:rPr>
              </m:ctrlPr>
            </m:sSubPr>
            <m:e>
              <m:r>
                <w:rPr>
                  <w:rFonts w:ascii="Cambria Math" w:hAnsi="Cambria Math"/>
                </w:rPr>
                <m:t>β</m:t>
              </m:r>
              <m:ctrlPr>
                <w:rPr>
                  <w:rFonts w:ascii="Cambria Math" w:hAnsi="Cambria Math"/>
                  <w:i/>
                </w:rPr>
              </m:ctrlPr>
            </m:e>
            <m:sub>
              <m:r>
                <m:rPr>
                  <m:sty m:val="bi"/>
                </m:rPr>
                <w:rPr>
                  <w:rFonts w:ascii="Cambria Math" w:hAnsi="Cambria Math"/>
                </w:rPr>
                <m:t>2</m:t>
              </m:r>
            </m:sub>
          </m:sSub>
          <m:sSub>
            <m:sSubPr>
              <m:ctrlPr>
                <w:rPr>
                  <w:rFonts w:ascii="Cambria Math" w:hAnsi="Cambria Math"/>
                  <w:i/>
                </w:rPr>
              </m:ctrlPr>
            </m:sSubPr>
            <m:e>
              <m:r>
                <w:rPr>
                  <w:rFonts w:ascii="Cambria Math" w:hAnsi="Cambria Math"/>
                </w:rPr>
                <m:t>X</m:t>
              </m:r>
            </m:e>
            <m:sub>
              <m:r>
                <w:rPr>
                  <w:rFonts w:ascii="Cambria Math" w:hAnsi="Cambria Math"/>
                </w:rPr>
                <m:t>i</m:t>
              </m:r>
            </m:sub>
          </m:sSub>
          <m:r>
            <m:rPr>
              <m:sty m:val="bi"/>
            </m:rP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3</m:t>
              </m:r>
            </m:sub>
          </m:sSub>
          <m:r>
            <m:rPr>
              <m:sty m:val="bi"/>
            </m:rPr>
            <w:rPr>
              <w:rFonts w:ascii="Cambria Math" w:hAnsi="Cambria Math"/>
            </w:rPr>
            <m:t>T*</m:t>
          </m:r>
          <m:sSub>
            <m:sSubPr>
              <m:ctrlPr>
                <w:rPr>
                  <w:rFonts w:ascii="Cambria Math" w:hAnsi="Cambria Math"/>
                  <w:i/>
                </w:rPr>
              </m:ctrlPr>
            </m:sSubPr>
            <m:e>
              <m:r>
                <w:rPr>
                  <w:rFonts w:ascii="Cambria Math" w:hAnsi="Cambria Math"/>
                </w:rPr>
                <m:t>X</m:t>
              </m:r>
              <m:ctrlPr>
                <w:rPr>
                  <w:rFonts w:ascii="Cambria Math" w:hAnsi="Cambria Math"/>
                  <w:b/>
                  <w:i/>
                </w:rPr>
              </m:ctrlPr>
            </m:e>
            <m:sub>
              <m:r>
                <w:rPr>
                  <w:rFonts w:ascii="Cambria Math" w:hAnsi="Cambria Math"/>
                </w:rPr>
                <m:t>i</m:t>
              </m:r>
            </m:sub>
          </m:sSub>
          <m:r>
            <m:rPr>
              <m:sty m:val="bi"/>
            </m:rP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4</m:t>
              </m:r>
            </m:sub>
          </m:sSub>
          <m:sSub>
            <m:sSubPr>
              <m:ctrlPr>
                <w:rPr>
                  <w:rFonts w:ascii="Cambria Math" w:hAnsi="Cambria Math"/>
                  <w:b/>
                  <w:i/>
                </w:rPr>
              </m:ctrlPr>
            </m:sSubPr>
            <m:e>
              <m:r>
                <m:rPr>
                  <m:sty m:val="bi"/>
                </m:rPr>
                <w:rPr>
                  <w:rFonts w:ascii="Cambria Math" w:hAnsi="Cambria Math"/>
                </w:rPr>
                <m:t>V</m:t>
              </m:r>
            </m:e>
            <m:sub>
              <m:r>
                <m:rPr>
                  <m:sty m:val="bi"/>
                </m:rPr>
                <w:rPr>
                  <w:rFonts w:ascii="Cambria Math" w:hAnsi="Cambria Math"/>
                </w:rPr>
                <m:t>i</m:t>
              </m:r>
            </m:sub>
          </m:sSub>
          <m:r>
            <m:rPr>
              <m:sty m:val="bi"/>
            </m:rPr>
            <w:rPr>
              <w:rFonts w:ascii="Cambria Math" w:hAnsi="Cambria Math"/>
            </w:rPr>
            <m:t>+</m:t>
          </m:r>
          <m:sSub>
            <m:sSubPr>
              <m:ctrlPr>
                <w:rPr>
                  <w:rFonts w:ascii="Cambria Math" w:hAnsi="Cambria Math"/>
                  <w:i/>
                </w:rPr>
              </m:ctrlPr>
            </m:sSubPr>
            <m:e>
              <m:r>
                <w:rPr>
                  <w:rFonts w:ascii="Cambria Math" w:hAnsi="Cambria Math"/>
                </w:rPr>
                <m:t>ϵ</m:t>
              </m:r>
            </m:e>
            <m:sub>
              <m:r>
                <w:rPr>
                  <w:rFonts w:ascii="Cambria Math" w:hAnsi="Cambria Math"/>
                </w:rPr>
                <m:t>i</m:t>
              </m:r>
            </m:sub>
          </m:sSub>
        </m:oMath>
      </m:oMathPara>
    </w:p>
    <w:p w14:paraId="6926913F" w14:textId="15854EAC" w:rsidR="00802EBF" w:rsidRDefault="00802EBF" w:rsidP="006F70BC">
      <w:pPr>
        <w:rPr>
          <w:rFonts w:eastAsiaTheme="minorEastAsia"/>
        </w:rPr>
      </w:pPr>
      <w:r>
        <w:rPr>
          <w:rFonts w:eastAsiaTheme="minorEastAsia"/>
        </w:rPr>
        <w:t xml:space="preserve">This heterogeneity analysis will analyze whether responsiveness to treatment varies by sex, </w:t>
      </w:r>
      <w:r w:rsidR="00555730">
        <w:rPr>
          <w:rFonts w:eastAsiaTheme="minorEastAsia"/>
        </w:rPr>
        <w:t xml:space="preserve">age, </w:t>
      </w:r>
      <w:r>
        <w:rPr>
          <w:rFonts w:eastAsiaTheme="minorEastAsia"/>
        </w:rPr>
        <w:t>previous college credits, standardized test scores, HS GPA, financial aid status</w:t>
      </w:r>
      <w:r w:rsidR="00F459E9">
        <w:rPr>
          <w:rFonts w:eastAsiaTheme="minorEastAsia"/>
        </w:rPr>
        <w:t>, and whether students have downloaded the WGU app</w:t>
      </w:r>
      <w:r>
        <w:rPr>
          <w:rFonts w:eastAsiaTheme="minorEastAsia"/>
        </w:rPr>
        <w:t xml:space="preserve">. For college credits, standardized test scores, and HS GPA, binary indicator variables will be generated with approximately equal numbers of students being split into high and low values. </w:t>
      </w:r>
      <w:r w:rsidR="00F459E9">
        <w:rPr>
          <w:rFonts w:eastAsiaTheme="minorEastAsia"/>
        </w:rPr>
        <w:t xml:space="preserve">The purpose of examining treatment effect by WGU app download </w:t>
      </w:r>
      <w:r w:rsidR="00760958">
        <w:rPr>
          <w:rFonts w:eastAsiaTheme="minorEastAsia"/>
        </w:rPr>
        <w:t>is to estimate whether the treatment has an effect on people who do not receive push notification reminders.</w:t>
      </w:r>
    </w:p>
    <w:p w14:paraId="0FD2C147" w14:textId="2AB4AED6" w:rsidR="00802EBF" w:rsidRDefault="00802EBF" w:rsidP="006F70BC">
      <w:pPr>
        <w:rPr>
          <w:rFonts w:eastAsiaTheme="minorEastAsia"/>
        </w:rPr>
      </w:pPr>
      <w:r>
        <w:rPr>
          <w:rFonts w:eastAsiaTheme="minorEastAsia"/>
        </w:rPr>
        <w:t>Primary heterogeneous characteristics include:</w:t>
      </w:r>
    </w:p>
    <w:p w14:paraId="4C8B5AAA" w14:textId="08201405" w:rsidR="00802EBF" w:rsidRDefault="00802EBF" w:rsidP="00802EBF">
      <w:pPr>
        <w:pStyle w:val="ListParagraph"/>
        <w:numPr>
          <w:ilvl w:val="0"/>
          <w:numId w:val="8"/>
        </w:numPr>
        <w:rPr>
          <w:rFonts w:eastAsiaTheme="minorEastAsia"/>
        </w:rPr>
      </w:pPr>
      <w:r>
        <w:rPr>
          <w:rFonts w:eastAsiaTheme="minorEastAsia"/>
        </w:rPr>
        <w:t>Sex</w:t>
      </w:r>
    </w:p>
    <w:p w14:paraId="2986F36A" w14:textId="393502C0" w:rsidR="00555730" w:rsidRDefault="00555730" w:rsidP="00802EBF">
      <w:pPr>
        <w:pStyle w:val="ListParagraph"/>
        <w:numPr>
          <w:ilvl w:val="0"/>
          <w:numId w:val="8"/>
        </w:numPr>
        <w:rPr>
          <w:rFonts w:eastAsiaTheme="minorEastAsia"/>
        </w:rPr>
      </w:pPr>
      <w:r>
        <w:rPr>
          <w:rFonts w:eastAsiaTheme="minorEastAsia"/>
        </w:rPr>
        <w:t>age</w:t>
      </w:r>
    </w:p>
    <w:p w14:paraId="2027BE86" w14:textId="6A7384BE" w:rsidR="00802EBF" w:rsidRDefault="00802EBF" w:rsidP="00802EBF">
      <w:pPr>
        <w:pStyle w:val="ListParagraph"/>
        <w:numPr>
          <w:ilvl w:val="0"/>
          <w:numId w:val="8"/>
        </w:numPr>
        <w:rPr>
          <w:rFonts w:eastAsiaTheme="minorEastAsia"/>
        </w:rPr>
      </w:pPr>
      <w:r>
        <w:rPr>
          <w:rFonts w:eastAsiaTheme="minorEastAsia"/>
        </w:rPr>
        <w:t>College credits</w:t>
      </w:r>
    </w:p>
    <w:p w14:paraId="51ACBA4A" w14:textId="787CF02C" w:rsidR="00802EBF" w:rsidRDefault="00802EBF" w:rsidP="00802EBF">
      <w:pPr>
        <w:pStyle w:val="ListParagraph"/>
        <w:numPr>
          <w:ilvl w:val="0"/>
          <w:numId w:val="8"/>
        </w:numPr>
        <w:rPr>
          <w:rFonts w:eastAsiaTheme="minorEastAsia"/>
        </w:rPr>
      </w:pPr>
      <w:r>
        <w:rPr>
          <w:rFonts w:eastAsiaTheme="minorEastAsia"/>
        </w:rPr>
        <w:t>Standardized test scores</w:t>
      </w:r>
    </w:p>
    <w:p w14:paraId="38448AE2" w14:textId="3890D9B7" w:rsidR="00760958" w:rsidRDefault="00760958" w:rsidP="00802EBF">
      <w:pPr>
        <w:pStyle w:val="ListParagraph"/>
        <w:numPr>
          <w:ilvl w:val="0"/>
          <w:numId w:val="8"/>
        </w:numPr>
        <w:rPr>
          <w:rFonts w:eastAsiaTheme="minorEastAsia"/>
        </w:rPr>
      </w:pPr>
      <w:r>
        <w:rPr>
          <w:rFonts w:eastAsiaTheme="minorEastAsia"/>
        </w:rPr>
        <w:t>WGU application downloads</w:t>
      </w:r>
    </w:p>
    <w:p w14:paraId="6CB86162" w14:textId="00F457BF" w:rsidR="00802EBF" w:rsidRDefault="00802EBF" w:rsidP="00802EBF">
      <w:pPr>
        <w:rPr>
          <w:rFonts w:eastAsiaTheme="minorEastAsia"/>
        </w:rPr>
      </w:pPr>
      <w:r>
        <w:rPr>
          <w:rFonts w:eastAsiaTheme="minorEastAsia"/>
        </w:rPr>
        <w:t>Secondary heterogeneous characteristics include:</w:t>
      </w:r>
    </w:p>
    <w:p w14:paraId="006B2D68" w14:textId="0599CA32" w:rsidR="00802EBF" w:rsidRDefault="00802EBF" w:rsidP="00802EBF">
      <w:pPr>
        <w:pStyle w:val="ListParagraph"/>
        <w:numPr>
          <w:ilvl w:val="0"/>
          <w:numId w:val="9"/>
        </w:numPr>
        <w:rPr>
          <w:rFonts w:eastAsiaTheme="minorEastAsia"/>
        </w:rPr>
      </w:pPr>
      <w:r>
        <w:rPr>
          <w:rFonts w:eastAsiaTheme="minorEastAsia"/>
        </w:rPr>
        <w:t>HS GPA</w:t>
      </w:r>
    </w:p>
    <w:p w14:paraId="6B99C7FB" w14:textId="144167AC" w:rsidR="00802EBF" w:rsidRDefault="00802EBF" w:rsidP="00802EBF">
      <w:pPr>
        <w:pStyle w:val="ListParagraph"/>
        <w:numPr>
          <w:ilvl w:val="0"/>
          <w:numId w:val="9"/>
        </w:numPr>
        <w:rPr>
          <w:rFonts w:eastAsiaTheme="minorEastAsia"/>
        </w:rPr>
      </w:pPr>
      <w:r>
        <w:rPr>
          <w:rFonts w:eastAsiaTheme="minorEastAsia"/>
        </w:rPr>
        <w:t>Financial Aid Status</w:t>
      </w:r>
    </w:p>
    <w:p w14:paraId="77EE83C0" w14:textId="7A03600F" w:rsidR="00802EBF" w:rsidRDefault="00925CC6" w:rsidP="00802EBF">
      <w:pPr>
        <w:rPr>
          <w:rFonts w:eastAsiaTheme="minorEastAsia"/>
        </w:rPr>
      </w:pPr>
      <w:r>
        <w:rPr>
          <w:rFonts w:eastAsiaTheme="minorEastAsia"/>
        </w:rPr>
        <w:t xml:space="preserve">All other heterogeneous variables have tertiary importance to the analysis.  </w:t>
      </w:r>
    </w:p>
    <w:p w14:paraId="79F9AA33" w14:textId="77777777" w:rsidR="00925CC6" w:rsidRDefault="00925CC6" w:rsidP="00802EBF">
      <w:pPr>
        <w:rPr>
          <w:rFonts w:eastAsiaTheme="minorEastAsia"/>
        </w:rPr>
      </w:pPr>
    </w:p>
    <w:p w14:paraId="6E891143" w14:textId="77777777" w:rsidR="00925CC6" w:rsidRDefault="00925CC6" w:rsidP="00802EBF">
      <w:pPr>
        <w:rPr>
          <w:rFonts w:eastAsiaTheme="minorEastAsia"/>
        </w:rPr>
      </w:pPr>
    </w:p>
    <w:p w14:paraId="2ADDED42" w14:textId="77777777" w:rsidR="002936D5" w:rsidRDefault="00925CC6" w:rsidP="002936D5">
      <w:pPr>
        <w:rPr>
          <w:rFonts w:eastAsiaTheme="minorEastAsia"/>
          <w:i/>
        </w:rPr>
      </w:pPr>
      <w:r>
        <w:rPr>
          <w:rFonts w:eastAsiaTheme="minorEastAsia"/>
          <w:i/>
        </w:rPr>
        <w:t>Secondary Analysis</w:t>
      </w:r>
    </w:p>
    <w:p w14:paraId="7E8F295D" w14:textId="77777777" w:rsidR="00106B24" w:rsidRDefault="002936D5" w:rsidP="00802EBF">
      <w:pPr>
        <w:rPr>
          <w:rFonts w:eastAsiaTheme="minorEastAsia"/>
        </w:rPr>
      </w:pPr>
      <w:r w:rsidRPr="002936D5">
        <w:rPr>
          <w:rFonts w:eastAsiaTheme="minorEastAsia"/>
        </w:rPr>
        <w:t>Our secondary analysis will include examining the impact of treatment assignment on</w:t>
      </w:r>
      <w:r w:rsidR="00106B24">
        <w:rPr>
          <w:rFonts w:eastAsiaTheme="minorEastAsia"/>
        </w:rPr>
        <w:t>:</w:t>
      </w:r>
    </w:p>
    <w:p w14:paraId="1955A8C4" w14:textId="77777777" w:rsidR="00106B24" w:rsidRPr="00106B0A" w:rsidRDefault="00106B24" w:rsidP="00106B24">
      <w:pPr>
        <w:pStyle w:val="ListParagraph"/>
        <w:numPr>
          <w:ilvl w:val="0"/>
          <w:numId w:val="11"/>
        </w:numPr>
      </w:pPr>
      <w:r w:rsidRPr="00106B0A">
        <w:t xml:space="preserve">Number of </w:t>
      </w:r>
      <w:proofErr w:type="gramStart"/>
      <w:r w:rsidRPr="00106B0A">
        <w:t>days</w:t>
      </w:r>
      <w:proofErr w:type="gramEnd"/>
      <w:r w:rsidRPr="00106B0A">
        <w:t xml:space="preserve"> students access course website</w:t>
      </w:r>
    </w:p>
    <w:p w14:paraId="06383249" w14:textId="77777777" w:rsidR="00106B24" w:rsidRPr="00106B0A" w:rsidRDefault="00106B24" w:rsidP="00106B24">
      <w:pPr>
        <w:pStyle w:val="ListParagraph"/>
        <w:numPr>
          <w:ilvl w:val="0"/>
          <w:numId w:val="11"/>
        </w:numPr>
      </w:pPr>
      <w:r w:rsidRPr="00106B0A">
        <w:t xml:space="preserve">Days per month (for each month in </w:t>
      </w:r>
      <w:proofErr w:type="gramStart"/>
      <w:r w:rsidRPr="00106B0A">
        <w:t>6 month</w:t>
      </w:r>
      <w:proofErr w:type="gramEnd"/>
      <w:r w:rsidRPr="00106B0A">
        <w:t xml:space="preserve"> term) students access course website</w:t>
      </w:r>
    </w:p>
    <w:p w14:paraId="34EDCE25" w14:textId="77777777" w:rsidR="00106B24" w:rsidRDefault="00106B24" w:rsidP="00106B24">
      <w:pPr>
        <w:pStyle w:val="ListParagraph"/>
        <w:numPr>
          <w:ilvl w:val="0"/>
          <w:numId w:val="11"/>
        </w:numPr>
      </w:pPr>
      <w:r w:rsidRPr="00106B0A">
        <w:t>Time to first course completion</w:t>
      </w:r>
    </w:p>
    <w:p w14:paraId="220A410D" w14:textId="77777777" w:rsidR="00106B24" w:rsidRPr="00106B0A" w:rsidRDefault="00106B24" w:rsidP="00106B24">
      <w:pPr>
        <w:pStyle w:val="ListParagraph"/>
        <w:numPr>
          <w:ilvl w:val="0"/>
          <w:numId w:val="11"/>
        </w:numPr>
      </w:pPr>
      <w:r>
        <w:lastRenderedPageBreak/>
        <w:t xml:space="preserve">Credit hours completed per month (in each </w:t>
      </w:r>
      <w:proofErr w:type="gramStart"/>
      <w:r>
        <w:t>6 month</w:t>
      </w:r>
      <w:proofErr w:type="gramEnd"/>
      <w:r>
        <w:t xml:space="preserve"> term)</w:t>
      </w:r>
    </w:p>
    <w:p w14:paraId="07A926F0" w14:textId="41B7400A" w:rsidR="00925CC6" w:rsidRPr="002936D5" w:rsidRDefault="00106B24" w:rsidP="00802EBF">
      <w:pPr>
        <w:rPr>
          <w:rFonts w:eastAsiaTheme="minorEastAsia"/>
          <w:i/>
        </w:rPr>
      </w:pPr>
      <w:r>
        <w:t xml:space="preserve">For outcomes (1) and (3) we will estimate the impact of treatments using the same regression approach outlined in equation </w:t>
      </w:r>
      <w:r w:rsidRPr="00106B24">
        <w:rPr>
          <w:rFonts w:ascii="Times New Roman" w:hAnsi="Times New Roman" w:cs="Times New Roman"/>
        </w:rPr>
        <w:t>(I)</w:t>
      </w:r>
      <w:r>
        <w:t xml:space="preserve">. For outcomes (2) and (4) we will use OLS to estimate the following equation:  </w:t>
      </w:r>
    </w:p>
    <w:p w14:paraId="5FC6DE61" w14:textId="4DF0EB88" w:rsidR="00925CC6" w:rsidRPr="00CC0675" w:rsidRDefault="000C74BD" w:rsidP="00925CC6">
      <w:pPr>
        <w:rPr>
          <w:rFonts w:eastAsiaTheme="minorEastAsia"/>
        </w:rPr>
      </w:pPr>
      <m:oMathPara>
        <m:oMath>
          <m:sSub>
            <m:sSubPr>
              <m:ctrlPr>
                <w:rPr>
                  <w:rFonts w:ascii="Cambria Math" w:hAnsi="Cambria Math"/>
                  <w:i/>
                </w:rPr>
              </m:ctrlPr>
            </m:sSubPr>
            <m:e>
              <m:d>
                <m:dPr>
                  <m:ctrlPr>
                    <w:rPr>
                      <w:rFonts w:ascii="Cambria Math" w:hAnsi="Cambria Math"/>
                    </w:rPr>
                  </m:ctrlPr>
                </m:dPr>
                <m:e>
                  <m:r>
                    <m:rPr>
                      <m:sty m:val="p"/>
                    </m:rPr>
                    <w:rPr>
                      <w:rFonts w:ascii="Cambria Math" w:hAnsi="Cambria Math"/>
                    </w:rPr>
                    <m:t>III</m:t>
                  </m:r>
                </m:e>
              </m:d>
              <m:r>
                <w:rPr>
                  <w:rFonts w:ascii="Cambria Math" w:hAnsi="Cambria Math"/>
                </w:rPr>
                <m:t xml:space="preserve">              y</m:t>
              </m:r>
            </m:e>
            <m:sub>
              <m:r>
                <w:rPr>
                  <w:rFonts w:ascii="Cambria Math" w:hAnsi="Cambria Math"/>
                </w:rPr>
                <m:t>it</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1</m:t>
              </m:r>
            </m:sub>
          </m:sSub>
          <m:sSub>
            <m:sSubPr>
              <m:ctrlPr>
                <w:rPr>
                  <w:rFonts w:ascii="Cambria Math" w:hAnsi="Cambria Math"/>
                  <w:b/>
                  <w:i/>
                </w:rPr>
              </m:ctrlPr>
            </m:sSubPr>
            <m:e>
              <m:r>
                <m:rPr>
                  <m:sty m:val="bi"/>
                </m:rPr>
                <w:rPr>
                  <w:rFonts w:ascii="Cambria Math" w:hAnsi="Cambria Math"/>
                </w:rPr>
                <m:t>T</m:t>
              </m:r>
            </m:e>
            <m:sub>
              <m:r>
                <m:rPr>
                  <m:sty m:val="bi"/>
                </m:rPr>
                <w:rPr>
                  <w:rFonts w:ascii="Cambria Math" w:hAnsi="Cambria Math"/>
                </w:rPr>
                <m:t>i</m:t>
              </m:r>
            </m:sub>
          </m:sSub>
          <m:r>
            <m:rPr>
              <m:sty m:val="bi"/>
            </m:rPr>
            <w:rPr>
              <w:rFonts w:ascii="Cambria Math" w:hAnsi="Cambria Math"/>
            </w:rPr>
            <m:t>+</m:t>
          </m:r>
          <m:sSub>
            <m:sSubPr>
              <m:ctrlPr>
                <w:rPr>
                  <w:rFonts w:ascii="Cambria Math" w:hAnsi="Cambria Math"/>
                  <w:b/>
                  <w:i/>
                </w:rPr>
              </m:ctrlPr>
            </m:sSubPr>
            <m:e>
              <m:r>
                <w:rPr>
                  <w:rFonts w:ascii="Cambria Math" w:hAnsi="Cambria Math"/>
                </w:rPr>
                <m:t>β</m:t>
              </m:r>
              <m:ctrlPr>
                <w:rPr>
                  <w:rFonts w:ascii="Cambria Math" w:hAnsi="Cambria Math"/>
                  <w:i/>
                </w:rPr>
              </m:ctrlPr>
            </m:e>
            <m:sub>
              <m:r>
                <m:rPr>
                  <m:sty m:val="bi"/>
                </m:rPr>
                <w:rPr>
                  <w:rFonts w:ascii="Cambria Math" w:hAnsi="Cambria Math"/>
                </w:rPr>
                <m:t>2</m:t>
              </m:r>
            </m:sub>
          </m:sSub>
          <m:r>
            <w:rPr>
              <w:rFonts w:ascii="Cambria Math" w:hAnsi="Cambria Math"/>
            </w:rPr>
            <m:t>t</m:t>
          </m:r>
          <m:r>
            <m:rPr>
              <m:sty m:val="bi"/>
            </m:rP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3</m:t>
              </m:r>
            </m:sub>
          </m:sSub>
          <m:sSub>
            <m:sSubPr>
              <m:ctrlPr>
                <w:rPr>
                  <w:rFonts w:ascii="Cambria Math" w:hAnsi="Cambria Math"/>
                  <w:b/>
                  <w:i/>
                </w:rPr>
              </m:ctrlPr>
            </m:sSubPr>
            <m:e>
              <m:r>
                <m:rPr>
                  <m:sty m:val="bi"/>
                </m:rPr>
                <w:rPr>
                  <w:rFonts w:ascii="Cambria Math" w:hAnsi="Cambria Math"/>
                </w:rPr>
                <m:t>T</m:t>
              </m:r>
            </m:e>
            <m:sub>
              <m:r>
                <m:rPr>
                  <m:sty m:val="bi"/>
                </m:rPr>
                <w:rPr>
                  <w:rFonts w:ascii="Cambria Math" w:hAnsi="Cambria Math"/>
                </w:rPr>
                <m:t>i</m:t>
              </m:r>
            </m:sub>
          </m:sSub>
          <m:r>
            <m:rPr>
              <m:sty m:val="bi"/>
            </m:rPr>
            <w:rPr>
              <w:rFonts w:ascii="Cambria Math" w:hAnsi="Cambria Math"/>
            </w:rPr>
            <m:t>*</m:t>
          </m:r>
          <m:r>
            <w:rPr>
              <w:rFonts w:ascii="Cambria Math" w:hAnsi="Cambria Math"/>
            </w:rPr>
            <m:t>t</m:t>
          </m:r>
          <m:r>
            <m:rPr>
              <m:sty m:val="bi"/>
            </m:rP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4</m:t>
              </m:r>
            </m:sub>
          </m:sSub>
          <m:sSub>
            <m:sSubPr>
              <m:ctrlPr>
                <w:rPr>
                  <w:rFonts w:ascii="Cambria Math" w:hAnsi="Cambria Math"/>
                  <w:b/>
                  <w:i/>
                </w:rPr>
              </m:ctrlPr>
            </m:sSubPr>
            <m:e>
              <m:r>
                <m:rPr>
                  <m:sty m:val="bi"/>
                </m:rPr>
                <w:rPr>
                  <w:rFonts w:ascii="Cambria Math" w:hAnsi="Cambria Math"/>
                </w:rPr>
                <m:t>V</m:t>
              </m:r>
            </m:e>
            <m:sub>
              <m:r>
                <m:rPr>
                  <m:sty m:val="bi"/>
                </m:rPr>
                <w:rPr>
                  <w:rFonts w:ascii="Cambria Math" w:hAnsi="Cambria Math"/>
                </w:rPr>
                <m:t>i</m:t>
              </m:r>
            </m:sub>
          </m:sSub>
          <m:r>
            <m:rPr>
              <m:sty m:val="bi"/>
            </m:rPr>
            <w:rPr>
              <w:rFonts w:ascii="Cambria Math" w:hAnsi="Cambria Math"/>
            </w:rPr>
            <m:t>+</m:t>
          </m:r>
          <m:sSub>
            <m:sSubPr>
              <m:ctrlPr>
                <w:rPr>
                  <w:rFonts w:ascii="Cambria Math" w:hAnsi="Cambria Math"/>
                  <w:i/>
                </w:rPr>
              </m:ctrlPr>
            </m:sSubPr>
            <m:e>
              <m:r>
                <w:rPr>
                  <w:rFonts w:ascii="Cambria Math" w:hAnsi="Cambria Math"/>
                </w:rPr>
                <m:t>ϵ</m:t>
              </m:r>
            </m:e>
            <m:sub>
              <m:r>
                <w:rPr>
                  <w:rFonts w:ascii="Cambria Math" w:hAnsi="Cambria Math"/>
                </w:rPr>
                <m:t>it</m:t>
              </m:r>
            </m:sub>
          </m:sSub>
        </m:oMath>
      </m:oMathPara>
    </w:p>
    <w:p w14:paraId="2BE47442" w14:textId="5C9884C6" w:rsidR="00925CC6" w:rsidRDefault="003C54D1" w:rsidP="00925CC6">
      <w:pPr>
        <w:rPr>
          <w:rFonts w:eastAsiaTheme="minorEastAsia"/>
        </w:rPr>
      </w:pPr>
      <w:r>
        <w:rPr>
          <w:rFonts w:eastAsiaTheme="minorEastAsia"/>
        </w:rPr>
        <w:t xml:space="preserve">Where </w:t>
      </w:r>
      <m:oMath>
        <m:r>
          <w:rPr>
            <w:rFonts w:ascii="Cambria Math" w:eastAsiaTheme="minorEastAsia" w:hAnsi="Cambria Math"/>
          </w:rPr>
          <m:t xml:space="preserve">t </m:t>
        </m:r>
      </m:oMath>
      <w:r>
        <w:rPr>
          <w:rFonts w:eastAsiaTheme="minorEastAsia"/>
        </w:rPr>
        <w:t xml:space="preserve">is a variable indicating program month (1-6) and all other variables are as previously identified.  </w:t>
      </w:r>
    </w:p>
    <w:p w14:paraId="261A4791" w14:textId="77777777" w:rsidR="00925CC6" w:rsidRDefault="00925CC6" w:rsidP="00802EBF">
      <w:pPr>
        <w:rPr>
          <w:rFonts w:eastAsiaTheme="minorEastAsia"/>
        </w:rPr>
      </w:pPr>
    </w:p>
    <w:p w14:paraId="622A88D4" w14:textId="14D0123F" w:rsidR="003C54D1" w:rsidRPr="003C54D1" w:rsidRDefault="003C54D1" w:rsidP="00802EBF">
      <w:pPr>
        <w:rPr>
          <w:rFonts w:eastAsiaTheme="minorEastAsia"/>
          <w:i/>
        </w:rPr>
      </w:pPr>
      <w:r w:rsidRPr="003C54D1">
        <w:rPr>
          <w:rFonts w:eastAsiaTheme="minorEastAsia"/>
          <w:i/>
        </w:rPr>
        <w:t>Tertiary Analysis</w:t>
      </w:r>
    </w:p>
    <w:p w14:paraId="2E3E0C63" w14:textId="0D49B8FA" w:rsidR="00A977F1" w:rsidRDefault="003C54D1" w:rsidP="006F70BC">
      <w:pPr>
        <w:rPr>
          <w:rFonts w:ascii="Times New Roman" w:eastAsiaTheme="minorEastAsia" w:hAnsi="Times New Roman" w:cs="Times New Roman"/>
        </w:rPr>
      </w:pPr>
      <w:r>
        <w:rPr>
          <w:rFonts w:eastAsiaTheme="minorEastAsia"/>
        </w:rPr>
        <w:t xml:space="preserve">Analysis of tertiary outcomes focus on behavioral responses to </w:t>
      </w:r>
      <w:r w:rsidR="007B715C">
        <w:rPr>
          <w:rFonts w:eastAsiaTheme="minorEastAsia"/>
        </w:rPr>
        <w:t xml:space="preserve">reminders </w:t>
      </w:r>
      <w:r>
        <w:rPr>
          <w:rFonts w:eastAsiaTheme="minorEastAsia"/>
        </w:rPr>
        <w:t xml:space="preserve">and omit the control group.  </w:t>
      </w:r>
      <w:r w:rsidR="007B715C">
        <w:rPr>
          <w:rFonts w:ascii="Times New Roman" w:eastAsiaTheme="minorEastAsia" w:hAnsi="Times New Roman" w:cs="Times New Roman"/>
        </w:rPr>
        <w:t>W</w:t>
      </w:r>
      <w:r w:rsidR="00A977F1">
        <w:rPr>
          <w:rFonts w:ascii="Times New Roman" w:eastAsiaTheme="minorEastAsia" w:hAnsi="Times New Roman" w:cs="Times New Roman"/>
        </w:rPr>
        <w:t>e will estimate whether students are more likely to access the course site during study periods for which the rec</w:t>
      </w:r>
      <w:r w:rsidR="007A57B7">
        <w:rPr>
          <w:rFonts w:ascii="Times New Roman" w:eastAsiaTheme="minorEastAsia" w:hAnsi="Times New Roman" w:cs="Times New Roman"/>
        </w:rPr>
        <w:t>eived a study reminder. We will</w:t>
      </w:r>
      <w:r w:rsidR="00A977F1">
        <w:rPr>
          <w:rFonts w:ascii="Times New Roman" w:eastAsiaTheme="minorEastAsia" w:hAnsi="Times New Roman" w:cs="Times New Roman"/>
        </w:rPr>
        <w:t xml:space="preserve"> estimate:</w:t>
      </w:r>
    </w:p>
    <w:p w14:paraId="3C914979" w14:textId="25A69170" w:rsidR="002C4A40" w:rsidRDefault="00DB414B" w:rsidP="00C25643">
      <w:pPr>
        <w:jc w:val="center"/>
        <w:rPr>
          <w:rFonts w:ascii="Times New Roman" w:eastAsiaTheme="minorEastAsia" w:hAnsi="Times New Roman" w:cs="Times New Roman"/>
        </w:rPr>
      </w:pPr>
      <w:r>
        <w:rPr>
          <w:rFonts w:ascii="Times New Roman" w:eastAsiaTheme="minorEastAsia" w:hAnsi="Times New Roman" w:cs="Times New Roman"/>
        </w:rPr>
        <w:t xml:space="preserve">(IV) </w:t>
      </w:r>
      <m:oMath>
        <m:r>
          <w:rPr>
            <w:rFonts w:ascii="Cambria Math" w:eastAsiaTheme="minorEastAsia" w:hAnsi="Cambria Math" w:cs="Times New Roman"/>
          </w:rPr>
          <m:t xml:space="preserve"> Acces</m:t>
        </m:r>
        <m:sSub>
          <m:sSubPr>
            <m:ctrlPr>
              <w:rPr>
                <w:rFonts w:ascii="Cambria Math" w:eastAsiaTheme="minorEastAsia" w:hAnsi="Cambria Math" w:cs="Times New Roman"/>
                <w:i/>
              </w:rPr>
            </m:ctrlPr>
          </m:sSubPr>
          <m:e>
            <m:r>
              <w:rPr>
                <w:rFonts w:ascii="Cambria Math" w:eastAsiaTheme="minorEastAsia" w:hAnsi="Cambria Math" w:cs="Times New Roman"/>
              </w:rPr>
              <m:t>s</m:t>
            </m:r>
          </m:e>
          <m:sub>
            <m:r>
              <w:rPr>
                <w:rFonts w:ascii="Cambria Math" w:eastAsiaTheme="minorEastAsia" w:hAnsi="Cambria Math" w:cs="Times New Roman"/>
              </w:rPr>
              <m:t>it</m:t>
            </m:r>
          </m:sub>
        </m:sSub>
        <m:r>
          <w:rPr>
            <w:rFonts w:ascii="Cambria Math" w:eastAsiaTheme="minorEastAsia" w:hAnsi="Cambria Math" w:cs="Times New Roman"/>
          </w:rPr>
          <m:t>=</m:t>
        </m:r>
        <m:sSub>
          <m:sSubPr>
            <m:ctrlPr>
              <w:rPr>
                <w:rFonts w:ascii="Cambria Math" w:hAnsi="Cambria Math"/>
                <w:i/>
              </w:rPr>
            </m:ctrlPr>
          </m:sSubPr>
          <m:e>
            <m:r>
              <w:rPr>
                <w:rFonts w:ascii="Cambria Math" w:hAnsi="Cambria Math"/>
              </w:rPr>
              <m:t>β</m:t>
            </m:r>
          </m:e>
          <m:sub>
            <m:r>
              <w:rPr>
                <w:rFonts w:ascii="Cambria Math" w:hAnsi="Cambria Math"/>
              </w:rPr>
              <m:t>0</m:t>
            </m:r>
          </m:sub>
        </m:sSub>
        <m:r>
          <w:rPr>
            <w:rFonts w:ascii="Cambria Math" w:hAnsi="Cambria Math"/>
          </w:rPr>
          <m:t>+</m:t>
        </m:r>
        <m:sSub>
          <m:sSubPr>
            <m:ctrlPr>
              <w:rPr>
                <w:rFonts w:ascii="Cambria Math" w:hAnsi="Cambria Math"/>
                <w:b/>
                <w:i/>
              </w:rPr>
            </m:ctrlPr>
          </m:sSubPr>
          <m:e>
            <m:r>
              <m:rPr>
                <m:sty m:val="bi"/>
              </m:rPr>
              <w:rPr>
                <w:rFonts w:ascii="Cambria Math" w:hAnsi="Cambria Math"/>
              </w:rPr>
              <m:t>β</m:t>
            </m:r>
          </m:e>
          <m:sub>
            <m:r>
              <m:rPr>
                <m:sty m:val="bi"/>
              </m:rPr>
              <w:rPr>
                <w:rFonts w:ascii="Cambria Math" w:hAnsi="Cambria Math"/>
              </w:rPr>
              <m:t>1</m:t>
            </m:r>
          </m:sub>
        </m:sSub>
        <m:r>
          <w:rPr>
            <w:rFonts w:ascii="Cambria Math" w:hAnsi="Cambria Math"/>
          </w:rPr>
          <m:t>Reminde</m:t>
        </m:r>
        <m:sSub>
          <m:sSubPr>
            <m:ctrlPr>
              <w:rPr>
                <w:rFonts w:ascii="Cambria Math" w:hAnsi="Cambria Math"/>
                <w:i/>
              </w:rPr>
            </m:ctrlPr>
          </m:sSubPr>
          <m:e>
            <m:r>
              <w:rPr>
                <w:rFonts w:ascii="Cambria Math" w:hAnsi="Cambria Math"/>
              </w:rPr>
              <m:t>r</m:t>
            </m:r>
          </m:e>
          <m:sub>
            <m:r>
              <w:rPr>
                <w:rFonts w:ascii="Cambria Math" w:hAnsi="Cambria Math"/>
              </w:rPr>
              <m:t>it</m:t>
            </m:r>
          </m:sub>
        </m:sSub>
        <m:r>
          <m:rPr>
            <m:sty m:val="bi"/>
          </m:rP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2</m:t>
            </m:r>
          </m:sub>
        </m:sSub>
        <m:sSub>
          <m:sSubPr>
            <m:ctrlPr>
              <w:rPr>
                <w:rFonts w:ascii="Cambria Math" w:hAnsi="Cambria Math"/>
                <w:b/>
                <w:i/>
              </w:rPr>
            </m:ctrlPr>
          </m:sSubPr>
          <m:e>
            <m:r>
              <m:rPr>
                <m:sty m:val="bi"/>
              </m:rPr>
              <w:rPr>
                <w:rFonts w:ascii="Cambria Math" w:hAnsi="Cambria Math"/>
              </w:rPr>
              <m:t>V</m:t>
            </m:r>
          </m:e>
          <m:sub>
            <m:r>
              <m:rPr>
                <m:sty m:val="bi"/>
              </m:rPr>
              <w:rPr>
                <w:rFonts w:ascii="Cambria Math" w:hAnsi="Cambria Math"/>
              </w:rPr>
              <m:t>i</m:t>
            </m:r>
          </m:sub>
        </m:sSub>
        <m:r>
          <m:rPr>
            <m:sty m:val="bi"/>
          </m:rPr>
          <w:rPr>
            <w:rFonts w:ascii="Cambria Math" w:hAnsi="Cambria Math"/>
          </w:rPr>
          <m:t>+</m:t>
        </m:r>
        <m:sSub>
          <m:sSubPr>
            <m:ctrlPr>
              <w:rPr>
                <w:rFonts w:ascii="Cambria Math" w:hAnsi="Cambria Math"/>
                <w:i/>
              </w:rPr>
            </m:ctrlPr>
          </m:sSubPr>
          <m:e>
            <m:r>
              <w:rPr>
                <w:rFonts w:ascii="Cambria Math" w:hAnsi="Cambria Math"/>
              </w:rPr>
              <m:t>ϵ</m:t>
            </m:r>
          </m:e>
          <m:sub>
            <m:r>
              <w:rPr>
                <w:rFonts w:ascii="Cambria Math" w:hAnsi="Cambria Math"/>
              </w:rPr>
              <m:t>it</m:t>
            </m:r>
          </m:sub>
        </m:sSub>
      </m:oMath>
    </w:p>
    <w:p w14:paraId="022645B7" w14:textId="7F464DAD" w:rsidR="003C066E" w:rsidRPr="00C25643" w:rsidRDefault="003C066E" w:rsidP="003C066E">
      <w:pPr>
        <w:rPr>
          <w:rFonts w:ascii="Times New Roman" w:eastAsiaTheme="minorEastAsia" w:hAnsi="Times New Roman" w:cs="Times New Roman"/>
        </w:rPr>
      </w:pPr>
      <w:r>
        <w:rPr>
          <w:rFonts w:ascii="Times New Roman" w:eastAsiaTheme="minorEastAsia" w:hAnsi="Times New Roman" w:cs="Times New Roman"/>
        </w:rPr>
        <w:t xml:space="preserve">Where the time period is designated as the hour block following the beginning of a designated study period.  </w:t>
      </w:r>
    </w:p>
    <w:p w14:paraId="5FAFD961" w14:textId="77777777" w:rsidR="006F70BC" w:rsidRPr="006F70BC" w:rsidRDefault="006F70BC" w:rsidP="00833413"/>
    <w:p w14:paraId="783347CF" w14:textId="77777777" w:rsidR="006F70BC" w:rsidRPr="006F70BC" w:rsidRDefault="006F70BC" w:rsidP="00833413"/>
    <w:p w14:paraId="6256CDC7" w14:textId="77777777" w:rsidR="006F70BC" w:rsidRDefault="006F70BC" w:rsidP="00833413"/>
    <w:p w14:paraId="3721359E" w14:textId="77777777" w:rsidR="006F70BC" w:rsidRPr="00D50B13" w:rsidRDefault="006F70BC" w:rsidP="00833413"/>
    <w:sectPr w:rsidR="006F70BC" w:rsidRPr="00D50B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F76AAD" w14:textId="77777777" w:rsidR="000C74BD" w:rsidRDefault="000C74BD" w:rsidP="00833413">
      <w:pPr>
        <w:spacing w:after="0" w:line="240" w:lineRule="auto"/>
      </w:pPr>
      <w:r>
        <w:separator/>
      </w:r>
    </w:p>
  </w:endnote>
  <w:endnote w:type="continuationSeparator" w:id="0">
    <w:p w14:paraId="7A21A043" w14:textId="77777777" w:rsidR="000C74BD" w:rsidRDefault="000C74BD" w:rsidP="00833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Segoe UI">
    <w:charset w:val="00"/>
    <w:family w:val="swiss"/>
    <w:pitch w:val="variable"/>
    <w:sig w:usb0="E10022FF" w:usb1="C000E47F" w:usb2="00000029" w:usb3="00000000" w:csb0="000001DF" w:csb1="00000000"/>
  </w:font>
  <w:font w:name="Cambria Math">
    <w:panose1 w:val="02040503050406030204"/>
    <w:charset w:val="00"/>
    <w:family w:val="auto"/>
    <w:pitch w:val="variable"/>
    <w:sig w:usb0="E00002FF" w:usb1="420024FF"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BF0818" w14:textId="77777777" w:rsidR="000C74BD" w:rsidRDefault="000C74BD" w:rsidP="00833413">
      <w:pPr>
        <w:spacing w:after="0" w:line="240" w:lineRule="auto"/>
      </w:pPr>
      <w:r>
        <w:separator/>
      </w:r>
    </w:p>
  </w:footnote>
  <w:footnote w:type="continuationSeparator" w:id="0">
    <w:p w14:paraId="14B5D18D" w14:textId="77777777" w:rsidR="000C74BD" w:rsidRDefault="000C74BD" w:rsidP="00833413">
      <w:pPr>
        <w:spacing w:after="0" w:line="240" w:lineRule="auto"/>
      </w:pPr>
      <w:r>
        <w:continuationSeparator/>
      </w:r>
    </w:p>
  </w:footnote>
  <w:footnote w:id="1">
    <w:p w14:paraId="76E4EE8C" w14:textId="77777777" w:rsidR="00833413" w:rsidRDefault="00833413">
      <w:pPr>
        <w:pStyle w:val="FootnoteText"/>
      </w:pPr>
      <w:r>
        <w:rPr>
          <w:rStyle w:val="FootnoteReference"/>
        </w:rPr>
        <w:footnoteRef/>
      </w:r>
      <w:r>
        <w:t xml:space="preserve"> Unites States Military Academy</w:t>
      </w:r>
    </w:p>
  </w:footnote>
  <w:footnote w:id="2">
    <w:p w14:paraId="47A05F01" w14:textId="77777777" w:rsidR="00833413" w:rsidRDefault="00833413">
      <w:pPr>
        <w:pStyle w:val="FootnoteText"/>
      </w:pPr>
      <w:r>
        <w:rPr>
          <w:rStyle w:val="FootnoteReference"/>
        </w:rPr>
        <w:footnoteRef/>
      </w:r>
      <w:r>
        <w:t xml:space="preserve"> University of Chicago</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1E6FC6"/>
    <w:multiLevelType w:val="hybridMultilevel"/>
    <w:tmpl w:val="09E4B832"/>
    <w:lvl w:ilvl="0" w:tplc="D33E923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7B153B"/>
    <w:multiLevelType w:val="hybridMultilevel"/>
    <w:tmpl w:val="C1F0B494"/>
    <w:lvl w:ilvl="0" w:tplc="F23A58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F25704"/>
    <w:multiLevelType w:val="hybridMultilevel"/>
    <w:tmpl w:val="EA042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D61F7D"/>
    <w:multiLevelType w:val="hybridMultilevel"/>
    <w:tmpl w:val="1F4A9FDC"/>
    <w:lvl w:ilvl="0" w:tplc="C6B0CF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847347"/>
    <w:multiLevelType w:val="hybridMultilevel"/>
    <w:tmpl w:val="5A445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D93303"/>
    <w:multiLevelType w:val="hybridMultilevel"/>
    <w:tmpl w:val="92902DA8"/>
    <w:lvl w:ilvl="0" w:tplc="AA46E5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7758B1"/>
    <w:multiLevelType w:val="hybridMultilevel"/>
    <w:tmpl w:val="1F4A9FDC"/>
    <w:lvl w:ilvl="0" w:tplc="C6B0CF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1DC3B80"/>
    <w:multiLevelType w:val="hybridMultilevel"/>
    <w:tmpl w:val="8AAC5E4E"/>
    <w:lvl w:ilvl="0" w:tplc="BB16D1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F730078"/>
    <w:multiLevelType w:val="hybridMultilevel"/>
    <w:tmpl w:val="2DB00FCE"/>
    <w:lvl w:ilvl="0" w:tplc="1A78E796">
      <w:start w:val="1"/>
      <w:numFmt w:val="decimal"/>
      <w:lvlText w:val="(%1)"/>
      <w:lvlJc w:val="left"/>
      <w:pPr>
        <w:ind w:left="720" w:hanging="360"/>
      </w:pPr>
      <w:rPr>
        <w:rFonts w:ascii="Arial" w:hAnsi="Arial" w:cs="Aria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852648C"/>
    <w:multiLevelType w:val="hybridMultilevel"/>
    <w:tmpl w:val="C1F0B494"/>
    <w:lvl w:ilvl="0" w:tplc="F23A58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E6D6B86"/>
    <w:multiLevelType w:val="hybridMultilevel"/>
    <w:tmpl w:val="C1F0B494"/>
    <w:lvl w:ilvl="0" w:tplc="F23A58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6"/>
  </w:num>
  <w:num w:numId="3">
    <w:abstractNumId w:val="9"/>
  </w:num>
  <w:num w:numId="4">
    <w:abstractNumId w:val="5"/>
  </w:num>
  <w:num w:numId="5">
    <w:abstractNumId w:val="8"/>
  </w:num>
  <w:num w:numId="6">
    <w:abstractNumId w:val="0"/>
  </w:num>
  <w:num w:numId="7">
    <w:abstractNumId w:val="3"/>
  </w:num>
  <w:num w:numId="8">
    <w:abstractNumId w:val="2"/>
  </w:num>
  <w:num w:numId="9">
    <w:abstractNumId w:val="4"/>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413"/>
    <w:rsid w:val="00043EE6"/>
    <w:rsid w:val="000C5457"/>
    <w:rsid w:val="000C74BD"/>
    <w:rsid w:val="000C7ACF"/>
    <w:rsid w:val="00106B0A"/>
    <w:rsid w:val="00106B24"/>
    <w:rsid w:val="001075C5"/>
    <w:rsid w:val="001140E0"/>
    <w:rsid w:val="00144542"/>
    <w:rsid w:val="0019378F"/>
    <w:rsid w:val="001A3AE2"/>
    <w:rsid w:val="002140B8"/>
    <w:rsid w:val="002765BB"/>
    <w:rsid w:val="002936D5"/>
    <w:rsid w:val="002C4A40"/>
    <w:rsid w:val="002C7BDE"/>
    <w:rsid w:val="003143FF"/>
    <w:rsid w:val="00323160"/>
    <w:rsid w:val="0033301B"/>
    <w:rsid w:val="0033724F"/>
    <w:rsid w:val="003443AE"/>
    <w:rsid w:val="00367781"/>
    <w:rsid w:val="00382E83"/>
    <w:rsid w:val="003C066E"/>
    <w:rsid w:val="003C13D8"/>
    <w:rsid w:val="003C54D1"/>
    <w:rsid w:val="00415F2F"/>
    <w:rsid w:val="004172EE"/>
    <w:rsid w:val="00481844"/>
    <w:rsid w:val="004956EE"/>
    <w:rsid w:val="004F7C53"/>
    <w:rsid w:val="00555730"/>
    <w:rsid w:val="005672EC"/>
    <w:rsid w:val="005A0B15"/>
    <w:rsid w:val="005F6FEB"/>
    <w:rsid w:val="00627CFD"/>
    <w:rsid w:val="006F70BC"/>
    <w:rsid w:val="00760958"/>
    <w:rsid w:val="007A57B7"/>
    <w:rsid w:val="007B715C"/>
    <w:rsid w:val="00802EBF"/>
    <w:rsid w:val="00820FFA"/>
    <w:rsid w:val="00833413"/>
    <w:rsid w:val="00887018"/>
    <w:rsid w:val="008D1849"/>
    <w:rsid w:val="00925CC6"/>
    <w:rsid w:val="009730CA"/>
    <w:rsid w:val="009B28C8"/>
    <w:rsid w:val="00A27B02"/>
    <w:rsid w:val="00A647D1"/>
    <w:rsid w:val="00A977F1"/>
    <w:rsid w:val="00AA35AF"/>
    <w:rsid w:val="00AC190C"/>
    <w:rsid w:val="00AC2235"/>
    <w:rsid w:val="00B722BD"/>
    <w:rsid w:val="00C25643"/>
    <w:rsid w:val="00CB5A49"/>
    <w:rsid w:val="00CC0675"/>
    <w:rsid w:val="00D50B13"/>
    <w:rsid w:val="00D63DBC"/>
    <w:rsid w:val="00DB414B"/>
    <w:rsid w:val="00E038F2"/>
    <w:rsid w:val="00E16125"/>
    <w:rsid w:val="00E74D3D"/>
    <w:rsid w:val="00E85CA8"/>
    <w:rsid w:val="00EC60AA"/>
    <w:rsid w:val="00EE00F9"/>
    <w:rsid w:val="00F44245"/>
    <w:rsid w:val="00F459E9"/>
    <w:rsid w:val="00F554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5E6E3"/>
  <w15:chartTrackingRefBased/>
  <w15:docId w15:val="{0783614E-9EBA-40E8-928B-9A0618E26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3341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3413"/>
    <w:rPr>
      <w:sz w:val="20"/>
      <w:szCs w:val="20"/>
    </w:rPr>
  </w:style>
  <w:style w:type="character" w:styleId="FootnoteReference">
    <w:name w:val="footnote reference"/>
    <w:basedOn w:val="DefaultParagraphFont"/>
    <w:uiPriority w:val="99"/>
    <w:semiHidden/>
    <w:unhideWhenUsed/>
    <w:rsid w:val="00833413"/>
    <w:rPr>
      <w:vertAlign w:val="superscript"/>
    </w:rPr>
  </w:style>
  <w:style w:type="paragraph" w:styleId="ListParagraph">
    <w:name w:val="List Paragraph"/>
    <w:basedOn w:val="Normal"/>
    <w:uiPriority w:val="34"/>
    <w:qFormat/>
    <w:rsid w:val="00382E83"/>
    <w:pPr>
      <w:ind w:left="720"/>
      <w:contextualSpacing/>
    </w:pPr>
  </w:style>
  <w:style w:type="character" w:styleId="PlaceholderText">
    <w:name w:val="Placeholder Text"/>
    <w:basedOn w:val="DefaultParagraphFont"/>
    <w:uiPriority w:val="99"/>
    <w:semiHidden/>
    <w:rsid w:val="00D50B13"/>
    <w:rPr>
      <w:color w:val="808080"/>
    </w:rPr>
  </w:style>
  <w:style w:type="character" w:styleId="CommentReference">
    <w:name w:val="annotation reference"/>
    <w:basedOn w:val="DefaultParagraphFont"/>
    <w:uiPriority w:val="99"/>
    <w:semiHidden/>
    <w:unhideWhenUsed/>
    <w:rsid w:val="005672EC"/>
    <w:rPr>
      <w:sz w:val="16"/>
      <w:szCs w:val="16"/>
    </w:rPr>
  </w:style>
  <w:style w:type="paragraph" w:styleId="CommentText">
    <w:name w:val="annotation text"/>
    <w:basedOn w:val="Normal"/>
    <w:link w:val="CommentTextChar"/>
    <w:uiPriority w:val="99"/>
    <w:semiHidden/>
    <w:unhideWhenUsed/>
    <w:rsid w:val="005672EC"/>
    <w:pPr>
      <w:spacing w:line="240" w:lineRule="auto"/>
    </w:pPr>
    <w:rPr>
      <w:sz w:val="20"/>
      <w:szCs w:val="20"/>
    </w:rPr>
  </w:style>
  <w:style w:type="character" w:customStyle="1" w:styleId="CommentTextChar">
    <w:name w:val="Comment Text Char"/>
    <w:basedOn w:val="DefaultParagraphFont"/>
    <w:link w:val="CommentText"/>
    <w:uiPriority w:val="99"/>
    <w:semiHidden/>
    <w:rsid w:val="005672EC"/>
    <w:rPr>
      <w:sz w:val="20"/>
      <w:szCs w:val="20"/>
    </w:rPr>
  </w:style>
  <w:style w:type="paragraph" w:styleId="CommentSubject">
    <w:name w:val="annotation subject"/>
    <w:basedOn w:val="CommentText"/>
    <w:next w:val="CommentText"/>
    <w:link w:val="CommentSubjectChar"/>
    <w:uiPriority w:val="99"/>
    <w:semiHidden/>
    <w:unhideWhenUsed/>
    <w:rsid w:val="005672EC"/>
    <w:rPr>
      <w:b/>
      <w:bCs/>
    </w:rPr>
  </w:style>
  <w:style w:type="character" w:customStyle="1" w:styleId="CommentSubjectChar">
    <w:name w:val="Comment Subject Char"/>
    <w:basedOn w:val="CommentTextChar"/>
    <w:link w:val="CommentSubject"/>
    <w:uiPriority w:val="99"/>
    <w:semiHidden/>
    <w:rsid w:val="005672EC"/>
    <w:rPr>
      <w:b/>
      <w:bCs/>
      <w:sz w:val="20"/>
      <w:szCs w:val="20"/>
    </w:rPr>
  </w:style>
  <w:style w:type="paragraph" w:styleId="BalloonText">
    <w:name w:val="Balloon Text"/>
    <w:basedOn w:val="Normal"/>
    <w:link w:val="BalloonTextChar"/>
    <w:uiPriority w:val="99"/>
    <w:semiHidden/>
    <w:unhideWhenUsed/>
    <w:rsid w:val="005672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72E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851D88-1620-8441-840D-C94A42EA6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7</Pages>
  <Words>1863</Words>
  <Characters>10622</Characters>
  <Application>Microsoft Macintosh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United States Army</Company>
  <LinksUpToDate>false</LinksUpToDate>
  <CharactersWithSpaces>12461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AGM</dc:creator>
  <cp:keywords/>
  <dc:description/>
  <cp:lastModifiedBy>Nolan Pope</cp:lastModifiedBy>
  <cp:revision>3</cp:revision>
  <dcterms:created xsi:type="dcterms:W3CDTF">2017-02-15T04:46:00Z</dcterms:created>
  <dcterms:modified xsi:type="dcterms:W3CDTF">2017-02-15T05:06:00Z</dcterms:modified>
</cp:coreProperties>
</file>