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18901E" w14:textId="6C17B8B5" w:rsidR="00276A2D" w:rsidRDefault="006751CF">
      <w:pPr>
        <w:rPr>
          <w:b/>
          <w:bCs/>
        </w:rPr>
      </w:pPr>
      <w:r w:rsidRPr="00276A2D">
        <w:rPr>
          <w:b/>
          <w:bCs/>
        </w:rPr>
        <w:t xml:space="preserve">Nigeria Cash </w:t>
      </w:r>
      <w:r w:rsidR="00EE1B84" w:rsidRPr="00276A2D">
        <w:rPr>
          <w:b/>
          <w:bCs/>
        </w:rPr>
        <w:t>for Cli</w:t>
      </w:r>
      <w:r w:rsidR="00E6568D" w:rsidRPr="00276A2D">
        <w:rPr>
          <w:b/>
          <w:bCs/>
        </w:rPr>
        <w:t>ma</w:t>
      </w:r>
      <w:r w:rsidR="00EE1B84" w:rsidRPr="00276A2D">
        <w:rPr>
          <w:b/>
          <w:bCs/>
        </w:rPr>
        <w:t>te Resilience Project</w:t>
      </w:r>
      <w:r w:rsidR="00276A2D">
        <w:rPr>
          <w:b/>
          <w:bCs/>
        </w:rPr>
        <w:t>: Pre-Analysis Plan</w:t>
      </w:r>
    </w:p>
    <w:p w14:paraId="6515E778" w14:textId="2B949952" w:rsidR="00C35C2C" w:rsidRDefault="003F3D1A">
      <w:pPr>
        <w:rPr>
          <w:b/>
          <w:bCs/>
        </w:rPr>
      </w:pPr>
      <w:r>
        <w:rPr>
          <w:b/>
          <w:bCs/>
        </w:rPr>
        <w:t xml:space="preserve">IFPRI and IRC Project Team </w:t>
      </w:r>
    </w:p>
    <w:p w14:paraId="0EF0FEAC" w14:textId="7B2D02D9" w:rsidR="00C35C2C" w:rsidRPr="00276A2D" w:rsidRDefault="00C35C2C">
      <w:pPr>
        <w:rPr>
          <w:b/>
          <w:bCs/>
        </w:rPr>
      </w:pPr>
      <w:r>
        <w:rPr>
          <w:b/>
          <w:bCs/>
        </w:rPr>
        <w:t>June 2022</w:t>
      </w:r>
    </w:p>
    <w:p w14:paraId="192CF87C" w14:textId="77777777" w:rsidR="00EE1B84" w:rsidRDefault="00EE1B84" w:rsidP="00276A2D">
      <w:pPr>
        <w:pStyle w:val="Heading1"/>
      </w:pPr>
      <w:bookmarkStart w:id="0" w:name="_Toc53947869"/>
      <w:bookmarkStart w:id="1" w:name="_Toc80088592"/>
      <w:r>
        <w:t xml:space="preserve">Project </w:t>
      </w:r>
      <w:r w:rsidRPr="00722EF8">
        <w:t>Background</w:t>
      </w:r>
      <w:bookmarkEnd w:id="0"/>
      <w:bookmarkEnd w:id="1"/>
    </w:p>
    <w:p w14:paraId="6D455C40" w14:textId="77777777" w:rsidR="00EE1B84" w:rsidRDefault="00EE1B84" w:rsidP="00EE1B84">
      <w:pPr>
        <w:pStyle w:val="Bodytext-noindent"/>
        <w:jc w:val="both"/>
      </w:pPr>
      <w:r>
        <w:t>IRC’s central hypothesis for this pilot project is that when climate vulnerable communities have timely access to information and the financial and social resources to act upon that information, they will avoid negative coping strategies and build more diversified and climate resilient livelihoods.  Community members are acutely aware of how their environment is changing due to slow and sudden onset climate change, and these communities are rich with historical and new knowledge on climate change adaptation and mitigation measures. However, resource constrained communities lack effective systems to disseminate real-time information about climate risks and their potential severity and many households in resource constrained environments do not possess the financial means to implement adaptive or mitigation measures that would allow them to protect or adapt their livelihoods during a stress and/or shock. This is especially true in conflict-affected communities, where a lack of social cohesion and inter-community economic linkages can exacerbate vulnerabilities.</w:t>
      </w:r>
    </w:p>
    <w:p w14:paraId="18F0EDBA" w14:textId="77777777" w:rsidR="00EE1B84" w:rsidRDefault="00EE1B84" w:rsidP="00EE1B84">
      <w:pPr>
        <w:pStyle w:val="Bodytext-noindent"/>
        <w:jc w:val="both"/>
      </w:pPr>
      <w:r>
        <w:t xml:space="preserve">To test this hypothesis, the IRC will pilot the climate risk reduction payments in Adamawa state (northeast Nigeria) with smallholder farmers and livestock owners. The IRC will apply a systems approach, working within and with the existing ICT (radio, SMS, voice, mobile, etc.) systems, agriculture extension providers, and other key stakeholders within the government and community. Together with the local community, the IRC and Google.org will build on existing community resiliency strategies and local knowledge in developing a climate risk data platform incorporating climate, weather, economic, and crisis indicators—and will make the data available to the community members and local stakeholders. Then, over the course of the agricultural season, the pilot will deliver </w:t>
      </w:r>
      <w:r w:rsidRPr="00FC03E5">
        <w:rPr>
          <w:highlight w:val="lightGray"/>
        </w:rPr>
        <w:t>lump sum cash payments to participating target households when triggered by the data platform’s risk thresholds</w:t>
      </w:r>
      <w:r>
        <w:t xml:space="preserve">. IRC will design and implement a cash delivery program with the protection principles outlined in the IRC’s Safer Cash Toolkit, ensuring equitable and safe access for individuals, especially women. </w:t>
      </w:r>
    </w:p>
    <w:p w14:paraId="6DDCB064" w14:textId="285F6F7C" w:rsidR="00EE1B84" w:rsidRDefault="00EE1B84" w:rsidP="00EE1B84">
      <w:pPr>
        <w:pStyle w:val="Bodytext-noindent"/>
        <w:jc w:val="both"/>
      </w:pPr>
      <w:r>
        <w:t>The learnings from the pilot will be relevant for humanitarian actors, community organizations, and governments looking for strategies to adapt service delivery to be more responsive to climate shocks and pivoted from disaster response to disaster risk reduction. The IRC will disseminate these key findings</w:t>
      </w:r>
      <w:r w:rsidR="00CB5C9A">
        <w:t xml:space="preserve"> </w:t>
      </w:r>
      <w:r>
        <w:t xml:space="preserve">and develop a scalability strategy for the pilot—including increasing scale and reach, </w:t>
      </w:r>
      <w:proofErr w:type="gramStart"/>
      <w:r>
        <w:t>replicating</w:t>
      </w:r>
      <w:proofErr w:type="gramEnd"/>
      <w:r>
        <w:t xml:space="preserve"> and adapting in new contexts, cost modeling, and fundraising. </w:t>
      </w:r>
    </w:p>
    <w:p w14:paraId="489DAD05" w14:textId="218563F3" w:rsidR="00EE1B84" w:rsidRPr="00EE1B84" w:rsidRDefault="00EE1B84" w:rsidP="00276A2D">
      <w:pPr>
        <w:pStyle w:val="Heading1"/>
      </w:pPr>
      <w:r w:rsidRPr="00EE1B84">
        <w:t>Structure of Trial</w:t>
      </w:r>
    </w:p>
    <w:p w14:paraId="475BCCF5" w14:textId="5AFF9A6D" w:rsidR="00CB5C9A" w:rsidRDefault="00EE1B84">
      <w:r>
        <w:t xml:space="preserve">The climate risk reduction payments will be distributed </w:t>
      </w:r>
      <w:r w:rsidR="006910EC">
        <w:t>among a random selection of households (</w:t>
      </w:r>
      <w:proofErr w:type="gramStart"/>
      <w:r w:rsidR="006910EC">
        <w:t>e.g.</w:t>
      </w:r>
      <w:proofErr w:type="gramEnd"/>
      <w:r w:rsidR="006910EC">
        <w:t xml:space="preserve"> half of them) from the overall sample of 1450 households in </w:t>
      </w:r>
      <w:r w:rsidR="00312A4C">
        <w:t>6</w:t>
      </w:r>
      <w:r w:rsidR="006910EC">
        <w:t xml:space="preserve"> communities. </w:t>
      </w:r>
      <w:r w:rsidR="00312A4C">
        <w:t xml:space="preserve">The 1450 households were randomly selected using stratified random sampling with proportionate allocation by community and gender from a larger pool of 2090 households enumerated during a blanket targeting exercise. </w:t>
      </w:r>
      <w:r w:rsidR="00CB5C9A">
        <w:t xml:space="preserve">The randomization </w:t>
      </w:r>
      <w:r w:rsidR="00FD22D2">
        <w:t>took</w:t>
      </w:r>
      <w:r w:rsidR="00CB5C9A">
        <w:t xml:space="preserve"> place after the baseline. The trial will take place during the 2022 agricultural season in Adamawa state.</w:t>
      </w:r>
    </w:p>
    <w:p w14:paraId="39C1FA83" w14:textId="2AD712A9" w:rsidR="00CB5C9A" w:rsidRPr="00CB5C9A" w:rsidRDefault="00CB5C9A" w:rsidP="00276A2D">
      <w:pPr>
        <w:pStyle w:val="Heading2"/>
        <w:numPr>
          <w:ilvl w:val="0"/>
          <w:numId w:val="0"/>
        </w:numPr>
        <w:ind w:left="360"/>
      </w:pPr>
      <w:r w:rsidRPr="00CB5C9A">
        <w:t>Research Questions</w:t>
      </w:r>
    </w:p>
    <w:p w14:paraId="5DE8B5AC" w14:textId="77777777" w:rsidR="008524D1" w:rsidRPr="008524D1" w:rsidRDefault="008524D1" w:rsidP="008524D1">
      <w:pPr>
        <w:numPr>
          <w:ilvl w:val="0"/>
          <w:numId w:val="2"/>
        </w:numPr>
        <w:shd w:val="clear" w:color="auto" w:fill="FFFFFF"/>
        <w:spacing w:before="100" w:beforeAutospacing="1" w:after="100" w:afterAutospacing="1" w:line="240" w:lineRule="auto"/>
        <w:ind w:left="840"/>
        <w:rPr>
          <w:rFonts w:ascii="Segoe UI" w:eastAsia="Times New Roman" w:hAnsi="Segoe UI" w:cs="Segoe UI"/>
          <w:color w:val="242424"/>
          <w:sz w:val="21"/>
          <w:szCs w:val="21"/>
        </w:rPr>
      </w:pPr>
      <w:r w:rsidRPr="008524D1">
        <w:rPr>
          <w:rFonts w:ascii="Segoe UI" w:eastAsia="Times New Roman" w:hAnsi="Segoe UI" w:cs="Segoe UI"/>
          <w:color w:val="242424"/>
          <w:sz w:val="20"/>
          <w:szCs w:val="20"/>
          <w:lang w:val="en"/>
        </w:rPr>
        <w:lastRenderedPageBreak/>
        <w:t>What is the feasibility and acceptability of delivering ex-ante lump-sum climate risk reduction payments and climate information on outcomes of a) application of climate-resilient actions, b) reduction in negative coping strategies, and c) diversified and profitable livelihoods?</w:t>
      </w:r>
    </w:p>
    <w:p w14:paraId="438E6419" w14:textId="77777777" w:rsidR="008524D1" w:rsidRPr="008524D1" w:rsidRDefault="008524D1" w:rsidP="008524D1">
      <w:pPr>
        <w:numPr>
          <w:ilvl w:val="0"/>
          <w:numId w:val="2"/>
        </w:numPr>
        <w:shd w:val="clear" w:color="auto" w:fill="FFFFFF"/>
        <w:spacing w:before="100" w:beforeAutospacing="1" w:after="100" w:afterAutospacing="1" w:line="240" w:lineRule="auto"/>
        <w:ind w:left="840"/>
        <w:rPr>
          <w:rFonts w:ascii="Segoe UI" w:eastAsia="Times New Roman" w:hAnsi="Segoe UI" w:cs="Segoe UI"/>
          <w:color w:val="242424"/>
          <w:sz w:val="21"/>
          <w:szCs w:val="21"/>
        </w:rPr>
      </w:pPr>
      <w:r w:rsidRPr="008524D1">
        <w:rPr>
          <w:rFonts w:ascii="Segoe UI" w:eastAsia="Times New Roman" w:hAnsi="Segoe UI" w:cs="Segoe UI"/>
          <w:color w:val="242424"/>
          <w:sz w:val="20"/>
          <w:szCs w:val="20"/>
          <w:lang w:val="en"/>
        </w:rPr>
        <w:t>What is the potential effectiveness of delivering lump sum cash distributions and climate risk information on the ability of households to prepare for climate related stress and shocks and reduce overall disaster risk, including on outcomes of climate-induced negative coping, psychosocial / cognitive wellbeing, decision-making, and diversified and profitable livelihoods as compared to an ex-post shock response?</w:t>
      </w:r>
    </w:p>
    <w:p w14:paraId="48A2DA0A" w14:textId="77777777" w:rsidR="008524D1" w:rsidRPr="008524D1" w:rsidRDefault="008524D1" w:rsidP="008524D1">
      <w:pPr>
        <w:numPr>
          <w:ilvl w:val="0"/>
          <w:numId w:val="2"/>
        </w:numPr>
        <w:shd w:val="clear" w:color="auto" w:fill="FFFFFF"/>
        <w:spacing w:before="100" w:beforeAutospacing="1" w:after="100" w:afterAutospacing="1" w:line="240" w:lineRule="auto"/>
        <w:ind w:left="840"/>
        <w:rPr>
          <w:rFonts w:ascii="Segoe UI" w:eastAsia="Times New Roman" w:hAnsi="Segoe UI" w:cs="Segoe UI"/>
          <w:color w:val="242424"/>
          <w:sz w:val="21"/>
          <w:szCs w:val="21"/>
        </w:rPr>
      </w:pPr>
      <w:r w:rsidRPr="008524D1">
        <w:rPr>
          <w:rFonts w:ascii="Segoe UI" w:eastAsia="Times New Roman" w:hAnsi="Segoe UI" w:cs="Segoe UI"/>
          <w:color w:val="242424"/>
          <w:sz w:val="20"/>
          <w:szCs w:val="20"/>
          <w:lang w:val="en"/>
        </w:rPr>
        <w:t>What are the potential pathways through which ex-ante lump-sum cash and climate risk information influence the above outcomes?</w:t>
      </w:r>
    </w:p>
    <w:p w14:paraId="2A938BFF" w14:textId="77777777" w:rsidR="008524D1" w:rsidRPr="008524D1" w:rsidRDefault="008524D1" w:rsidP="008524D1">
      <w:pPr>
        <w:numPr>
          <w:ilvl w:val="0"/>
          <w:numId w:val="2"/>
        </w:numPr>
        <w:shd w:val="clear" w:color="auto" w:fill="FFFFFF"/>
        <w:spacing w:before="100" w:beforeAutospacing="1" w:after="100" w:afterAutospacing="1" w:line="240" w:lineRule="auto"/>
        <w:ind w:left="840"/>
        <w:rPr>
          <w:rFonts w:ascii="Segoe UI" w:eastAsia="Times New Roman" w:hAnsi="Segoe UI" w:cs="Segoe UI"/>
          <w:color w:val="242424"/>
          <w:sz w:val="21"/>
          <w:szCs w:val="21"/>
        </w:rPr>
      </w:pPr>
      <w:r w:rsidRPr="008524D1">
        <w:rPr>
          <w:rFonts w:ascii="Segoe UI" w:eastAsia="Times New Roman" w:hAnsi="Segoe UI" w:cs="Segoe UI"/>
          <w:color w:val="242424"/>
          <w:sz w:val="20"/>
          <w:szCs w:val="20"/>
          <w:lang w:val="en"/>
        </w:rPr>
        <w:t>Are ex-ante lump-sum climate risk reduction payments more cost-efficient than ex-post shock response humanitarian support (</w:t>
      </w:r>
      <w:proofErr w:type="gramStart"/>
      <w:r w:rsidRPr="008524D1">
        <w:rPr>
          <w:rFonts w:ascii="Segoe UI" w:eastAsia="Times New Roman" w:hAnsi="Segoe UI" w:cs="Segoe UI"/>
          <w:color w:val="242424"/>
          <w:sz w:val="20"/>
          <w:szCs w:val="20"/>
          <w:lang w:val="en"/>
        </w:rPr>
        <w:t>e.g.</w:t>
      </w:r>
      <w:proofErr w:type="gramEnd"/>
      <w:r w:rsidRPr="008524D1">
        <w:rPr>
          <w:rFonts w:ascii="Segoe UI" w:eastAsia="Times New Roman" w:hAnsi="Segoe UI" w:cs="Segoe UI"/>
          <w:color w:val="242424"/>
          <w:sz w:val="20"/>
          <w:szCs w:val="20"/>
          <w:lang w:val="en"/>
        </w:rPr>
        <w:t xml:space="preserve"> monthly payments to cover basic needs)?</w:t>
      </w:r>
    </w:p>
    <w:p w14:paraId="796E91B8" w14:textId="77777777" w:rsidR="008524D1" w:rsidRPr="008524D1" w:rsidRDefault="008524D1" w:rsidP="008524D1">
      <w:pPr>
        <w:numPr>
          <w:ilvl w:val="0"/>
          <w:numId w:val="2"/>
        </w:numPr>
        <w:shd w:val="clear" w:color="auto" w:fill="FFFFFF"/>
        <w:spacing w:before="100" w:beforeAutospacing="1" w:after="100" w:afterAutospacing="1" w:line="240" w:lineRule="auto"/>
        <w:ind w:left="840"/>
        <w:rPr>
          <w:rFonts w:ascii="Segoe UI" w:eastAsia="Times New Roman" w:hAnsi="Segoe UI" w:cs="Segoe UI"/>
          <w:color w:val="242424"/>
          <w:sz w:val="21"/>
          <w:szCs w:val="21"/>
        </w:rPr>
      </w:pPr>
      <w:r w:rsidRPr="008524D1">
        <w:rPr>
          <w:rFonts w:ascii="Segoe UI" w:eastAsia="Times New Roman" w:hAnsi="Segoe UI" w:cs="Segoe UI"/>
          <w:color w:val="242424"/>
          <w:sz w:val="20"/>
          <w:szCs w:val="20"/>
          <w:lang w:val="en"/>
        </w:rPr>
        <w:t>How best can these systems be scaled and integrated into local, national and/or regional Early Warning Systems and Social Protection Systems (insurance and/or financial stimulus)?</w:t>
      </w:r>
    </w:p>
    <w:p w14:paraId="21D9491D" w14:textId="77777777" w:rsidR="008524D1" w:rsidRPr="008524D1" w:rsidRDefault="008524D1" w:rsidP="008524D1">
      <w:pPr>
        <w:numPr>
          <w:ilvl w:val="0"/>
          <w:numId w:val="2"/>
        </w:numPr>
        <w:shd w:val="clear" w:color="auto" w:fill="FFFFFF"/>
        <w:spacing w:before="100" w:beforeAutospacing="1" w:after="100" w:afterAutospacing="1" w:line="240" w:lineRule="auto"/>
        <w:ind w:left="840"/>
        <w:rPr>
          <w:rFonts w:ascii="Segoe UI" w:eastAsia="Times New Roman" w:hAnsi="Segoe UI" w:cs="Segoe UI"/>
          <w:color w:val="242424"/>
          <w:sz w:val="21"/>
          <w:szCs w:val="21"/>
        </w:rPr>
      </w:pPr>
      <w:r w:rsidRPr="008524D1">
        <w:rPr>
          <w:rFonts w:ascii="Segoe UI" w:eastAsia="Times New Roman" w:hAnsi="Segoe UI" w:cs="Segoe UI"/>
          <w:color w:val="242424"/>
          <w:sz w:val="20"/>
          <w:szCs w:val="20"/>
          <w:lang w:val="en"/>
        </w:rPr>
        <w:t>What, if any, impact do lump sum cash payments have on seasonal household income?</w:t>
      </w:r>
    </w:p>
    <w:p w14:paraId="27D6AE62" w14:textId="77777777" w:rsidR="008524D1" w:rsidRPr="008524D1" w:rsidRDefault="008524D1" w:rsidP="008524D1">
      <w:pPr>
        <w:numPr>
          <w:ilvl w:val="0"/>
          <w:numId w:val="2"/>
        </w:numPr>
        <w:shd w:val="clear" w:color="auto" w:fill="FFFFFF"/>
        <w:spacing w:before="100" w:beforeAutospacing="1" w:after="100" w:afterAutospacing="1" w:line="240" w:lineRule="auto"/>
        <w:ind w:left="840"/>
        <w:rPr>
          <w:rFonts w:ascii="Segoe UI" w:eastAsia="Times New Roman" w:hAnsi="Segoe UI" w:cs="Segoe UI"/>
          <w:color w:val="242424"/>
          <w:sz w:val="21"/>
          <w:szCs w:val="21"/>
        </w:rPr>
      </w:pPr>
      <w:r w:rsidRPr="008524D1">
        <w:rPr>
          <w:rFonts w:ascii="Segoe UI" w:eastAsia="Times New Roman" w:hAnsi="Segoe UI" w:cs="Segoe UI"/>
          <w:color w:val="242424"/>
          <w:sz w:val="20"/>
          <w:szCs w:val="20"/>
          <w:lang w:val="en"/>
        </w:rPr>
        <w:t>What are the key differences between how women and men utilize the cash payments?</w:t>
      </w:r>
    </w:p>
    <w:p w14:paraId="17F3B7FC" w14:textId="44FE8324" w:rsidR="00CB5C9A" w:rsidRPr="008524D1" w:rsidRDefault="008524D1" w:rsidP="008524D1">
      <w:pPr>
        <w:numPr>
          <w:ilvl w:val="0"/>
          <w:numId w:val="2"/>
        </w:numPr>
        <w:shd w:val="clear" w:color="auto" w:fill="FFFFFF"/>
        <w:spacing w:before="100" w:beforeAutospacing="1" w:after="100" w:afterAutospacing="1" w:line="240" w:lineRule="auto"/>
        <w:ind w:left="840"/>
        <w:rPr>
          <w:rFonts w:ascii="Segoe UI" w:eastAsia="Times New Roman" w:hAnsi="Segoe UI" w:cs="Segoe UI"/>
          <w:color w:val="242424"/>
          <w:sz w:val="21"/>
          <w:szCs w:val="21"/>
        </w:rPr>
      </w:pPr>
      <w:r w:rsidRPr="008524D1">
        <w:rPr>
          <w:rFonts w:ascii="Segoe UI" w:eastAsia="Times New Roman" w:hAnsi="Segoe UI" w:cs="Segoe UI"/>
          <w:color w:val="242424"/>
          <w:sz w:val="20"/>
          <w:szCs w:val="20"/>
          <w:lang w:val="en"/>
        </w:rPr>
        <w:t>Is there a willingness and/or ability to pay in vulnerable populations for index insurance products?</w:t>
      </w:r>
    </w:p>
    <w:p w14:paraId="25D16A25" w14:textId="72F9E546" w:rsidR="00CB5C9A" w:rsidRDefault="00CB5C9A" w:rsidP="00276A2D">
      <w:pPr>
        <w:pStyle w:val="Heading1"/>
      </w:pPr>
      <w:r w:rsidRPr="00CB5C9A">
        <w:t>Primary Outcomes of Interest</w:t>
      </w:r>
    </w:p>
    <w:p w14:paraId="77DDAF87" w14:textId="471CC926" w:rsidR="008524D1" w:rsidRDefault="008524D1">
      <w:r w:rsidRPr="00FD22D2">
        <w:t>Related to the research questions listed above, the primary outcomes of interest (associated research questions—RQ—in parentheses) are</w:t>
      </w:r>
      <w:r w:rsidR="005B4233">
        <w:t xml:space="preserve"> as follows.</w:t>
      </w:r>
    </w:p>
    <w:p w14:paraId="703469A4" w14:textId="77777777" w:rsidR="00A438AE" w:rsidRDefault="005B4233" w:rsidP="00276A2D">
      <w:pPr>
        <w:pStyle w:val="Heading2"/>
        <w:numPr>
          <w:ilvl w:val="0"/>
          <w:numId w:val="0"/>
        </w:numPr>
        <w:ind w:left="360" w:hanging="360"/>
      </w:pPr>
      <w:r w:rsidRPr="005B4233">
        <w:t>Indices</w:t>
      </w:r>
      <w:r w:rsidR="00A438AE">
        <w:t xml:space="preserve"> </w:t>
      </w:r>
    </w:p>
    <w:p w14:paraId="365D9EF5" w14:textId="5E9CE31B" w:rsidR="005B4233" w:rsidRPr="00A438AE" w:rsidRDefault="00A438AE">
      <w:r w:rsidRPr="00A438AE">
        <w:t>These indices are all standardized and are being measured at both baseline and endline.</w:t>
      </w:r>
      <w:r>
        <w:t xml:space="preserve"> Our main interest is in observing if the indices change differently at all, but we will also examine </w:t>
      </w:r>
      <w:r w:rsidR="007B39BD">
        <w:t>some specific strategies</w:t>
      </w:r>
      <w:r w:rsidR="003B2565">
        <w:t xml:space="preserve"> as noted below.</w:t>
      </w:r>
    </w:p>
    <w:p w14:paraId="0F64EA39" w14:textId="49EA7235" w:rsidR="008524D1" w:rsidRPr="00FD22D2" w:rsidRDefault="008524D1" w:rsidP="008524D1">
      <w:pPr>
        <w:pStyle w:val="ListParagraph"/>
        <w:numPr>
          <w:ilvl w:val="0"/>
          <w:numId w:val="3"/>
        </w:numPr>
      </w:pPr>
      <w:r w:rsidRPr="00FD22D2">
        <w:t xml:space="preserve">Food </w:t>
      </w:r>
      <w:r w:rsidR="00891BFB">
        <w:t>Consumption Score</w:t>
      </w:r>
      <w:r w:rsidR="00FD22D2" w:rsidRPr="00FD22D2">
        <w:t xml:space="preserve"> (RQ1). </w:t>
      </w:r>
    </w:p>
    <w:p w14:paraId="63B48BF6" w14:textId="7C1D6767" w:rsidR="00FD22D2" w:rsidRDefault="00FD22D2" w:rsidP="008524D1">
      <w:pPr>
        <w:pStyle w:val="ListParagraph"/>
        <w:numPr>
          <w:ilvl w:val="0"/>
          <w:numId w:val="3"/>
        </w:numPr>
      </w:pPr>
      <w:r w:rsidRPr="00FD22D2">
        <w:t xml:space="preserve">Household Dietary Diversity Score (RQ1).  </w:t>
      </w:r>
    </w:p>
    <w:p w14:paraId="51458B9C" w14:textId="0F14D0A8" w:rsidR="005B4233" w:rsidRPr="00FD22D2" w:rsidRDefault="005B4233" w:rsidP="005B4233">
      <w:pPr>
        <w:pStyle w:val="ListParagraph"/>
        <w:numPr>
          <w:ilvl w:val="0"/>
          <w:numId w:val="3"/>
        </w:numPr>
      </w:pPr>
      <w:r>
        <w:t xml:space="preserve">Reduced </w:t>
      </w:r>
      <w:r w:rsidRPr="00FD22D2">
        <w:t xml:space="preserve">Coping Strategies Index (RQ2).  </w:t>
      </w:r>
    </w:p>
    <w:p w14:paraId="5EC052CE" w14:textId="0C2428DB" w:rsidR="00276A2D" w:rsidRDefault="005B4233" w:rsidP="00276A2D">
      <w:pPr>
        <w:pStyle w:val="ListParagraph"/>
        <w:numPr>
          <w:ilvl w:val="0"/>
          <w:numId w:val="3"/>
        </w:numPr>
      </w:pPr>
      <w:r>
        <w:t>Livelihood Coping Strategies Index (</w:t>
      </w:r>
      <w:r w:rsidR="00A438AE">
        <w:t xml:space="preserve">RQ1/RQ2). </w:t>
      </w:r>
    </w:p>
    <w:p w14:paraId="7FAD52FE" w14:textId="28C23329" w:rsidR="00A438AE" w:rsidRDefault="007B39BD" w:rsidP="00276A2D">
      <w:pPr>
        <w:pStyle w:val="Heading2"/>
        <w:numPr>
          <w:ilvl w:val="0"/>
          <w:numId w:val="0"/>
        </w:numPr>
        <w:ind w:left="360" w:hanging="360"/>
      </w:pPr>
      <w:r w:rsidRPr="003B2565">
        <w:t>Aggregates</w:t>
      </w:r>
    </w:p>
    <w:p w14:paraId="3D3174E0" w14:textId="422C401C" w:rsidR="003B2565" w:rsidRPr="00FD6EF4" w:rsidRDefault="003B2565" w:rsidP="00A438AE">
      <w:r w:rsidRPr="00FD6EF4">
        <w:t xml:space="preserve">We will construct aggregates from the data </w:t>
      </w:r>
      <w:r w:rsidR="00FD6EF4" w:rsidRPr="00FD6EF4">
        <w:t xml:space="preserve">at baseline and endline; we will take the logarithm of </w:t>
      </w:r>
      <w:r w:rsidR="000A1221">
        <w:t xml:space="preserve">these values and will also test the logarithm plus 1 if there is imbalance in the proportion of households with zero values (and an undefined logarithm) either at baseline or endline. We plan to estimate the values in Naira and </w:t>
      </w:r>
      <w:proofErr w:type="spellStart"/>
      <w:r w:rsidR="000A1221">
        <w:t>winsorize</w:t>
      </w:r>
      <w:proofErr w:type="spellEnd"/>
      <w:r w:rsidR="000A1221">
        <w:t xml:space="preserve"> at the 1 percent level. These values are also available at both baseline and endline.</w:t>
      </w:r>
    </w:p>
    <w:p w14:paraId="6F64299F" w14:textId="425E1EE8" w:rsidR="00FD22D2" w:rsidRDefault="00F1675A" w:rsidP="008524D1">
      <w:pPr>
        <w:pStyle w:val="ListParagraph"/>
        <w:numPr>
          <w:ilvl w:val="0"/>
          <w:numId w:val="3"/>
        </w:numPr>
      </w:pPr>
      <w:r>
        <w:t xml:space="preserve">Seasonal, non-transfer income (RQ6). </w:t>
      </w:r>
    </w:p>
    <w:p w14:paraId="26D9E097" w14:textId="7D35F88D" w:rsidR="003B2565" w:rsidRDefault="003B2565" w:rsidP="008524D1">
      <w:pPr>
        <w:pStyle w:val="ListParagraph"/>
        <w:numPr>
          <w:ilvl w:val="0"/>
          <w:numId w:val="3"/>
        </w:numPr>
      </w:pPr>
      <w:r>
        <w:t>Agricultural income</w:t>
      </w:r>
      <w:r w:rsidR="000A1221">
        <w:t xml:space="preserve"> (RQ3)</w:t>
      </w:r>
    </w:p>
    <w:p w14:paraId="382C74D5" w14:textId="43CE7A4B" w:rsidR="00F1675A" w:rsidRDefault="003B2565" w:rsidP="008524D1">
      <w:pPr>
        <w:pStyle w:val="ListParagraph"/>
        <w:numPr>
          <w:ilvl w:val="0"/>
          <w:numId w:val="3"/>
        </w:numPr>
      </w:pPr>
      <w:r>
        <w:t>Durable assets</w:t>
      </w:r>
      <w:r w:rsidR="000A1221">
        <w:t xml:space="preserve"> (RQ</w:t>
      </w:r>
      <w:r w:rsidR="004E5DDF">
        <w:t>1/RQ2)</w:t>
      </w:r>
    </w:p>
    <w:p w14:paraId="633664BD" w14:textId="74AA04B5" w:rsidR="004E5DDF" w:rsidRDefault="004E5DDF" w:rsidP="008524D1">
      <w:pPr>
        <w:pStyle w:val="ListParagraph"/>
        <w:numPr>
          <w:ilvl w:val="0"/>
          <w:numId w:val="3"/>
        </w:numPr>
      </w:pPr>
      <w:r>
        <w:t>Number of Livestock, measured in tropical livestock units (RQ1/RQ2).</w:t>
      </w:r>
    </w:p>
    <w:p w14:paraId="39837995" w14:textId="4BFED2ED" w:rsidR="004E5DDF" w:rsidRDefault="00276A2D" w:rsidP="00276A2D">
      <w:pPr>
        <w:pStyle w:val="Heading2"/>
        <w:numPr>
          <w:ilvl w:val="0"/>
          <w:numId w:val="0"/>
        </w:numPr>
        <w:ind w:left="360" w:hanging="360"/>
      </w:pPr>
      <w:r w:rsidRPr="00276A2D">
        <w:t xml:space="preserve">Indicators, Measured at Baseline and </w:t>
      </w:r>
      <w:proofErr w:type="spellStart"/>
      <w:r w:rsidRPr="00276A2D">
        <w:t>Endline</w:t>
      </w:r>
      <w:proofErr w:type="spellEnd"/>
    </w:p>
    <w:p w14:paraId="09EEB727" w14:textId="4485FAD5" w:rsidR="00276A2D" w:rsidRDefault="00276A2D" w:rsidP="004E5DDF">
      <w:r>
        <w:t>These indicator variables are to be measured at both baseline and endlin</w:t>
      </w:r>
      <w:r w:rsidR="00C35C2C">
        <w:t>e:</w:t>
      </w:r>
    </w:p>
    <w:p w14:paraId="50A00F40" w14:textId="36A43861" w:rsidR="00B03BA7" w:rsidRDefault="002F59AA" w:rsidP="00BB6CED">
      <w:pPr>
        <w:pStyle w:val="ListParagraph"/>
        <w:numPr>
          <w:ilvl w:val="0"/>
          <w:numId w:val="3"/>
        </w:numPr>
      </w:pPr>
      <w:r>
        <w:lastRenderedPageBreak/>
        <w:t>Employed outside of agricultural work (binary)</w:t>
      </w:r>
    </w:p>
    <w:p w14:paraId="5513C2A5" w14:textId="583CFCDA" w:rsidR="005A345A" w:rsidRDefault="005A345A" w:rsidP="00BB6CED">
      <w:pPr>
        <w:pStyle w:val="ListParagraph"/>
        <w:numPr>
          <w:ilvl w:val="0"/>
          <w:numId w:val="3"/>
        </w:numPr>
      </w:pPr>
      <w:r>
        <w:t>Use of Climate Adaptive Agricultural Practices (binary)</w:t>
      </w:r>
    </w:p>
    <w:p w14:paraId="11CC066E" w14:textId="1462729C" w:rsidR="00276A2D" w:rsidRDefault="00977D38" w:rsidP="004E5DDF">
      <w:pPr>
        <w:rPr>
          <w:b/>
          <w:bCs/>
        </w:rPr>
      </w:pPr>
      <w:r w:rsidRPr="00977D38">
        <w:rPr>
          <w:b/>
          <w:bCs/>
        </w:rPr>
        <w:t xml:space="preserve">Indicators, Measured at </w:t>
      </w:r>
      <w:proofErr w:type="spellStart"/>
      <w:r w:rsidRPr="00977D38">
        <w:rPr>
          <w:b/>
          <w:bCs/>
        </w:rPr>
        <w:t>Endline</w:t>
      </w:r>
      <w:proofErr w:type="spellEnd"/>
    </w:p>
    <w:p w14:paraId="1FD3880A" w14:textId="6621F258" w:rsidR="00977D38" w:rsidRDefault="00977D38" w:rsidP="004E5DDF">
      <w:r w:rsidRPr="00B03BA7">
        <w:t xml:space="preserve">These </w:t>
      </w:r>
      <w:r w:rsidR="00B03BA7" w:rsidRPr="00B03BA7">
        <w:t>indicator variables will be measured at the endline</w:t>
      </w:r>
      <w:r w:rsidR="00C35C2C">
        <w:t>:</w:t>
      </w:r>
    </w:p>
    <w:p w14:paraId="3F5B18E6" w14:textId="7C23C290" w:rsidR="002F59AA" w:rsidRDefault="002F59AA" w:rsidP="002F59AA">
      <w:pPr>
        <w:pStyle w:val="ListParagraph"/>
        <w:numPr>
          <w:ilvl w:val="0"/>
          <w:numId w:val="3"/>
        </w:numPr>
      </w:pPr>
      <w:r>
        <w:t>Spent cash on any climate resilience activities (binary)</w:t>
      </w:r>
      <w:r w:rsidR="0068310C">
        <w:t xml:space="preserve"> (RQ2)</w:t>
      </w:r>
    </w:p>
    <w:p w14:paraId="1D8BD9B3" w14:textId="065C5C5F" w:rsidR="002F59AA" w:rsidRDefault="002F59AA" w:rsidP="002F59AA">
      <w:pPr>
        <w:pStyle w:val="ListParagraph"/>
        <w:numPr>
          <w:ilvl w:val="0"/>
          <w:numId w:val="3"/>
        </w:numPr>
      </w:pPr>
      <w:r>
        <w:t>Spent cash on productive assets (binary)</w:t>
      </w:r>
      <w:r w:rsidR="0068310C">
        <w:t xml:space="preserve"> (RQ2)</w:t>
      </w:r>
    </w:p>
    <w:p w14:paraId="316A202F" w14:textId="2F42A95D" w:rsidR="002F59AA" w:rsidRDefault="002F59AA" w:rsidP="002F59AA">
      <w:pPr>
        <w:pStyle w:val="ListParagraph"/>
        <w:numPr>
          <w:ilvl w:val="0"/>
          <w:numId w:val="3"/>
        </w:numPr>
      </w:pPr>
      <w:r>
        <w:t>Percentage of cash spent on any climate resilience activities (continuous)</w:t>
      </w:r>
      <w:r w:rsidR="0068310C" w:rsidRPr="0068310C">
        <w:t xml:space="preserve"> </w:t>
      </w:r>
      <w:r w:rsidR="0068310C">
        <w:t>(RQ2)</w:t>
      </w:r>
    </w:p>
    <w:p w14:paraId="28FD9A15" w14:textId="4789D751" w:rsidR="002F59AA" w:rsidRDefault="002F59AA" w:rsidP="005A345A">
      <w:pPr>
        <w:pStyle w:val="ListParagraph"/>
        <w:numPr>
          <w:ilvl w:val="0"/>
          <w:numId w:val="3"/>
        </w:numPr>
      </w:pPr>
      <w:r>
        <w:t>Percentage of cash spent on productive assets (continuous)</w:t>
      </w:r>
      <w:r w:rsidR="0068310C" w:rsidRPr="0068310C">
        <w:t xml:space="preserve"> </w:t>
      </w:r>
      <w:r w:rsidR="0068310C">
        <w:t>(RQ2)</w:t>
      </w:r>
    </w:p>
    <w:p w14:paraId="6F7746A3" w14:textId="77777777" w:rsidR="00B03BA7" w:rsidRDefault="00B03BA7" w:rsidP="004E5DDF"/>
    <w:p w14:paraId="5CCFEBB6" w14:textId="6FB74946" w:rsidR="00C35C2C" w:rsidRPr="00C35C2C" w:rsidRDefault="00C35C2C" w:rsidP="00C35C2C">
      <w:pPr>
        <w:pStyle w:val="Heading1"/>
        <w:rPr>
          <w:rStyle w:val="SubtleEmphasis"/>
          <w:i w:val="0"/>
          <w:iCs w:val="0"/>
        </w:rPr>
      </w:pPr>
      <w:r w:rsidRPr="00C35C2C">
        <w:rPr>
          <w:rStyle w:val="SubtleEmphasis"/>
          <w:i w:val="0"/>
          <w:iCs w:val="0"/>
        </w:rPr>
        <w:t>Further Details</w:t>
      </w:r>
    </w:p>
    <w:p w14:paraId="627F79DE" w14:textId="62F49A4A" w:rsidR="00B03BA7" w:rsidRDefault="00B03BA7" w:rsidP="00C35C2C">
      <w:pPr>
        <w:pStyle w:val="Heading2"/>
        <w:numPr>
          <w:ilvl w:val="0"/>
          <w:numId w:val="0"/>
        </w:numPr>
        <w:ind w:left="360" w:hanging="360"/>
      </w:pPr>
      <w:r>
        <w:t>Estimation Method</w:t>
      </w:r>
    </w:p>
    <w:p w14:paraId="57F6C8E1" w14:textId="3A18673F" w:rsidR="00B03BA7" w:rsidRDefault="00B03BA7" w:rsidP="00B03BA7">
      <w:r>
        <w:t xml:space="preserve">For most estimates where baseline and endline survey data are available, we plan to use an ANCOVA estimation </w:t>
      </w:r>
      <w:proofErr w:type="gramStart"/>
      <w:r>
        <w:t>method;</w:t>
      </w:r>
      <w:proofErr w:type="gramEnd"/>
      <w:r>
        <w:t xml:space="preserve"> e.g. we will regress the outcome on an indicator for the randomized group, the baseline outcome, and fixed effects at </w:t>
      </w:r>
      <w:r w:rsidRPr="005A345A">
        <w:t xml:space="preserve">the </w:t>
      </w:r>
      <w:r w:rsidR="00AC522A" w:rsidRPr="005A345A">
        <w:t>community</w:t>
      </w:r>
      <w:r>
        <w:t xml:space="preserve"> level. </w:t>
      </w:r>
      <w:r w:rsidR="0099097C">
        <w:t xml:space="preserve">When only endline data are available, then we would run the same regression, without the </w:t>
      </w:r>
      <w:r w:rsidR="00006623">
        <w:t>baseline value.</w:t>
      </w:r>
    </w:p>
    <w:p w14:paraId="0A4A11F4" w14:textId="570A681D" w:rsidR="00C56BA8" w:rsidRDefault="00006623" w:rsidP="00B03BA7">
      <w:r>
        <w:t xml:space="preserve">One question would be whether we plan to control for any baseline values. In a set of additional regressions, we </w:t>
      </w:r>
      <w:r w:rsidR="00E26361">
        <w:t xml:space="preserve">will </w:t>
      </w:r>
      <w:r w:rsidR="00C56BA8">
        <w:t xml:space="preserve">use LASSO regression to select a set of </w:t>
      </w:r>
      <w:r w:rsidR="00E26361">
        <w:t>control variables</w:t>
      </w:r>
      <w:r w:rsidR="00C56BA8">
        <w:t xml:space="preserve"> from the following list</w:t>
      </w:r>
      <w:r w:rsidR="00463CF9">
        <w:t xml:space="preserve"> of potential covariates</w:t>
      </w:r>
      <w:r w:rsidR="00C56BA8">
        <w:t xml:space="preserve">: </w:t>
      </w:r>
    </w:p>
    <w:p w14:paraId="5E3A5587" w14:textId="5E832C48" w:rsidR="00C56BA8" w:rsidRDefault="002D7028" w:rsidP="00C56BA8">
      <w:pPr>
        <w:pStyle w:val="ListParagraph"/>
        <w:numPr>
          <w:ilvl w:val="0"/>
          <w:numId w:val="5"/>
        </w:numPr>
      </w:pPr>
      <w:r>
        <w:t>Respondent age</w:t>
      </w:r>
    </w:p>
    <w:p w14:paraId="6946C216" w14:textId="1612EA48" w:rsidR="002D7028" w:rsidRDefault="002D7028" w:rsidP="00C56BA8">
      <w:pPr>
        <w:pStyle w:val="ListParagraph"/>
        <w:numPr>
          <w:ilvl w:val="0"/>
          <w:numId w:val="5"/>
        </w:numPr>
      </w:pPr>
      <w:r>
        <w:t>Respondent gender</w:t>
      </w:r>
      <w:r w:rsidR="008E48C7">
        <w:t xml:space="preserve"> (required for inclusion due to heterogeneity analysis)</w:t>
      </w:r>
    </w:p>
    <w:p w14:paraId="68E4A896" w14:textId="196F75E8" w:rsidR="002D7028" w:rsidRDefault="002D7028" w:rsidP="00C56BA8">
      <w:pPr>
        <w:pStyle w:val="ListParagraph"/>
        <w:numPr>
          <w:ilvl w:val="0"/>
          <w:numId w:val="5"/>
        </w:numPr>
      </w:pPr>
      <w:r>
        <w:t>Respondent education level</w:t>
      </w:r>
    </w:p>
    <w:p w14:paraId="640AFBFA" w14:textId="15E35397" w:rsidR="008E48C7" w:rsidRDefault="008E48C7" w:rsidP="00C56BA8">
      <w:pPr>
        <w:pStyle w:val="ListParagraph"/>
        <w:numPr>
          <w:ilvl w:val="0"/>
          <w:numId w:val="5"/>
        </w:numPr>
      </w:pPr>
      <w:r>
        <w:t>Respondent disability status (required for inclusion due to heterogeneity analysis)</w:t>
      </w:r>
    </w:p>
    <w:p w14:paraId="50E4C283" w14:textId="38F10283" w:rsidR="002D7028" w:rsidRDefault="002D7028" w:rsidP="00C56BA8">
      <w:pPr>
        <w:pStyle w:val="ListParagraph"/>
        <w:numPr>
          <w:ilvl w:val="0"/>
          <w:numId w:val="5"/>
        </w:numPr>
      </w:pPr>
      <w:r>
        <w:t>Household size</w:t>
      </w:r>
    </w:p>
    <w:p w14:paraId="10FA3E33" w14:textId="68F2ECFF" w:rsidR="002D7028" w:rsidRDefault="002D7028" w:rsidP="00C56BA8">
      <w:pPr>
        <w:pStyle w:val="ListParagraph"/>
        <w:numPr>
          <w:ilvl w:val="0"/>
          <w:numId w:val="5"/>
        </w:numPr>
      </w:pPr>
      <w:r>
        <w:t>Relationship to head of household</w:t>
      </w:r>
    </w:p>
    <w:p w14:paraId="4A7AE700" w14:textId="2D61682D" w:rsidR="002D7028" w:rsidRDefault="002D7028" w:rsidP="00C56BA8">
      <w:pPr>
        <w:pStyle w:val="ListParagraph"/>
        <w:numPr>
          <w:ilvl w:val="0"/>
          <w:numId w:val="5"/>
        </w:numPr>
      </w:pPr>
      <w:r>
        <w:t>Gender of head of household</w:t>
      </w:r>
    </w:p>
    <w:p w14:paraId="0CE64EF5" w14:textId="5A9348CD" w:rsidR="002D7028" w:rsidRDefault="002D7028" w:rsidP="00C56BA8">
      <w:pPr>
        <w:pStyle w:val="ListParagraph"/>
        <w:numPr>
          <w:ilvl w:val="0"/>
          <w:numId w:val="5"/>
        </w:numPr>
      </w:pPr>
      <w:r>
        <w:t>Housing structure (from registration data)</w:t>
      </w:r>
    </w:p>
    <w:p w14:paraId="5F5CCED7" w14:textId="33BFE384" w:rsidR="004A3D67" w:rsidRDefault="004A3D67" w:rsidP="00C56BA8">
      <w:pPr>
        <w:pStyle w:val="ListParagraph"/>
        <w:numPr>
          <w:ilvl w:val="0"/>
          <w:numId w:val="5"/>
        </w:numPr>
      </w:pPr>
      <w:r>
        <w:t>Previously affected by flood (from registration data)</w:t>
      </w:r>
    </w:p>
    <w:p w14:paraId="63881DE3" w14:textId="6865AA6A" w:rsidR="007A1ABE" w:rsidRDefault="007A1ABE" w:rsidP="00C56BA8">
      <w:pPr>
        <w:pStyle w:val="ListParagraph"/>
        <w:numPr>
          <w:ilvl w:val="0"/>
          <w:numId w:val="5"/>
        </w:numPr>
      </w:pPr>
      <w:r>
        <w:t>Farmland location – floodplains vs. upland (from registration data)</w:t>
      </w:r>
    </w:p>
    <w:p w14:paraId="1F47A2EA" w14:textId="732E181E" w:rsidR="007A1ABE" w:rsidRDefault="007A1ABE" w:rsidP="00C56BA8">
      <w:pPr>
        <w:pStyle w:val="ListParagraph"/>
        <w:numPr>
          <w:ilvl w:val="0"/>
          <w:numId w:val="5"/>
        </w:numPr>
      </w:pPr>
      <w:r>
        <w:t>Residential location – riverine vs. upland (from registration data)</w:t>
      </w:r>
    </w:p>
    <w:p w14:paraId="4A6026C4" w14:textId="3C980F8D" w:rsidR="00972700" w:rsidRDefault="00972700" w:rsidP="00C56BA8">
      <w:pPr>
        <w:pStyle w:val="ListParagraph"/>
        <w:numPr>
          <w:ilvl w:val="0"/>
          <w:numId w:val="5"/>
        </w:numPr>
      </w:pPr>
      <w:r>
        <w:t>Farm size in hectares (from registration data)</w:t>
      </w:r>
    </w:p>
    <w:p w14:paraId="30997A80" w14:textId="4BBACA43" w:rsidR="0046449B" w:rsidRDefault="0046449B" w:rsidP="00C56BA8">
      <w:pPr>
        <w:pStyle w:val="ListParagraph"/>
        <w:numPr>
          <w:ilvl w:val="0"/>
          <w:numId w:val="5"/>
        </w:numPr>
      </w:pPr>
      <w:r>
        <w:t>Residency status (from registration data)</w:t>
      </w:r>
    </w:p>
    <w:p w14:paraId="57EE55D6" w14:textId="74DEA84E" w:rsidR="00790068" w:rsidRDefault="00790068" w:rsidP="00C56BA8">
      <w:pPr>
        <w:pStyle w:val="ListParagraph"/>
        <w:numPr>
          <w:ilvl w:val="0"/>
          <w:numId w:val="5"/>
        </w:numPr>
      </w:pPr>
      <w:r>
        <w:t>Access to agricultural extension services</w:t>
      </w:r>
    </w:p>
    <w:p w14:paraId="1CEBBEC3" w14:textId="5730A05A" w:rsidR="00790068" w:rsidRDefault="00790068" w:rsidP="00C56BA8">
      <w:pPr>
        <w:pStyle w:val="ListParagraph"/>
        <w:numPr>
          <w:ilvl w:val="0"/>
          <w:numId w:val="5"/>
        </w:numPr>
      </w:pPr>
      <w:r>
        <w:t>Access to clean drinking water</w:t>
      </w:r>
    </w:p>
    <w:p w14:paraId="7F84909B" w14:textId="3EC224BC" w:rsidR="00790068" w:rsidRDefault="00790068" w:rsidP="00C56BA8">
      <w:pPr>
        <w:pStyle w:val="ListParagraph"/>
        <w:numPr>
          <w:ilvl w:val="0"/>
          <w:numId w:val="5"/>
        </w:numPr>
      </w:pPr>
      <w:r>
        <w:t>Access to credit sources</w:t>
      </w:r>
    </w:p>
    <w:p w14:paraId="39081E42" w14:textId="70DF6AE3" w:rsidR="00790068" w:rsidRDefault="00E351D2" w:rsidP="00C56BA8">
      <w:pPr>
        <w:pStyle w:val="ListParagraph"/>
        <w:numPr>
          <w:ilvl w:val="0"/>
          <w:numId w:val="5"/>
        </w:numPr>
      </w:pPr>
      <w:r>
        <w:t>Access to electricity</w:t>
      </w:r>
    </w:p>
    <w:p w14:paraId="2C9E22B0" w14:textId="0FB9B5C8" w:rsidR="002642AD" w:rsidRDefault="002642AD" w:rsidP="00C35C2C">
      <w:pPr>
        <w:pStyle w:val="Heading2"/>
        <w:numPr>
          <w:ilvl w:val="0"/>
          <w:numId w:val="0"/>
        </w:numPr>
        <w:ind w:left="360" w:hanging="360"/>
      </w:pPr>
      <w:r>
        <w:t>Multiple Hypothesis Testing</w:t>
      </w:r>
    </w:p>
    <w:p w14:paraId="3A2238A1" w14:textId="11C02CC9" w:rsidR="002642AD" w:rsidRDefault="002642AD" w:rsidP="002642AD">
      <w:r>
        <w:lastRenderedPageBreak/>
        <w:t xml:space="preserve">We will use adjustments for multiple hypothesis testing as follows. Note first that multiple hypothesis testing adjustments are not necessary when outcomes are independent of one another. We </w:t>
      </w:r>
      <w:r w:rsidR="005A345A">
        <w:t xml:space="preserve">assume </w:t>
      </w:r>
      <w:r>
        <w:t xml:space="preserve">the four indices above are measuring different independent concepts and so we do not plan to conduct multiple hypothesis testing on those outcomes. The aggregates, on the other hand, are likely to be correlated; we plan to use </w:t>
      </w:r>
      <w:r w:rsidR="00977D38">
        <w:t xml:space="preserve">the </w:t>
      </w:r>
      <w:r w:rsidR="00C35C2C">
        <w:t>Anderson (2008) sharpened q-value</w:t>
      </w:r>
      <w:r w:rsidR="00977D38">
        <w:t xml:space="preserve"> correction.</w:t>
      </w:r>
    </w:p>
    <w:p w14:paraId="15DFC1F4" w14:textId="213F306C" w:rsidR="00006623" w:rsidRDefault="00006623" w:rsidP="00C35C2C">
      <w:pPr>
        <w:pStyle w:val="Heading2"/>
        <w:numPr>
          <w:ilvl w:val="0"/>
          <w:numId w:val="0"/>
        </w:numPr>
        <w:ind w:left="360" w:hanging="360"/>
      </w:pPr>
      <w:r>
        <w:t>Attrition</w:t>
      </w:r>
    </w:p>
    <w:p w14:paraId="1031661F" w14:textId="013C35EC" w:rsidR="00006623" w:rsidRDefault="00006623" w:rsidP="00006623">
      <w:r>
        <w:t>We plan to test for whether attrition at the household level differs between the two treatment groups. We expect attrition to be low due to the relatively short time between surveys. If attrition is statistically different between the two groups, we will correct for attrition in a robustness check on the main results, using the procedure detailed in Wooldridge (2003).</w:t>
      </w:r>
      <w:r w:rsidR="00AC264E">
        <w:t xml:space="preserve"> If, as we expect, attrition is below 5 percent and does not differ by treatment group, we plan to note that attrition will not affect results.</w:t>
      </w:r>
    </w:p>
    <w:p w14:paraId="51C42AFD" w14:textId="77777777" w:rsidR="00D253A0" w:rsidRDefault="00D253A0" w:rsidP="00D253A0">
      <w:pPr>
        <w:tabs>
          <w:tab w:val="left" w:pos="2445"/>
        </w:tabs>
      </w:pPr>
      <w:r>
        <w:rPr>
          <w:b/>
          <w:bCs/>
        </w:rPr>
        <w:t>Balance</w:t>
      </w:r>
    </w:p>
    <w:p w14:paraId="0D0839DC" w14:textId="2A896BFE" w:rsidR="00AC264E" w:rsidRDefault="00B94AE1" w:rsidP="00D253A0">
      <w:r>
        <w:t>To ensure that randomization worked, we will test for balance between the treatment and control group for time-invariant variables</w:t>
      </w:r>
      <w:r w:rsidR="00FF19FF">
        <w:t xml:space="preserve"> such as gender and community (assumed fixed for the purposes of this study)</w:t>
      </w:r>
      <w:r>
        <w:t xml:space="preserve">. </w:t>
      </w:r>
      <w:r w:rsidR="00E95097">
        <w:t>Depending on the outcome, OLS linear regression or logistic regression with a logit link will be used to estimate the following model:</w:t>
      </w:r>
    </w:p>
    <w:p w14:paraId="7500A7C4" w14:textId="699F8A49" w:rsidR="00E95097" w:rsidRDefault="003F3D1A" w:rsidP="00D253A0">
      <m:oMathPara>
        <m:oMath>
          <m:sSub>
            <m:sSubPr>
              <m:ctrlPr>
                <w:rPr>
                  <w:rFonts w:ascii="Cambria Math" w:hAnsi="Cambria Math"/>
                  <w:i/>
                </w:rPr>
              </m:ctrlPr>
            </m:sSubPr>
            <m:e>
              <m:r>
                <w:rPr>
                  <w:rFonts w:ascii="Cambria Math" w:hAnsi="Cambria Math"/>
                </w:rPr>
                <m:t>y</m:t>
              </m:r>
            </m:e>
            <m:sub>
              <m:r>
                <w:rPr>
                  <w:rFonts w:ascii="Cambria Math" w:hAnsi="Cambria Math"/>
                </w:rPr>
                <m:t>i</m:t>
              </m:r>
            </m:sub>
          </m:sSub>
          <m:r>
            <w:rPr>
              <w:rFonts w:ascii="Cambria Math" w:hAnsi="Cambria Math"/>
            </w:rPr>
            <m:t xml:space="preserve">= </m:t>
          </m:r>
          <m:sSub>
            <m:sSubPr>
              <m:ctrlPr>
                <w:rPr>
                  <w:rFonts w:ascii="Cambria Math" w:hAnsi="Cambria Math"/>
                  <w:i/>
                </w:rPr>
              </m:ctrlPr>
            </m:sSubPr>
            <m:e>
              <m:r>
                <w:rPr>
                  <w:rFonts w:ascii="Cambria Math" w:hAnsi="Cambria Math"/>
                </w:rPr>
                <m:t>β</m:t>
              </m:r>
            </m:e>
            <m:sub>
              <m:r>
                <w:rPr>
                  <w:rFonts w:ascii="Cambria Math" w:hAnsi="Cambria Math"/>
                </w:rPr>
                <m:t>0</m:t>
              </m:r>
            </m:sub>
          </m:sSub>
          <m:r>
            <w:rPr>
              <w:rFonts w:ascii="Cambria Math" w:hAnsi="Cambria Math"/>
            </w:rPr>
            <m:t xml:space="preserve">+ </m:t>
          </m:r>
          <m:sSub>
            <m:sSubPr>
              <m:ctrlPr>
                <w:rPr>
                  <w:rFonts w:ascii="Cambria Math" w:hAnsi="Cambria Math"/>
                  <w:i/>
                </w:rPr>
              </m:ctrlPr>
            </m:sSubPr>
            <m:e>
              <m:r>
                <w:rPr>
                  <w:rFonts w:ascii="Cambria Math" w:hAnsi="Cambria Math"/>
                </w:rPr>
                <m:t>β</m:t>
              </m:r>
            </m:e>
            <m:sub>
              <m:r>
                <w:rPr>
                  <w:rFonts w:ascii="Cambria Math" w:hAnsi="Cambria Math"/>
                </w:rPr>
                <m:t>1</m:t>
              </m:r>
            </m:sub>
          </m:sSub>
          <m:r>
            <w:rPr>
              <w:rFonts w:ascii="Cambria Math" w:hAnsi="Cambria Math"/>
            </w:rPr>
            <m:t xml:space="preserve">*treatment+ </m:t>
          </m:r>
          <m:sSub>
            <m:sSubPr>
              <m:ctrlPr>
                <w:rPr>
                  <w:rFonts w:ascii="Cambria Math" w:hAnsi="Cambria Math"/>
                  <w:i/>
                </w:rPr>
              </m:ctrlPr>
            </m:sSubPr>
            <m:e>
              <m:r>
                <w:rPr>
                  <w:rFonts w:ascii="Cambria Math" w:hAnsi="Cambria Math"/>
                </w:rPr>
                <m:t>ε</m:t>
              </m:r>
            </m:e>
            <m:sub>
              <m:r>
                <w:rPr>
                  <w:rFonts w:ascii="Cambria Math" w:hAnsi="Cambria Math"/>
                </w:rPr>
                <m:t>i</m:t>
              </m:r>
            </m:sub>
          </m:sSub>
        </m:oMath>
      </m:oMathPara>
    </w:p>
    <w:p w14:paraId="70B02B26" w14:textId="46AEFD08" w:rsidR="00E95097" w:rsidRPr="005A345A" w:rsidRDefault="00E95097" w:rsidP="00D253A0">
      <w:r>
        <w:t xml:space="preserve">in which y is the time-invariant variables. We will report the p-value and test statistics from the resulting Wald tests. </w:t>
      </w:r>
    </w:p>
    <w:p w14:paraId="2B029DDE" w14:textId="22C16799" w:rsidR="009B1C3C" w:rsidRDefault="009B1C3C" w:rsidP="00D253A0">
      <w:r>
        <w:rPr>
          <w:b/>
          <w:bCs/>
        </w:rPr>
        <w:t>Heterogeneity</w:t>
      </w:r>
    </w:p>
    <w:p w14:paraId="3B43F7DD" w14:textId="587C33CB" w:rsidR="009B1C3C" w:rsidRDefault="00E36470" w:rsidP="00D253A0">
      <w:r>
        <w:t>To</w:t>
      </w:r>
      <w:r w:rsidR="00D42CFF">
        <w:t xml:space="preserve"> answer RQ</w:t>
      </w:r>
      <w:r w:rsidR="00AB0723">
        <w:t>7</w:t>
      </w:r>
      <w:r w:rsidR="00D42CFF">
        <w:t>, we will examine the treatment effect</w:t>
      </w:r>
      <w:r w:rsidR="00F25F4D">
        <w:t>s on all primary outcomes</w:t>
      </w:r>
      <w:r w:rsidR="00D42CFF">
        <w:t xml:space="preserve"> by respondent’s gender</w:t>
      </w:r>
      <w:r w:rsidR="008E48C7">
        <w:t xml:space="preserve"> and disability status</w:t>
      </w:r>
      <w:r w:rsidR="00D42CFF">
        <w:t xml:space="preserve">. </w:t>
      </w:r>
    </w:p>
    <w:p w14:paraId="721AC875" w14:textId="4855C6DD" w:rsidR="009B1C3C" w:rsidRDefault="009B1C3C">
      <w:pPr>
        <w:pStyle w:val="Heading1"/>
      </w:pPr>
      <w:r>
        <w:t>Exploratory Outcomes</w:t>
      </w:r>
    </w:p>
    <w:p w14:paraId="1DBAEFB8" w14:textId="77777777" w:rsidR="005A345A" w:rsidRPr="005A345A" w:rsidRDefault="005A345A" w:rsidP="005A345A"/>
    <w:p w14:paraId="79F4A882" w14:textId="373C2B1F" w:rsidR="00006623" w:rsidRDefault="00106028" w:rsidP="002642AD">
      <w:r>
        <w:t>We included additional survey questions on respondents’ life satisfaction and bandwidth depletion/scarcity mindset to explore if this is a pathway linked to either the outcomes or the intervention.</w:t>
      </w:r>
      <w:r w:rsidR="00BD3C68">
        <w:t xml:space="preserve"> The analysis of these variables will be considered exploratory, though we will also examine heterogenous treatment effects and use the same regression model outlined above (See: Primary Outcomes of Interest). </w:t>
      </w:r>
      <w:r>
        <w:t xml:space="preserve"> </w:t>
      </w:r>
    </w:p>
    <w:p w14:paraId="22D0055E" w14:textId="77777777" w:rsidR="009B1C3C" w:rsidRDefault="009B1C3C" w:rsidP="002642AD"/>
    <w:p w14:paraId="53F24123" w14:textId="77777777" w:rsidR="00B03BA7" w:rsidRDefault="00B03BA7" w:rsidP="002642AD"/>
    <w:p w14:paraId="1E4E6A43" w14:textId="77777777" w:rsidR="00977D38" w:rsidRPr="002642AD" w:rsidRDefault="00977D38" w:rsidP="002642AD"/>
    <w:sectPr w:rsidR="00977D38" w:rsidRPr="002642A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D92AB4"/>
    <w:multiLevelType w:val="multilevel"/>
    <w:tmpl w:val="D07CD418"/>
    <w:lvl w:ilvl="0">
      <w:start w:val="1"/>
      <w:numFmt w:val="decimal"/>
      <w:pStyle w:val="Heading2"/>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1C395CEC"/>
    <w:multiLevelType w:val="hybridMultilevel"/>
    <w:tmpl w:val="EDBA7C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DB703D7"/>
    <w:multiLevelType w:val="hybridMultilevel"/>
    <w:tmpl w:val="18DCF5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4CE1F28"/>
    <w:multiLevelType w:val="multilevel"/>
    <w:tmpl w:val="1270B3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C395765"/>
    <w:multiLevelType w:val="hybridMultilevel"/>
    <w:tmpl w:val="3D822CEC"/>
    <w:lvl w:ilvl="0" w:tplc="AB30CF1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3"/>
  </w:num>
  <w:num w:numId="3">
    <w:abstractNumId w:val="1"/>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51CF"/>
    <w:rsid w:val="00006623"/>
    <w:rsid w:val="000A1221"/>
    <w:rsid w:val="00106028"/>
    <w:rsid w:val="0020225E"/>
    <w:rsid w:val="002642AD"/>
    <w:rsid w:val="00276A2D"/>
    <w:rsid w:val="00282214"/>
    <w:rsid w:val="002D7028"/>
    <w:rsid w:val="002F59AA"/>
    <w:rsid w:val="00312A4C"/>
    <w:rsid w:val="003B2565"/>
    <w:rsid w:val="003F3D1A"/>
    <w:rsid w:val="00463CF9"/>
    <w:rsid w:val="0046449B"/>
    <w:rsid w:val="004A3D67"/>
    <w:rsid w:val="004E5DDF"/>
    <w:rsid w:val="005626CB"/>
    <w:rsid w:val="005A345A"/>
    <w:rsid w:val="005B4233"/>
    <w:rsid w:val="006751CF"/>
    <w:rsid w:val="0068310C"/>
    <w:rsid w:val="006910EC"/>
    <w:rsid w:val="00790068"/>
    <w:rsid w:val="007A1ABE"/>
    <w:rsid w:val="007B39BD"/>
    <w:rsid w:val="008524D1"/>
    <w:rsid w:val="00885588"/>
    <w:rsid w:val="00891BFB"/>
    <w:rsid w:val="008E48C7"/>
    <w:rsid w:val="00922A74"/>
    <w:rsid w:val="00961D63"/>
    <w:rsid w:val="00972700"/>
    <w:rsid w:val="00977D38"/>
    <w:rsid w:val="0099097C"/>
    <w:rsid w:val="009B1C3C"/>
    <w:rsid w:val="00A438AE"/>
    <w:rsid w:val="00AB0723"/>
    <w:rsid w:val="00AC264E"/>
    <w:rsid w:val="00AC522A"/>
    <w:rsid w:val="00B03BA7"/>
    <w:rsid w:val="00B94AE1"/>
    <w:rsid w:val="00BB6CED"/>
    <w:rsid w:val="00BD3C68"/>
    <w:rsid w:val="00C35C2C"/>
    <w:rsid w:val="00C43849"/>
    <w:rsid w:val="00C56BA8"/>
    <w:rsid w:val="00CB5C9A"/>
    <w:rsid w:val="00CD62A3"/>
    <w:rsid w:val="00D253A0"/>
    <w:rsid w:val="00D42CFF"/>
    <w:rsid w:val="00D84251"/>
    <w:rsid w:val="00DA5E4D"/>
    <w:rsid w:val="00E26361"/>
    <w:rsid w:val="00E351D2"/>
    <w:rsid w:val="00E36470"/>
    <w:rsid w:val="00E6568D"/>
    <w:rsid w:val="00E95097"/>
    <w:rsid w:val="00EE1B84"/>
    <w:rsid w:val="00F1675A"/>
    <w:rsid w:val="00F25F4D"/>
    <w:rsid w:val="00FD22D2"/>
    <w:rsid w:val="00FD6EF4"/>
    <w:rsid w:val="00FF19F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B47C71"/>
  <w15:chartTrackingRefBased/>
  <w15:docId w15:val="{E815C94D-1B20-45E1-B7D8-CF3129AADF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76A2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BodyText"/>
    <w:next w:val="Normal"/>
    <w:link w:val="Heading2Char"/>
    <w:unhideWhenUsed/>
    <w:qFormat/>
    <w:rsid w:val="00EE1B84"/>
    <w:pPr>
      <w:numPr>
        <w:numId w:val="1"/>
      </w:numPr>
      <w:spacing w:before="240" w:line="240" w:lineRule="auto"/>
      <w:outlineLvl w:val="1"/>
    </w:pPr>
    <w:rPr>
      <w:rFonts w:eastAsia="Times New Roman" w:cstheme="minorHAnsi"/>
      <w:b/>
      <w:bCs/>
    </w:rPr>
  </w:style>
  <w:style w:type="paragraph" w:styleId="Heading3">
    <w:name w:val="heading 3"/>
    <w:basedOn w:val="Normal"/>
    <w:next w:val="Normal"/>
    <w:link w:val="Heading3Char"/>
    <w:uiPriority w:val="9"/>
    <w:unhideWhenUsed/>
    <w:qFormat/>
    <w:rsid w:val="002642A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EE1B84"/>
    <w:rPr>
      <w:rFonts w:eastAsia="Times New Roman" w:cstheme="minorHAnsi"/>
      <w:b/>
      <w:bCs/>
    </w:rPr>
  </w:style>
  <w:style w:type="paragraph" w:customStyle="1" w:styleId="Bodytext-noindent">
    <w:name w:val="Body text - no indent"/>
    <w:basedOn w:val="BodyText"/>
    <w:next w:val="BodyText"/>
    <w:qFormat/>
    <w:rsid w:val="00EE1B84"/>
    <w:pPr>
      <w:spacing w:line="240" w:lineRule="auto"/>
    </w:pPr>
    <w:rPr>
      <w:rFonts w:ascii="Calibri" w:eastAsia="Times New Roman" w:hAnsi="Calibri" w:cs="Times New Roman"/>
    </w:rPr>
  </w:style>
  <w:style w:type="paragraph" w:styleId="BodyText">
    <w:name w:val="Body Text"/>
    <w:basedOn w:val="Normal"/>
    <w:link w:val="BodyTextChar"/>
    <w:uiPriority w:val="99"/>
    <w:semiHidden/>
    <w:unhideWhenUsed/>
    <w:rsid w:val="00EE1B84"/>
    <w:pPr>
      <w:spacing w:after="120"/>
    </w:pPr>
  </w:style>
  <w:style w:type="character" w:customStyle="1" w:styleId="BodyTextChar">
    <w:name w:val="Body Text Char"/>
    <w:basedOn w:val="DefaultParagraphFont"/>
    <w:link w:val="BodyText"/>
    <w:uiPriority w:val="99"/>
    <w:semiHidden/>
    <w:rsid w:val="00EE1B84"/>
  </w:style>
  <w:style w:type="paragraph" w:styleId="ListParagraph">
    <w:name w:val="List Paragraph"/>
    <w:basedOn w:val="Normal"/>
    <w:uiPriority w:val="34"/>
    <w:qFormat/>
    <w:rsid w:val="008524D1"/>
    <w:pPr>
      <w:ind w:left="720"/>
      <w:contextualSpacing/>
    </w:pPr>
  </w:style>
  <w:style w:type="character" w:customStyle="1" w:styleId="Heading1Char">
    <w:name w:val="Heading 1 Char"/>
    <w:basedOn w:val="DefaultParagraphFont"/>
    <w:link w:val="Heading1"/>
    <w:uiPriority w:val="9"/>
    <w:rsid w:val="00276A2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2642AD"/>
    <w:rPr>
      <w:rFonts w:asciiTheme="majorHAnsi" w:eastAsiaTheme="majorEastAsia" w:hAnsiTheme="majorHAnsi" w:cstheme="majorBidi"/>
      <w:color w:val="1F3763" w:themeColor="accent1" w:themeShade="7F"/>
      <w:sz w:val="24"/>
      <w:szCs w:val="24"/>
    </w:rPr>
  </w:style>
  <w:style w:type="character" w:styleId="SubtleEmphasis">
    <w:name w:val="Subtle Emphasis"/>
    <w:basedOn w:val="DefaultParagraphFont"/>
    <w:uiPriority w:val="19"/>
    <w:qFormat/>
    <w:rsid w:val="00C35C2C"/>
    <w:rPr>
      <w:i/>
      <w:iCs/>
      <w:color w:val="404040" w:themeColor="text1" w:themeTint="BF"/>
    </w:rPr>
  </w:style>
  <w:style w:type="paragraph" w:styleId="Revision">
    <w:name w:val="Revision"/>
    <w:hidden/>
    <w:uiPriority w:val="99"/>
    <w:semiHidden/>
    <w:rsid w:val="00891BFB"/>
    <w:pPr>
      <w:spacing w:after="0" w:line="240" w:lineRule="auto"/>
    </w:pPr>
  </w:style>
  <w:style w:type="character" w:styleId="CommentReference">
    <w:name w:val="annotation reference"/>
    <w:basedOn w:val="DefaultParagraphFont"/>
    <w:uiPriority w:val="99"/>
    <w:semiHidden/>
    <w:unhideWhenUsed/>
    <w:rsid w:val="00891BFB"/>
    <w:rPr>
      <w:sz w:val="16"/>
      <w:szCs w:val="16"/>
    </w:rPr>
  </w:style>
  <w:style w:type="paragraph" w:styleId="CommentText">
    <w:name w:val="annotation text"/>
    <w:basedOn w:val="Normal"/>
    <w:link w:val="CommentTextChar"/>
    <w:uiPriority w:val="99"/>
    <w:unhideWhenUsed/>
    <w:rsid w:val="00891BFB"/>
    <w:pPr>
      <w:spacing w:line="240" w:lineRule="auto"/>
    </w:pPr>
    <w:rPr>
      <w:sz w:val="20"/>
      <w:szCs w:val="20"/>
    </w:rPr>
  </w:style>
  <w:style w:type="character" w:customStyle="1" w:styleId="CommentTextChar">
    <w:name w:val="Comment Text Char"/>
    <w:basedOn w:val="DefaultParagraphFont"/>
    <w:link w:val="CommentText"/>
    <w:uiPriority w:val="99"/>
    <w:rsid w:val="00891BFB"/>
    <w:rPr>
      <w:sz w:val="20"/>
      <w:szCs w:val="20"/>
    </w:rPr>
  </w:style>
  <w:style w:type="paragraph" w:styleId="CommentSubject">
    <w:name w:val="annotation subject"/>
    <w:basedOn w:val="CommentText"/>
    <w:next w:val="CommentText"/>
    <w:link w:val="CommentSubjectChar"/>
    <w:uiPriority w:val="99"/>
    <w:semiHidden/>
    <w:unhideWhenUsed/>
    <w:rsid w:val="00891BFB"/>
    <w:rPr>
      <w:b/>
      <w:bCs/>
    </w:rPr>
  </w:style>
  <w:style w:type="character" w:customStyle="1" w:styleId="CommentSubjectChar">
    <w:name w:val="Comment Subject Char"/>
    <w:basedOn w:val="CommentTextChar"/>
    <w:link w:val="CommentSubject"/>
    <w:uiPriority w:val="99"/>
    <w:semiHidden/>
    <w:rsid w:val="00891BFB"/>
    <w:rPr>
      <w:b/>
      <w:bCs/>
      <w:sz w:val="20"/>
      <w:szCs w:val="20"/>
    </w:rPr>
  </w:style>
  <w:style w:type="character" w:styleId="PlaceholderText">
    <w:name w:val="Placeholder Text"/>
    <w:basedOn w:val="DefaultParagraphFont"/>
    <w:uiPriority w:val="99"/>
    <w:semiHidden/>
    <w:rsid w:val="00E9509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199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1485</Words>
  <Characters>8468</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 Brauw, Alan (IFPRI)</dc:creator>
  <cp:keywords/>
  <dc:description/>
  <cp:lastModifiedBy>de Brauw, Alan (IFPRI)</cp:lastModifiedBy>
  <cp:revision>2</cp:revision>
  <dcterms:created xsi:type="dcterms:W3CDTF">2022-06-22T17:35:00Z</dcterms:created>
  <dcterms:modified xsi:type="dcterms:W3CDTF">2022-06-22T17:35:00Z</dcterms:modified>
</cp:coreProperties>
</file>