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AD991" w14:textId="577D4CA6" w:rsidR="00F42B2F" w:rsidRDefault="00F42B2F" w:rsidP="004C3A29">
      <w:pPr>
        <w:pStyle w:val="Heading1"/>
        <w:jc w:val="center"/>
      </w:pPr>
      <w:r w:rsidRPr="00F42B2F">
        <w:t>Net Impact Evaluation of Washington State's Reemployment Services and Eligibility Assessment (RESEA) Program</w:t>
      </w:r>
      <w:r w:rsidR="004C3A29">
        <w:br/>
      </w:r>
    </w:p>
    <w:p w14:paraId="6A23A451" w14:textId="7A3C3B10" w:rsidR="004C3A29" w:rsidRPr="004C3A29" w:rsidRDefault="004C3A29" w:rsidP="004C3A29">
      <w:pPr>
        <w:jc w:val="center"/>
      </w:pPr>
      <w:r>
        <w:t>Xue</w:t>
      </w:r>
      <w:r w:rsidR="004C7A58">
        <w:t xml:space="preserve">tao </w:t>
      </w:r>
      <w:r>
        <w:t>Huang, Matthew Klein, Olga Kondratjeva,</w:t>
      </w:r>
      <w:r w:rsidR="00D212F7">
        <w:t xml:space="preserve"> and</w:t>
      </w:r>
      <w:r>
        <w:t xml:space="preserve"> Daegoon Lee</w:t>
      </w:r>
      <w:r>
        <w:rPr>
          <w:rStyle w:val="FootnoteReference"/>
        </w:rPr>
        <w:footnoteReference w:id="2"/>
      </w:r>
      <w:r>
        <w:t xml:space="preserve"> </w:t>
      </w:r>
    </w:p>
    <w:p w14:paraId="6857DD61" w14:textId="6DFBC939" w:rsidR="00F42B2F" w:rsidRPr="00F42B2F" w:rsidRDefault="00F42B2F" w:rsidP="00F42B2F">
      <w:pPr>
        <w:ind w:left="360"/>
        <w:rPr>
          <w:rFonts w:cstheme="minorHAnsi"/>
          <w:szCs w:val="24"/>
        </w:rPr>
      </w:pPr>
      <w:r w:rsidRPr="00F42B2F">
        <w:rPr>
          <w:rFonts w:cstheme="minorHAnsi"/>
          <w:b/>
          <w:bCs/>
          <w:szCs w:val="24"/>
          <w:u w:val="single"/>
        </w:rPr>
        <w:t>Abstract</w:t>
      </w:r>
      <w:r>
        <w:rPr>
          <w:rFonts w:cstheme="minorHAnsi"/>
          <w:szCs w:val="24"/>
        </w:rPr>
        <w:t xml:space="preserve">: </w:t>
      </w:r>
      <w:r w:rsidRPr="00F42B2F">
        <w:rPr>
          <w:rFonts w:cstheme="minorHAnsi"/>
          <w:szCs w:val="24"/>
        </w:rPr>
        <w:t xml:space="preserve">Washington State provides reemployment services to unemployment insurance claimants through the Reemployment Services and Eligibility Assessment (RESEA) program. We aim to measure the net impact of this program on claimants' job search and career outcomes. To do so, we will use a randomized controlled trial, where some claimants are selected to participate in the RESEA </w:t>
      </w:r>
      <w:proofErr w:type="gramStart"/>
      <w:r w:rsidRPr="00F42B2F">
        <w:rPr>
          <w:rFonts w:cstheme="minorHAnsi"/>
          <w:szCs w:val="24"/>
        </w:rPr>
        <w:t>program</w:t>
      </w:r>
      <w:proofErr w:type="gramEnd"/>
      <w:r w:rsidRPr="00F42B2F">
        <w:rPr>
          <w:rFonts w:cstheme="minorHAnsi"/>
          <w:szCs w:val="24"/>
        </w:rPr>
        <w:t xml:space="preserve"> and some are not. We will analyze administrative records to measure average program effects on claim duration, the likelihood of finding </w:t>
      </w:r>
      <w:proofErr w:type="gramStart"/>
      <w:r w:rsidRPr="00F42B2F">
        <w:rPr>
          <w:rFonts w:cstheme="minorHAnsi"/>
          <w:szCs w:val="24"/>
        </w:rPr>
        <w:t>a job, wages and earnings</w:t>
      </w:r>
      <w:proofErr w:type="gramEnd"/>
      <w:r w:rsidRPr="00F42B2F">
        <w:rPr>
          <w:rFonts w:cstheme="minorHAnsi"/>
          <w:szCs w:val="24"/>
        </w:rPr>
        <w:t xml:space="preserve"> once reemployed, and the quality of the employer-employee match. We will use two econometric models to estimate employer-employee match quality, both of which are built on the canonical Abowd, </w:t>
      </w:r>
      <w:proofErr w:type="spellStart"/>
      <w:r w:rsidRPr="00F42B2F">
        <w:rPr>
          <w:rFonts w:cstheme="minorHAnsi"/>
          <w:szCs w:val="24"/>
        </w:rPr>
        <w:t>Kramarz</w:t>
      </w:r>
      <w:proofErr w:type="spellEnd"/>
      <w:r w:rsidRPr="00F42B2F">
        <w:rPr>
          <w:rFonts w:cstheme="minorHAnsi"/>
          <w:szCs w:val="24"/>
        </w:rPr>
        <w:t>, and Margolis (1999) model. We anticipate that we will collect experimental data for at least one year.</w:t>
      </w:r>
      <w:r>
        <w:rPr>
          <w:rFonts w:cstheme="minorHAnsi"/>
          <w:szCs w:val="24"/>
        </w:rPr>
        <w:t xml:space="preserve"> (JEL J22, J24, J48) </w:t>
      </w:r>
    </w:p>
    <w:p w14:paraId="479D7B65" w14:textId="0ACCF803" w:rsidR="00430B72" w:rsidRPr="00F42B2F" w:rsidRDefault="00DC515E" w:rsidP="00F42B2F">
      <w:pPr>
        <w:pStyle w:val="ListParagraph"/>
        <w:numPr>
          <w:ilvl w:val="0"/>
          <w:numId w:val="6"/>
        </w:numPr>
        <w:rPr>
          <w:rFonts w:cstheme="minorHAnsi"/>
          <w:b/>
          <w:bCs/>
          <w:szCs w:val="24"/>
        </w:rPr>
      </w:pPr>
      <w:r w:rsidRPr="00F42B2F">
        <w:rPr>
          <w:rFonts w:cstheme="minorHAnsi"/>
          <w:b/>
          <w:bCs/>
          <w:szCs w:val="24"/>
        </w:rPr>
        <w:t>Introduction</w:t>
      </w:r>
    </w:p>
    <w:p w14:paraId="2DDAE148" w14:textId="1D03317D" w:rsidR="00083189" w:rsidRPr="00CA3D79" w:rsidRDefault="007A2799" w:rsidP="007A2799">
      <w:pPr>
        <w:rPr>
          <w:rFonts w:cstheme="minorHAnsi"/>
          <w:sz w:val="24"/>
          <w:szCs w:val="24"/>
        </w:rPr>
      </w:pPr>
      <w:r w:rsidRPr="00CA3D79">
        <w:rPr>
          <w:rFonts w:cstheme="minorHAnsi"/>
          <w:sz w:val="24"/>
          <w:szCs w:val="24"/>
        </w:rPr>
        <w:t>States can receive federal funding to provide reemployment services to unemployment insurance (UI) claimants through programs called Reemployment Services and Eligibility Assessments (RESEA). These services are targeted to claimants early in their claim, with the goal</w:t>
      </w:r>
      <w:r w:rsidR="00EE3151">
        <w:rPr>
          <w:rFonts w:cstheme="minorHAnsi"/>
          <w:sz w:val="24"/>
          <w:szCs w:val="24"/>
        </w:rPr>
        <w:t>s</w:t>
      </w:r>
      <w:r w:rsidRPr="00CA3D79">
        <w:rPr>
          <w:rFonts w:cstheme="minorHAnsi"/>
          <w:sz w:val="24"/>
          <w:szCs w:val="24"/>
        </w:rPr>
        <w:t xml:space="preserve"> of reducing claim duration and improving job search outcomes. They typical</w:t>
      </w:r>
      <w:r w:rsidR="00306996" w:rsidRPr="00CA3D79">
        <w:rPr>
          <w:rFonts w:cstheme="minorHAnsi"/>
          <w:sz w:val="24"/>
          <w:szCs w:val="24"/>
        </w:rPr>
        <w:t>ly</w:t>
      </w:r>
      <w:r w:rsidRPr="00CA3D79">
        <w:rPr>
          <w:rFonts w:cstheme="minorHAnsi"/>
          <w:sz w:val="24"/>
          <w:szCs w:val="24"/>
        </w:rPr>
        <w:t xml:space="preserve"> consist of two, one-hour-long meetings. In these meetings, </w:t>
      </w:r>
      <w:r w:rsidR="0013183B">
        <w:rPr>
          <w:rFonts w:cstheme="minorHAnsi"/>
          <w:sz w:val="24"/>
          <w:szCs w:val="24"/>
        </w:rPr>
        <w:t>service delivery staff</w:t>
      </w:r>
      <w:r w:rsidR="00A32C6E" w:rsidRPr="00CA3D79">
        <w:rPr>
          <w:rFonts w:cstheme="minorHAnsi"/>
          <w:sz w:val="24"/>
          <w:szCs w:val="24"/>
        </w:rPr>
        <w:t xml:space="preserve"> provide claimants with </w:t>
      </w:r>
      <w:r w:rsidRPr="00CA3D79">
        <w:rPr>
          <w:rFonts w:cstheme="minorHAnsi"/>
          <w:sz w:val="24"/>
          <w:szCs w:val="24"/>
        </w:rPr>
        <w:t>labor market information,</w:t>
      </w:r>
      <w:r w:rsidR="00A32C6E" w:rsidRPr="00CA3D79">
        <w:rPr>
          <w:rFonts w:cstheme="minorHAnsi"/>
          <w:sz w:val="24"/>
          <w:szCs w:val="24"/>
        </w:rPr>
        <w:t xml:space="preserve"> help them draft a</w:t>
      </w:r>
      <w:r w:rsidRPr="00CA3D79">
        <w:rPr>
          <w:rFonts w:cstheme="minorHAnsi"/>
          <w:sz w:val="24"/>
          <w:szCs w:val="24"/>
        </w:rPr>
        <w:t xml:space="preserve"> reemployment plan</w:t>
      </w:r>
      <w:r w:rsidR="00A32C6E" w:rsidRPr="00CA3D79">
        <w:rPr>
          <w:rFonts w:cstheme="minorHAnsi"/>
          <w:sz w:val="24"/>
          <w:szCs w:val="24"/>
        </w:rPr>
        <w:t xml:space="preserve">, provide them with information about additional resources like training and interview preparation, and more. </w:t>
      </w:r>
      <w:r w:rsidRPr="00CA3D79">
        <w:rPr>
          <w:rFonts w:cstheme="minorHAnsi"/>
          <w:sz w:val="24"/>
          <w:szCs w:val="24"/>
        </w:rPr>
        <w:br/>
      </w:r>
      <w:r w:rsidRPr="00CA3D79">
        <w:rPr>
          <w:rFonts w:cstheme="minorHAnsi"/>
          <w:sz w:val="24"/>
          <w:szCs w:val="24"/>
        </w:rPr>
        <w:br/>
        <w:t>E</w:t>
      </w:r>
      <w:r w:rsidR="002803EB" w:rsidRPr="00CA3D79">
        <w:rPr>
          <w:rFonts w:cstheme="minorHAnsi"/>
          <w:sz w:val="24"/>
          <w:szCs w:val="24"/>
        </w:rPr>
        <w:t xml:space="preserve">xisting experimental evidence indicates that </w:t>
      </w:r>
      <w:r w:rsidRPr="00CA3D79">
        <w:rPr>
          <w:rFonts w:cstheme="minorHAnsi"/>
          <w:sz w:val="24"/>
          <w:szCs w:val="24"/>
        </w:rPr>
        <w:t xml:space="preserve">similar programs </w:t>
      </w:r>
      <w:r w:rsidR="002803EB" w:rsidRPr="00CA3D79">
        <w:rPr>
          <w:rFonts w:cstheme="minorHAnsi"/>
          <w:sz w:val="24"/>
          <w:szCs w:val="24"/>
        </w:rPr>
        <w:t>can effectively</w:t>
      </w:r>
      <w:r w:rsidRPr="00CA3D79">
        <w:rPr>
          <w:rFonts w:cstheme="minorHAnsi"/>
          <w:sz w:val="24"/>
          <w:szCs w:val="24"/>
        </w:rPr>
        <w:t xml:space="preserve"> accomplish these goals, but no evidence exists for the RESEA </w:t>
      </w:r>
      <w:proofErr w:type="gramStart"/>
      <w:r w:rsidRPr="00CA3D79">
        <w:rPr>
          <w:rFonts w:cstheme="minorHAnsi"/>
          <w:sz w:val="24"/>
          <w:szCs w:val="24"/>
        </w:rPr>
        <w:t>program in particular</w:t>
      </w:r>
      <w:proofErr w:type="gramEnd"/>
      <w:r w:rsidRPr="00CA3D79">
        <w:rPr>
          <w:rFonts w:cstheme="minorHAnsi"/>
          <w:sz w:val="24"/>
          <w:szCs w:val="24"/>
        </w:rPr>
        <w:t xml:space="preserve">. Notably, there is experimental evidence that the predecessor program of RESEA, called </w:t>
      </w:r>
      <w:r w:rsidR="00F54DC7">
        <w:rPr>
          <w:rFonts w:cstheme="minorHAnsi"/>
          <w:sz w:val="24"/>
          <w:szCs w:val="24"/>
        </w:rPr>
        <w:t xml:space="preserve">the </w:t>
      </w:r>
      <w:r w:rsidRPr="00CA3D79">
        <w:rPr>
          <w:rFonts w:cstheme="minorHAnsi"/>
          <w:sz w:val="24"/>
          <w:szCs w:val="24"/>
        </w:rPr>
        <w:t>Reemployment and Eligibility Assessment program,</w:t>
      </w:r>
      <w:r w:rsidR="002803EB" w:rsidRPr="00CA3D79">
        <w:rPr>
          <w:rFonts w:cstheme="minorHAnsi"/>
          <w:sz w:val="24"/>
          <w:szCs w:val="24"/>
        </w:rPr>
        <w:t xml:space="preserve"> improve</w:t>
      </w:r>
      <w:r w:rsidRPr="00CA3D79">
        <w:rPr>
          <w:rFonts w:cstheme="minorHAnsi"/>
          <w:sz w:val="24"/>
          <w:szCs w:val="24"/>
        </w:rPr>
        <w:t>d</w:t>
      </w:r>
      <w:r w:rsidR="002803EB" w:rsidRPr="00CA3D79">
        <w:rPr>
          <w:rFonts w:cstheme="minorHAnsi"/>
          <w:sz w:val="24"/>
          <w:szCs w:val="24"/>
        </w:rPr>
        <w:t xml:space="preserve"> claimants’ employment outcomes and reduce</w:t>
      </w:r>
      <w:r w:rsidRPr="00CA3D79">
        <w:rPr>
          <w:rFonts w:cstheme="minorHAnsi"/>
          <w:sz w:val="24"/>
          <w:szCs w:val="24"/>
        </w:rPr>
        <w:t>d</w:t>
      </w:r>
      <w:r w:rsidR="002803EB" w:rsidRPr="00CA3D79">
        <w:rPr>
          <w:rFonts w:cstheme="minorHAnsi"/>
          <w:sz w:val="24"/>
          <w:szCs w:val="24"/>
        </w:rPr>
        <w:t xml:space="preserve"> the</w:t>
      </w:r>
      <w:r w:rsidR="00F54DC7">
        <w:rPr>
          <w:rFonts w:cstheme="minorHAnsi"/>
          <w:sz w:val="24"/>
          <w:szCs w:val="24"/>
        </w:rPr>
        <w:t>ir</w:t>
      </w:r>
      <w:r w:rsidR="002803EB" w:rsidRPr="00CA3D79">
        <w:rPr>
          <w:rFonts w:cstheme="minorHAnsi"/>
          <w:sz w:val="24"/>
          <w:szCs w:val="24"/>
        </w:rPr>
        <w:t xml:space="preserve"> claim duration (</w:t>
      </w:r>
      <w:proofErr w:type="spellStart"/>
      <w:r w:rsidR="002803EB" w:rsidRPr="00CA3D79">
        <w:rPr>
          <w:rFonts w:cstheme="minorHAnsi"/>
          <w:sz w:val="24"/>
          <w:szCs w:val="24"/>
        </w:rPr>
        <w:t>Klerman</w:t>
      </w:r>
      <w:proofErr w:type="spellEnd"/>
      <w:r w:rsidR="002803EB" w:rsidRPr="00CA3D79">
        <w:rPr>
          <w:rFonts w:cstheme="minorHAnsi"/>
          <w:sz w:val="24"/>
          <w:szCs w:val="24"/>
        </w:rPr>
        <w:t xml:space="preserve"> et al, 2019)</w:t>
      </w:r>
      <w:r w:rsidRPr="00CA3D79">
        <w:rPr>
          <w:rFonts w:cstheme="minorHAnsi"/>
          <w:sz w:val="24"/>
          <w:szCs w:val="24"/>
        </w:rPr>
        <w:t xml:space="preserve">. </w:t>
      </w:r>
      <w:r w:rsidR="00B866A8" w:rsidRPr="00CA3D79">
        <w:rPr>
          <w:rFonts w:cstheme="minorHAnsi"/>
          <w:sz w:val="24"/>
          <w:szCs w:val="24"/>
        </w:rPr>
        <w:t xml:space="preserve"> </w:t>
      </w:r>
    </w:p>
    <w:p w14:paraId="74AC34C9" w14:textId="6BFB22C2" w:rsidR="00F46AE8" w:rsidRPr="00CA3D79" w:rsidRDefault="008D2A10">
      <w:pPr>
        <w:rPr>
          <w:rFonts w:cstheme="minorHAnsi"/>
          <w:sz w:val="24"/>
          <w:szCs w:val="24"/>
        </w:rPr>
      </w:pPr>
      <w:r w:rsidRPr="00CA3D79">
        <w:rPr>
          <w:rFonts w:cstheme="minorHAnsi"/>
          <w:sz w:val="24"/>
          <w:szCs w:val="24"/>
        </w:rPr>
        <w:t xml:space="preserve">This study </w:t>
      </w:r>
      <w:r w:rsidR="00D7560C" w:rsidRPr="00CA3D79">
        <w:rPr>
          <w:rFonts w:cstheme="minorHAnsi"/>
          <w:sz w:val="24"/>
          <w:szCs w:val="24"/>
        </w:rPr>
        <w:t>will evaluate</w:t>
      </w:r>
      <w:r w:rsidR="00B866A8" w:rsidRPr="00CA3D79">
        <w:rPr>
          <w:rFonts w:cstheme="minorHAnsi"/>
          <w:sz w:val="24"/>
          <w:szCs w:val="24"/>
        </w:rPr>
        <w:t xml:space="preserve"> the</w:t>
      </w:r>
      <w:r w:rsidR="00EE3151">
        <w:rPr>
          <w:rFonts w:cstheme="minorHAnsi"/>
          <w:sz w:val="24"/>
          <w:szCs w:val="24"/>
        </w:rPr>
        <w:t xml:space="preserve"> RESEA program’s</w:t>
      </w:r>
      <w:r w:rsidR="00B866A8" w:rsidRPr="00CA3D79">
        <w:rPr>
          <w:rFonts w:cstheme="minorHAnsi"/>
          <w:sz w:val="24"/>
          <w:szCs w:val="24"/>
        </w:rPr>
        <w:t xml:space="preserve"> overall impact </w:t>
      </w:r>
      <w:r w:rsidR="00642EB6" w:rsidRPr="00CA3D79">
        <w:rPr>
          <w:rFonts w:cstheme="minorHAnsi"/>
          <w:sz w:val="24"/>
          <w:szCs w:val="24"/>
        </w:rPr>
        <w:t>in Washington</w:t>
      </w:r>
      <w:r w:rsidR="007A2799" w:rsidRPr="00CA3D79">
        <w:rPr>
          <w:rFonts w:cstheme="minorHAnsi"/>
          <w:sz w:val="24"/>
          <w:szCs w:val="24"/>
        </w:rPr>
        <w:t xml:space="preserve"> state</w:t>
      </w:r>
      <w:r w:rsidR="00B866A8" w:rsidRPr="00CA3D79">
        <w:rPr>
          <w:rFonts w:cstheme="minorHAnsi"/>
          <w:sz w:val="24"/>
          <w:szCs w:val="24"/>
        </w:rPr>
        <w:t>.</w:t>
      </w:r>
      <w:r w:rsidR="00642EB6" w:rsidRPr="00CA3D79">
        <w:rPr>
          <w:rFonts w:cstheme="minorHAnsi"/>
          <w:sz w:val="24"/>
          <w:szCs w:val="24"/>
        </w:rPr>
        <w:t xml:space="preserve"> </w:t>
      </w:r>
      <w:r w:rsidR="00A32C6E" w:rsidRPr="00CA3D79">
        <w:rPr>
          <w:rFonts w:cstheme="minorHAnsi"/>
          <w:sz w:val="24"/>
          <w:szCs w:val="24"/>
        </w:rPr>
        <w:t>The primary outcomes of interest will be claim duration, employment,</w:t>
      </w:r>
      <w:r w:rsidR="00F54DC7">
        <w:rPr>
          <w:rFonts w:cstheme="minorHAnsi"/>
          <w:sz w:val="24"/>
          <w:szCs w:val="24"/>
        </w:rPr>
        <w:t xml:space="preserve"> and</w:t>
      </w:r>
      <w:r w:rsidR="00A32C6E" w:rsidRPr="00CA3D79">
        <w:rPr>
          <w:rFonts w:cstheme="minorHAnsi"/>
          <w:sz w:val="24"/>
          <w:szCs w:val="24"/>
        </w:rPr>
        <w:t xml:space="preserve"> earnings. </w:t>
      </w:r>
      <w:r w:rsidR="00F54DC7">
        <w:rPr>
          <w:rFonts w:cstheme="minorHAnsi"/>
          <w:sz w:val="24"/>
          <w:szCs w:val="24"/>
        </w:rPr>
        <w:t xml:space="preserve">A </w:t>
      </w:r>
      <w:r w:rsidR="0013183B">
        <w:rPr>
          <w:rFonts w:cstheme="minorHAnsi"/>
          <w:sz w:val="24"/>
          <w:szCs w:val="24"/>
        </w:rPr>
        <w:t xml:space="preserve">secondary outcome of interest is the quality of the match between the employer and the employee. </w:t>
      </w:r>
      <w:r w:rsidR="0013183B" w:rsidRPr="00CA3D79">
        <w:rPr>
          <w:rFonts w:cstheme="minorHAnsi"/>
          <w:sz w:val="24"/>
          <w:szCs w:val="24"/>
        </w:rPr>
        <w:t>We will measure match quality using the fixed effects estimator derived in Woodcock (2015)</w:t>
      </w:r>
      <w:r w:rsidR="0013183B">
        <w:rPr>
          <w:rFonts w:cstheme="minorHAnsi"/>
          <w:sz w:val="24"/>
          <w:szCs w:val="24"/>
        </w:rPr>
        <w:t xml:space="preserve">, as well as the rank similarity approach developed by Farooq, Kugler, and </w:t>
      </w:r>
      <w:proofErr w:type="spellStart"/>
      <w:r w:rsidR="0013183B">
        <w:rPr>
          <w:rFonts w:cstheme="minorHAnsi"/>
          <w:sz w:val="24"/>
          <w:szCs w:val="24"/>
        </w:rPr>
        <w:t>Muratori</w:t>
      </w:r>
      <w:proofErr w:type="spellEnd"/>
      <w:r w:rsidR="0013183B">
        <w:rPr>
          <w:rFonts w:cstheme="minorHAnsi"/>
          <w:sz w:val="24"/>
          <w:szCs w:val="24"/>
        </w:rPr>
        <w:t xml:space="preserve"> (202</w:t>
      </w:r>
      <w:r w:rsidR="00F54DC7">
        <w:rPr>
          <w:rFonts w:cstheme="minorHAnsi"/>
          <w:sz w:val="24"/>
          <w:szCs w:val="24"/>
        </w:rPr>
        <w:t>0</w:t>
      </w:r>
      <w:r w:rsidR="0013183B">
        <w:rPr>
          <w:rFonts w:cstheme="minorHAnsi"/>
          <w:sz w:val="24"/>
          <w:szCs w:val="24"/>
        </w:rPr>
        <w:t>)</w:t>
      </w:r>
      <w:r w:rsidR="0013183B" w:rsidRPr="00CA3D79">
        <w:rPr>
          <w:rFonts w:cstheme="minorHAnsi"/>
          <w:sz w:val="24"/>
          <w:szCs w:val="24"/>
        </w:rPr>
        <w:t>.</w:t>
      </w:r>
      <w:r w:rsidR="00215D22">
        <w:rPr>
          <w:rFonts w:cstheme="minorHAnsi"/>
          <w:sz w:val="24"/>
          <w:szCs w:val="24"/>
        </w:rPr>
        <w:br/>
      </w:r>
      <w:r w:rsidR="00215D22">
        <w:rPr>
          <w:rFonts w:cstheme="minorHAnsi"/>
          <w:sz w:val="24"/>
          <w:szCs w:val="24"/>
        </w:rPr>
        <w:br/>
      </w:r>
    </w:p>
    <w:p w14:paraId="6D2724A2" w14:textId="3B2408D3" w:rsidR="00D7560C" w:rsidRPr="00083B0C" w:rsidRDefault="00DC515E" w:rsidP="00083B0C">
      <w:pPr>
        <w:pStyle w:val="ListParagraph"/>
        <w:numPr>
          <w:ilvl w:val="0"/>
          <w:numId w:val="6"/>
        </w:numPr>
        <w:rPr>
          <w:rFonts w:cstheme="minorHAnsi"/>
          <w:b/>
          <w:bCs/>
          <w:szCs w:val="24"/>
        </w:rPr>
      </w:pPr>
      <w:r w:rsidRPr="00083B0C">
        <w:rPr>
          <w:rFonts w:cstheme="minorHAnsi"/>
          <w:b/>
          <w:bCs/>
          <w:szCs w:val="24"/>
        </w:rPr>
        <w:lastRenderedPageBreak/>
        <w:t>Experimental Design</w:t>
      </w:r>
    </w:p>
    <w:p w14:paraId="13651ADC" w14:textId="597064C2" w:rsidR="004D2BCC" w:rsidRPr="00CA3D79" w:rsidRDefault="004D2BCC" w:rsidP="00F15182">
      <w:pPr>
        <w:spacing w:after="120" w:line="240" w:lineRule="auto"/>
        <w:rPr>
          <w:rFonts w:cstheme="minorHAnsi"/>
          <w:sz w:val="24"/>
          <w:szCs w:val="24"/>
        </w:rPr>
      </w:pPr>
      <w:r w:rsidRPr="00CA3D79">
        <w:rPr>
          <w:rFonts w:cstheme="minorHAnsi"/>
          <w:sz w:val="24"/>
          <w:szCs w:val="24"/>
        </w:rPr>
        <w:t xml:space="preserve">Claimants will be randomized into a treatment group (receive standard services) or a control group (receives no services). </w:t>
      </w:r>
      <w:r w:rsidR="00D707AF" w:rsidRPr="00CA3D79">
        <w:rPr>
          <w:rFonts w:cstheme="minorHAnsi"/>
          <w:sz w:val="24"/>
          <w:szCs w:val="24"/>
        </w:rPr>
        <w:t>Currently</w:t>
      </w:r>
      <w:r w:rsidRPr="00CA3D79">
        <w:rPr>
          <w:rFonts w:cstheme="minorHAnsi"/>
          <w:sz w:val="24"/>
          <w:szCs w:val="24"/>
        </w:rPr>
        <w:t>,</w:t>
      </w:r>
      <w:r w:rsidR="00D707AF" w:rsidRPr="00CA3D79">
        <w:rPr>
          <w:rFonts w:cstheme="minorHAnsi"/>
          <w:sz w:val="24"/>
          <w:szCs w:val="24"/>
        </w:rPr>
        <w:t xml:space="preserve"> RESEA-eligible</w:t>
      </w:r>
      <w:r w:rsidRPr="00CA3D79">
        <w:rPr>
          <w:rFonts w:cstheme="minorHAnsi"/>
          <w:sz w:val="24"/>
          <w:szCs w:val="24"/>
        </w:rPr>
        <w:t xml:space="preserve"> claimants are chosen to receive services if t</w:t>
      </w:r>
      <w:r w:rsidR="002C0EF2" w:rsidRPr="00CA3D79">
        <w:rPr>
          <w:rFonts w:cstheme="minorHAnsi"/>
          <w:sz w:val="24"/>
          <w:szCs w:val="24"/>
        </w:rPr>
        <w:t xml:space="preserve">hree </w:t>
      </w:r>
      <w:r w:rsidRPr="00CA3D79">
        <w:rPr>
          <w:rFonts w:cstheme="minorHAnsi"/>
          <w:sz w:val="24"/>
          <w:szCs w:val="24"/>
        </w:rPr>
        <w:t xml:space="preserve">conditions are met: </w:t>
      </w:r>
    </w:p>
    <w:p w14:paraId="0367B3FC" w14:textId="4A9C3120" w:rsidR="00F15182" w:rsidRPr="00CA3D79" w:rsidRDefault="004D2BCC" w:rsidP="004D2BCC">
      <w:pPr>
        <w:pStyle w:val="ListParagraph"/>
        <w:numPr>
          <w:ilvl w:val="0"/>
          <w:numId w:val="3"/>
        </w:numPr>
        <w:spacing w:after="120" w:line="240" w:lineRule="auto"/>
        <w:rPr>
          <w:rFonts w:asciiTheme="minorHAnsi" w:hAnsiTheme="minorHAnsi" w:cstheme="minorHAnsi"/>
          <w:szCs w:val="24"/>
        </w:rPr>
      </w:pPr>
      <w:r w:rsidRPr="00CA3D79">
        <w:rPr>
          <w:rFonts w:asciiTheme="minorHAnsi" w:hAnsiTheme="minorHAnsi" w:cstheme="minorHAnsi"/>
          <w:szCs w:val="24"/>
        </w:rPr>
        <w:t>One or more service providers ha</w:t>
      </w:r>
      <w:r w:rsidR="00215D22">
        <w:rPr>
          <w:rFonts w:asciiTheme="minorHAnsi" w:hAnsiTheme="minorHAnsi" w:cstheme="minorHAnsi"/>
          <w:szCs w:val="24"/>
        </w:rPr>
        <w:t>s</w:t>
      </w:r>
      <w:r w:rsidRPr="00CA3D79">
        <w:rPr>
          <w:rFonts w:asciiTheme="minorHAnsi" w:hAnsiTheme="minorHAnsi" w:cstheme="minorHAnsi"/>
          <w:szCs w:val="24"/>
        </w:rPr>
        <w:t xml:space="preserve"> availability</w:t>
      </w:r>
      <w:r w:rsidR="002C0EF2" w:rsidRPr="00CA3D79">
        <w:rPr>
          <w:rFonts w:asciiTheme="minorHAnsi" w:hAnsiTheme="minorHAnsi" w:cstheme="minorHAnsi"/>
          <w:szCs w:val="24"/>
        </w:rPr>
        <w:t>.</w:t>
      </w:r>
    </w:p>
    <w:p w14:paraId="6AAE11DB" w14:textId="2DBFFEB6" w:rsidR="002C0EF2" w:rsidRPr="00CA3D79" w:rsidRDefault="004D2BCC" w:rsidP="004D2BCC">
      <w:pPr>
        <w:pStyle w:val="ListParagraph"/>
        <w:numPr>
          <w:ilvl w:val="0"/>
          <w:numId w:val="3"/>
        </w:numPr>
        <w:spacing w:after="120" w:line="240" w:lineRule="auto"/>
        <w:rPr>
          <w:rFonts w:asciiTheme="minorHAnsi" w:hAnsiTheme="minorHAnsi" w:cstheme="minorHAnsi"/>
          <w:szCs w:val="24"/>
        </w:rPr>
      </w:pPr>
      <w:r w:rsidRPr="00CA3D79">
        <w:rPr>
          <w:rFonts w:asciiTheme="minorHAnsi" w:hAnsiTheme="minorHAnsi" w:cstheme="minorHAnsi"/>
          <w:szCs w:val="24"/>
        </w:rPr>
        <w:t>The claimant must be ranked ahead of their peers in their profiling score, which measures the likelihood that a claimant exhausts their benefits using a simple logistic regression model</w:t>
      </w:r>
      <w:r w:rsidR="002C0EF2" w:rsidRPr="00CA3D79">
        <w:rPr>
          <w:rFonts w:asciiTheme="minorHAnsi" w:hAnsiTheme="minorHAnsi" w:cstheme="minorHAnsi"/>
          <w:szCs w:val="24"/>
        </w:rPr>
        <w:t xml:space="preserve">. This is referred to as having a high spot in the RESEA queue. </w:t>
      </w:r>
    </w:p>
    <w:p w14:paraId="2DA7EAD2" w14:textId="62E00D1E" w:rsidR="004D2BCC" w:rsidRPr="00CA3D79" w:rsidRDefault="002C0EF2" w:rsidP="004D2BCC">
      <w:pPr>
        <w:pStyle w:val="ListParagraph"/>
        <w:numPr>
          <w:ilvl w:val="0"/>
          <w:numId w:val="3"/>
        </w:numPr>
        <w:spacing w:after="120" w:line="240" w:lineRule="auto"/>
        <w:rPr>
          <w:rFonts w:asciiTheme="minorHAnsi" w:hAnsiTheme="minorHAnsi" w:cstheme="minorHAnsi"/>
          <w:szCs w:val="24"/>
        </w:rPr>
      </w:pPr>
      <w:r w:rsidRPr="00CA3D79">
        <w:rPr>
          <w:rFonts w:asciiTheme="minorHAnsi" w:hAnsiTheme="minorHAnsi" w:cstheme="minorHAnsi"/>
          <w:szCs w:val="24"/>
        </w:rPr>
        <w:t>The claimant</w:t>
      </w:r>
      <w:r w:rsidR="00D707AF" w:rsidRPr="00CA3D79">
        <w:rPr>
          <w:rFonts w:asciiTheme="minorHAnsi" w:hAnsiTheme="minorHAnsi" w:cstheme="minorHAnsi"/>
          <w:szCs w:val="24"/>
        </w:rPr>
        <w:t xml:space="preserve"> </w:t>
      </w:r>
      <w:r w:rsidRPr="00CA3D79">
        <w:rPr>
          <w:rFonts w:asciiTheme="minorHAnsi" w:hAnsiTheme="minorHAnsi" w:cstheme="minorHAnsi"/>
          <w:szCs w:val="24"/>
        </w:rPr>
        <w:t xml:space="preserve">has been in the RESEA queue for five </w:t>
      </w:r>
      <w:r w:rsidR="00587F3F">
        <w:rPr>
          <w:rFonts w:asciiTheme="minorHAnsi" w:hAnsiTheme="minorHAnsi" w:cstheme="minorHAnsi"/>
          <w:szCs w:val="24"/>
        </w:rPr>
        <w:t xml:space="preserve">or fewer </w:t>
      </w:r>
      <w:r w:rsidRPr="00CA3D79">
        <w:rPr>
          <w:rFonts w:asciiTheme="minorHAnsi" w:hAnsiTheme="minorHAnsi" w:cstheme="minorHAnsi"/>
          <w:szCs w:val="24"/>
        </w:rPr>
        <w:t>weeks.</w:t>
      </w:r>
    </w:p>
    <w:p w14:paraId="3D3E86B1" w14:textId="241BC673" w:rsidR="002C0EF2" w:rsidRPr="00CA3D79" w:rsidRDefault="002C0EF2" w:rsidP="00474999">
      <w:pPr>
        <w:tabs>
          <w:tab w:val="left" w:pos="3150"/>
        </w:tabs>
        <w:spacing w:after="120" w:line="240" w:lineRule="auto"/>
        <w:rPr>
          <w:rFonts w:cstheme="minorHAnsi"/>
          <w:sz w:val="24"/>
          <w:szCs w:val="24"/>
        </w:rPr>
      </w:pPr>
      <w:r w:rsidRPr="00CA3D79">
        <w:rPr>
          <w:rFonts w:cstheme="minorHAnsi"/>
          <w:sz w:val="24"/>
          <w:szCs w:val="24"/>
        </w:rPr>
        <w:t xml:space="preserve">Instead of a profiling score, during the experiment, a random score will be used to prioritize claimants. As such, after five weeks, if a claimant has not been selected for RESEA, they will drop from consideration and be added to the control group. Whether they are selected or not, then, will not depend on the individuals’ characteristics. </w:t>
      </w:r>
    </w:p>
    <w:p w14:paraId="00721682" w14:textId="405B292F" w:rsidR="00A835B6" w:rsidRPr="00CA3D79" w:rsidRDefault="00121E17" w:rsidP="00474999">
      <w:pPr>
        <w:tabs>
          <w:tab w:val="left" w:pos="3150"/>
        </w:tabs>
        <w:spacing w:after="120" w:line="240" w:lineRule="auto"/>
        <w:rPr>
          <w:rFonts w:cstheme="minorHAnsi"/>
          <w:sz w:val="24"/>
          <w:szCs w:val="24"/>
        </w:rPr>
      </w:pPr>
      <w:r w:rsidRPr="00CA3D79">
        <w:rPr>
          <w:rFonts w:cstheme="minorHAnsi"/>
          <w:sz w:val="24"/>
          <w:szCs w:val="24"/>
        </w:rPr>
        <w:t>The number of eligible UI claimants is expected to vary within local employment offices by week</w:t>
      </w:r>
      <w:r w:rsidR="0087183C">
        <w:rPr>
          <w:rFonts w:cstheme="minorHAnsi"/>
          <w:sz w:val="24"/>
          <w:szCs w:val="24"/>
        </w:rPr>
        <w:t>, as well as by preferred language</w:t>
      </w:r>
      <w:r w:rsidR="00EE4A7A" w:rsidRPr="00CA3D79">
        <w:rPr>
          <w:rFonts w:cstheme="minorHAnsi"/>
          <w:sz w:val="24"/>
          <w:szCs w:val="24"/>
        </w:rPr>
        <w:t>. For example, smaller offices</w:t>
      </w:r>
      <w:r w:rsidR="00B2549F" w:rsidRPr="00CA3D79">
        <w:rPr>
          <w:rFonts w:cstheme="minorHAnsi"/>
          <w:sz w:val="24"/>
          <w:szCs w:val="24"/>
        </w:rPr>
        <w:t>, typically located in less populated areas,</w:t>
      </w:r>
      <w:r w:rsidR="00EE4A7A" w:rsidRPr="00CA3D79">
        <w:rPr>
          <w:rFonts w:cstheme="minorHAnsi"/>
          <w:sz w:val="24"/>
          <w:szCs w:val="24"/>
        </w:rPr>
        <w:t xml:space="preserve"> may see </w:t>
      </w:r>
      <w:r w:rsidR="00336FA8" w:rsidRPr="00CA3D79">
        <w:rPr>
          <w:rFonts w:cstheme="minorHAnsi"/>
          <w:sz w:val="24"/>
          <w:szCs w:val="24"/>
        </w:rPr>
        <w:t xml:space="preserve">a small number of UI claimants during certain periods and a large number </w:t>
      </w:r>
      <w:r w:rsidR="00517901">
        <w:rPr>
          <w:rFonts w:cstheme="minorHAnsi"/>
          <w:sz w:val="24"/>
          <w:szCs w:val="24"/>
        </w:rPr>
        <w:t>at other times</w:t>
      </w:r>
      <w:r w:rsidR="00336FA8" w:rsidRPr="00CA3D79">
        <w:rPr>
          <w:rFonts w:cstheme="minorHAnsi"/>
          <w:sz w:val="24"/>
          <w:szCs w:val="24"/>
        </w:rPr>
        <w:t xml:space="preserve">. </w:t>
      </w:r>
      <w:r w:rsidR="003D6D11" w:rsidRPr="00CA3D79">
        <w:rPr>
          <w:rFonts w:cstheme="minorHAnsi"/>
          <w:sz w:val="24"/>
          <w:szCs w:val="24"/>
        </w:rPr>
        <w:t>We will account for this using inverse probability weighting.</w:t>
      </w:r>
      <w:r w:rsidR="00D707AF" w:rsidRPr="00CA3D79">
        <w:rPr>
          <w:rFonts w:cstheme="minorHAnsi"/>
          <w:sz w:val="24"/>
          <w:szCs w:val="24"/>
        </w:rPr>
        <w:t xml:space="preserve"> </w:t>
      </w:r>
    </w:p>
    <w:p w14:paraId="7298C4C9" w14:textId="05855C31" w:rsidR="0046083C" w:rsidRPr="00CA3D79" w:rsidRDefault="003D6D11" w:rsidP="00F15182">
      <w:pPr>
        <w:spacing w:line="240" w:lineRule="auto"/>
        <w:rPr>
          <w:rFonts w:cstheme="minorHAnsi"/>
          <w:sz w:val="24"/>
          <w:szCs w:val="24"/>
        </w:rPr>
      </w:pPr>
      <w:r w:rsidRPr="00CA3D79">
        <w:rPr>
          <w:rFonts w:cstheme="minorHAnsi"/>
          <w:sz w:val="24"/>
          <w:szCs w:val="24"/>
        </w:rPr>
        <w:t xml:space="preserve">We anticipate that we will be able to detect an effect </w:t>
      </w:r>
      <w:r w:rsidR="00F9394E" w:rsidRPr="00CA3D79">
        <w:rPr>
          <w:rFonts w:cstheme="minorHAnsi"/>
          <w:sz w:val="24"/>
          <w:szCs w:val="24"/>
        </w:rPr>
        <w:t>(</w:t>
      </w:r>
      <w:r w:rsidR="00452F98" w:rsidRPr="00CA3D79">
        <w:rPr>
          <w:rFonts w:cstheme="minorHAnsi"/>
          <w:sz w:val="24"/>
          <w:szCs w:val="24"/>
        </w:rPr>
        <w:t>probability of Type I error</w:t>
      </w:r>
      <w:r w:rsidRPr="00CA3D79">
        <w:rPr>
          <w:rFonts w:cstheme="minorHAnsi"/>
          <w:sz w:val="24"/>
          <w:szCs w:val="24"/>
        </w:rPr>
        <w:t xml:space="preserve"> </w:t>
      </w:r>
      <w:r w:rsidR="00452F98" w:rsidRPr="00CA3D79">
        <w:rPr>
          <w:rFonts w:cstheme="minorHAnsi"/>
          <w:sz w:val="24"/>
          <w:szCs w:val="24"/>
        </w:rPr>
        <w:t>=</w:t>
      </w:r>
      <w:r w:rsidRPr="00CA3D79">
        <w:rPr>
          <w:rFonts w:cstheme="minorHAnsi"/>
          <w:sz w:val="24"/>
          <w:szCs w:val="24"/>
        </w:rPr>
        <w:t xml:space="preserve"> </w:t>
      </w:r>
      <w:r w:rsidR="00452F98" w:rsidRPr="00CA3D79">
        <w:rPr>
          <w:rFonts w:cstheme="minorHAnsi"/>
          <w:sz w:val="24"/>
          <w:szCs w:val="24"/>
        </w:rPr>
        <w:t>0.05</w:t>
      </w:r>
      <w:r w:rsidR="001E6A52" w:rsidRPr="00CA3D79">
        <w:rPr>
          <w:rFonts w:cstheme="minorHAnsi"/>
          <w:sz w:val="24"/>
          <w:szCs w:val="24"/>
        </w:rPr>
        <w:t>, power</w:t>
      </w:r>
      <w:r w:rsidRPr="00CA3D79">
        <w:rPr>
          <w:rFonts w:cstheme="minorHAnsi"/>
          <w:sz w:val="24"/>
          <w:szCs w:val="24"/>
        </w:rPr>
        <w:t xml:space="preserve"> </w:t>
      </w:r>
      <w:r w:rsidR="001E6A52" w:rsidRPr="00CA3D79">
        <w:rPr>
          <w:rFonts w:cstheme="minorHAnsi"/>
          <w:sz w:val="24"/>
          <w:szCs w:val="24"/>
        </w:rPr>
        <w:t>=</w:t>
      </w:r>
      <w:r w:rsidRPr="00CA3D79">
        <w:rPr>
          <w:rFonts w:cstheme="minorHAnsi"/>
          <w:sz w:val="24"/>
          <w:szCs w:val="24"/>
        </w:rPr>
        <w:t xml:space="preserve"> </w:t>
      </w:r>
      <w:r w:rsidR="001E6A52" w:rsidRPr="00CA3D79">
        <w:rPr>
          <w:rFonts w:cstheme="minorHAnsi"/>
          <w:sz w:val="24"/>
          <w:szCs w:val="24"/>
        </w:rPr>
        <w:t>0.8</w:t>
      </w:r>
      <w:r w:rsidR="00A03D14" w:rsidRPr="00CA3D79">
        <w:rPr>
          <w:rFonts w:cstheme="minorHAnsi"/>
          <w:sz w:val="24"/>
          <w:szCs w:val="24"/>
        </w:rPr>
        <w:t>)</w:t>
      </w:r>
      <w:r w:rsidRPr="00CA3D79">
        <w:rPr>
          <w:rFonts w:cstheme="minorHAnsi"/>
          <w:sz w:val="24"/>
          <w:szCs w:val="24"/>
        </w:rPr>
        <w:t xml:space="preserve"> if we have at least 1</w:t>
      </w:r>
      <w:r w:rsidR="00D707AF" w:rsidRPr="00CA3D79">
        <w:rPr>
          <w:rFonts w:cstheme="minorHAnsi"/>
          <w:sz w:val="24"/>
          <w:szCs w:val="24"/>
        </w:rPr>
        <w:t>1</w:t>
      </w:r>
      <w:r w:rsidRPr="00CA3D79">
        <w:rPr>
          <w:rFonts w:cstheme="minorHAnsi"/>
          <w:sz w:val="24"/>
          <w:szCs w:val="24"/>
        </w:rPr>
        <w:t>,000 treatment group and 1</w:t>
      </w:r>
      <w:r w:rsidR="00D707AF" w:rsidRPr="00CA3D79">
        <w:rPr>
          <w:rFonts w:cstheme="minorHAnsi"/>
          <w:sz w:val="24"/>
          <w:szCs w:val="24"/>
        </w:rPr>
        <w:t>1</w:t>
      </w:r>
      <w:r w:rsidRPr="00CA3D79">
        <w:rPr>
          <w:rFonts w:cstheme="minorHAnsi"/>
          <w:sz w:val="24"/>
          <w:szCs w:val="24"/>
        </w:rPr>
        <w:t xml:space="preserve">,000 control group participants. </w:t>
      </w:r>
      <w:r w:rsidR="00EA0CB1" w:rsidRPr="00CA3D79">
        <w:rPr>
          <w:rFonts w:cstheme="minorHAnsi"/>
          <w:sz w:val="24"/>
          <w:szCs w:val="24"/>
        </w:rPr>
        <w:t xml:space="preserve">Roughly </w:t>
      </w:r>
      <w:r w:rsidR="0046083C" w:rsidRPr="00CA3D79">
        <w:rPr>
          <w:rFonts w:cstheme="minorHAnsi"/>
          <w:sz w:val="24"/>
          <w:szCs w:val="24"/>
        </w:rPr>
        <w:t xml:space="preserve">35,000 </w:t>
      </w:r>
      <w:r w:rsidR="00664D74" w:rsidRPr="00CA3D79">
        <w:rPr>
          <w:rFonts w:cstheme="minorHAnsi"/>
          <w:sz w:val="24"/>
          <w:szCs w:val="24"/>
        </w:rPr>
        <w:t>UI claimants are served</w:t>
      </w:r>
      <w:r w:rsidR="001B2055" w:rsidRPr="00CA3D79">
        <w:rPr>
          <w:rFonts w:cstheme="minorHAnsi"/>
          <w:sz w:val="24"/>
          <w:szCs w:val="24"/>
        </w:rPr>
        <w:t xml:space="preserve"> </w:t>
      </w:r>
      <w:r w:rsidR="0046083C" w:rsidRPr="00CA3D79">
        <w:rPr>
          <w:rFonts w:cstheme="minorHAnsi"/>
          <w:sz w:val="24"/>
          <w:szCs w:val="24"/>
        </w:rPr>
        <w:t xml:space="preserve">annually in Washington state. About 600 people naturally drop from the queue per week in normal years (based on data from July 2019 through December 2019). This amount was much higher during the pandemic, when services were paused then ramped up slowly again. </w:t>
      </w:r>
      <w:r w:rsidR="00D97779">
        <w:rPr>
          <w:rFonts w:cstheme="minorHAnsi"/>
          <w:sz w:val="24"/>
          <w:szCs w:val="24"/>
        </w:rPr>
        <w:t>W</w:t>
      </w:r>
      <w:r w:rsidR="0046083C" w:rsidRPr="00CA3D79">
        <w:rPr>
          <w:rFonts w:cstheme="minorHAnsi"/>
          <w:sz w:val="24"/>
          <w:szCs w:val="24"/>
        </w:rPr>
        <w:t xml:space="preserve">e anticipate running the experiment for </w:t>
      </w:r>
      <w:r w:rsidR="00C371FB">
        <w:rPr>
          <w:rFonts w:cstheme="minorHAnsi"/>
          <w:sz w:val="24"/>
          <w:szCs w:val="24"/>
        </w:rPr>
        <w:t xml:space="preserve">at least </w:t>
      </w:r>
      <w:r w:rsidR="0046083C" w:rsidRPr="00CA3D79">
        <w:rPr>
          <w:rFonts w:cstheme="minorHAnsi"/>
          <w:sz w:val="24"/>
          <w:szCs w:val="24"/>
        </w:rPr>
        <w:t xml:space="preserve">one year. </w:t>
      </w:r>
    </w:p>
    <w:p w14:paraId="45E85A62" w14:textId="51AF5184" w:rsidR="00B638FF" w:rsidRPr="00083B0C" w:rsidRDefault="00B638FF" w:rsidP="00083B0C">
      <w:pPr>
        <w:pStyle w:val="ListParagraph"/>
        <w:numPr>
          <w:ilvl w:val="0"/>
          <w:numId w:val="6"/>
        </w:numPr>
        <w:rPr>
          <w:rFonts w:cstheme="minorHAnsi"/>
          <w:b/>
          <w:bCs/>
          <w:szCs w:val="24"/>
        </w:rPr>
      </w:pPr>
      <w:r w:rsidRPr="00083B0C">
        <w:rPr>
          <w:rFonts w:cstheme="minorHAnsi"/>
          <w:b/>
          <w:bCs/>
          <w:szCs w:val="24"/>
        </w:rPr>
        <w:t>Outcomes</w:t>
      </w:r>
    </w:p>
    <w:p w14:paraId="38949C24" w14:textId="40B92E33" w:rsidR="00207330" w:rsidRPr="00CA3D79" w:rsidRDefault="00207330" w:rsidP="00207330">
      <w:pPr>
        <w:rPr>
          <w:rFonts w:cstheme="minorHAnsi"/>
          <w:sz w:val="24"/>
          <w:szCs w:val="24"/>
        </w:rPr>
      </w:pPr>
      <w:r w:rsidRPr="00CA3D79">
        <w:rPr>
          <w:rFonts w:cstheme="minorHAnsi"/>
          <w:sz w:val="24"/>
          <w:szCs w:val="24"/>
        </w:rPr>
        <w:t>We aim to study</w:t>
      </w:r>
      <w:r w:rsidR="00AC4F87" w:rsidRPr="00CA3D79">
        <w:rPr>
          <w:rFonts w:cstheme="minorHAnsi"/>
          <w:sz w:val="24"/>
          <w:szCs w:val="24"/>
        </w:rPr>
        <w:t xml:space="preserve"> outcomes that include</w:t>
      </w:r>
      <w:r w:rsidRPr="00CA3D79">
        <w:rPr>
          <w:rFonts w:cstheme="minorHAnsi"/>
          <w:sz w:val="24"/>
          <w:szCs w:val="24"/>
        </w:rPr>
        <w:t>:</w:t>
      </w:r>
    </w:p>
    <w:p w14:paraId="2D468CB6" w14:textId="0891F75C" w:rsidR="00207330"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 xml:space="preserve">Primary outcome: </w:t>
      </w:r>
      <w:r w:rsidR="00207330" w:rsidRPr="00CA3D79">
        <w:rPr>
          <w:rFonts w:asciiTheme="minorHAnsi" w:hAnsiTheme="minorHAnsi" w:cstheme="minorHAnsi"/>
          <w:szCs w:val="24"/>
        </w:rPr>
        <w:t>UI claim duration</w:t>
      </w:r>
      <w:r w:rsidR="00B32684">
        <w:rPr>
          <w:rFonts w:asciiTheme="minorHAnsi" w:hAnsiTheme="minorHAnsi" w:cstheme="minorHAnsi"/>
          <w:szCs w:val="24"/>
        </w:rPr>
        <w:t>. The Employment Security Department (ESD) administers UI benefits and keeps records on claim history.</w:t>
      </w:r>
      <w:r w:rsidR="00207330" w:rsidRPr="00CA3D79">
        <w:rPr>
          <w:rFonts w:asciiTheme="minorHAnsi" w:hAnsiTheme="minorHAnsi" w:cstheme="minorHAnsi"/>
          <w:szCs w:val="24"/>
        </w:rPr>
        <w:t xml:space="preserve"> </w:t>
      </w:r>
    </w:p>
    <w:p w14:paraId="7CCF3B56" w14:textId="73C82D9E" w:rsidR="00B638FF"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 xml:space="preserve">Primary outcome: </w:t>
      </w:r>
      <w:r w:rsidR="00207330" w:rsidRPr="00CA3D79">
        <w:rPr>
          <w:rFonts w:asciiTheme="minorHAnsi" w:hAnsiTheme="minorHAnsi" w:cstheme="minorHAnsi"/>
          <w:szCs w:val="24"/>
        </w:rPr>
        <w:t>earnings in the quarter of the claim</w:t>
      </w:r>
      <w:r w:rsidR="00E86A35">
        <w:rPr>
          <w:rFonts w:asciiTheme="minorHAnsi" w:hAnsiTheme="minorHAnsi" w:cstheme="minorHAnsi"/>
          <w:szCs w:val="24"/>
        </w:rPr>
        <w:t xml:space="preserve">. The ESD collects quarterly earnings information from tax records for covered employers. </w:t>
      </w:r>
    </w:p>
    <w:p w14:paraId="0036392D" w14:textId="264ADA4C" w:rsidR="00207330"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 xml:space="preserve">Primary outcome: </w:t>
      </w:r>
      <w:r w:rsidR="00207330" w:rsidRPr="00CA3D79">
        <w:rPr>
          <w:rFonts w:asciiTheme="minorHAnsi" w:hAnsiTheme="minorHAnsi" w:cstheme="minorHAnsi"/>
          <w:szCs w:val="24"/>
        </w:rPr>
        <w:t>earnings in the quarter after the claim</w:t>
      </w:r>
      <w:r w:rsidR="00517901">
        <w:rPr>
          <w:rFonts w:asciiTheme="minorHAnsi" w:hAnsiTheme="minorHAnsi" w:cstheme="minorHAnsi"/>
          <w:szCs w:val="24"/>
        </w:rPr>
        <w:t>.</w:t>
      </w:r>
      <w:r w:rsidR="00207330" w:rsidRPr="00CA3D79">
        <w:rPr>
          <w:rFonts w:asciiTheme="minorHAnsi" w:hAnsiTheme="minorHAnsi" w:cstheme="minorHAnsi"/>
          <w:szCs w:val="24"/>
        </w:rPr>
        <w:t xml:space="preserve"> </w:t>
      </w:r>
    </w:p>
    <w:p w14:paraId="098BA419" w14:textId="0591C1E0" w:rsidR="00207330"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 xml:space="preserve">Primary outcome: </w:t>
      </w:r>
      <w:r w:rsidR="00207330" w:rsidRPr="00CA3D79">
        <w:rPr>
          <w:rFonts w:asciiTheme="minorHAnsi" w:hAnsiTheme="minorHAnsi" w:cstheme="minorHAnsi"/>
          <w:szCs w:val="24"/>
        </w:rPr>
        <w:t>earnings in the second quarter after the claim</w:t>
      </w:r>
      <w:r w:rsidR="00517901">
        <w:rPr>
          <w:rFonts w:asciiTheme="minorHAnsi" w:hAnsiTheme="minorHAnsi" w:cstheme="minorHAnsi"/>
          <w:szCs w:val="24"/>
        </w:rPr>
        <w:t>.</w:t>
      </w:r>
      <w:r w:rsidR="00207330" w:rsidRPr="00CA3D79">
        <w:rPr>
          <w:rFonts w:asciiTheme="minorHAnsi" w:hAnsiTheme="minorHAnsi" w:cstheme="minorHAnsi"/>
          <w:szCs w:val="24"/>
        </w:rPr>
        <w:t xml:space="preserve"> </w:t>
      </w:r>
    </w:p>
    <w:p w14:paraId="25F03025" w14:textId="53FBCE9D" w:rsidR="00207330"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 xml:space="preserve">Primary outcome: </w:t>
      </w:r>
      <w:r w:rsidR="00207330" w:rsidRPr="00CA3D79">
        <w:rPr>
          <w:rFonts w:asciiTheme="minorHAnsi" w:hAnsiTheme="minorHAnsi" w:cstheme="minorHAnsi"/>
          <w:szCs w:val="24"/>
        </w:rPr>
        <w:t>employment in the quarter of the claim</w:t>
      </w:r>
      <w:r w:rsidR="00517901">
        <w:rPr>
          <w:rFonts w:asciiTheme="minorHAnsi" w:hAnsiTheme="minorHAnsi" w:cstheme="minorHAnsi"/>
          <w:szCs w:val="24"/>
        </w:rPr>
        <w:t>.</w:t>
      </w:r>
      <w:r w:rsidR="00207330" w:rsidRPr="00CA3D79">
        <w:rPr>
          <w:rFonts w:asciiTheme="minorHAnsi" w:hAnsiTheme="minorHAnsi" w:cstheme="minorHAnsi"/>
          <w:szCs w:val="24"/>
        </w:rPr>
        <w:t xml:space="preserve"> </w:t>
      </w:r>
    </w:p>
    <w:p w14:paraId="7C9C136E" w14:textId="6B21B67F" w:rsidR="00207330"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 xml:space="preserve">Primary outcome: </w:t>
      </w:r>
      <w:r w:rsidR="00207330" w:rsidRPr="00CA3D79">
        <w:rPr>
          <w:rFonts w:asciiTheme="minorHAnsi" w:hAnsiTheme="minorHAnsi" w:cstheme="minorHAnsi"/>
          <w:szCs w:val="24"/>
        </w:rPr>
        <w:t>employment in the quarter after the claim</w:t>
      </w:r>
      <w:r w:rsidR="00517901">
        <w:rPr>
          <w:rFonts w:asciiTheme="minorHAnsi" w:hAnsiTheme="minorHAnsi" w:cstheme="minorHAnsi"/>
          <w:szCs w:val="24"/>
        </w:rPr>
        <w:t>.</w:t>
      </w:r>
      <w:r w:rsidR="00207330" w:rsidRPr="00CA3D79">
        <w:rPr>
          <w:rFonts w:asciiTheme="minorHAnsi" w:hAnsiTheme="minorHAnsi" w:cstheme="minorHAnsi"/>
          <w:szCs w:val="24"/>
        </w:rPr>
        <w:t xml:space="preserve"> </w:t>
      </w:r>
    </w:p>
    <w:p w14:paraId="1CA600EA" w14:textId="7FBD40A1" w:rsidR="00207330"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 xml:space="preserve">Primary outcome: </w:t>
      </w:r>
      <w:r w:rsidR="00207330" w:rsidRPr="00CA3D79">
        <w:rPr>
          <w:rFonts w:asciiTheme="minorHAnsi" w:hAnsiTheme="minorHAnsi" w:cstheme="minorHAnsi"/>
          <w:szCs w:val="24"/>
        </w:rPr>
        <w:t>employment in the second quarter after the claim</w:t>
      </w:r>
      <w:r w:rsidR="00517901">
        <w:rPr>
          <w:rFonts w:asciiTheme="minorHAnsi" w:hAnsiTheme="minorHAnsi" w:cstheme="minorHAnsi"/>
          <w:szCs w:val="24"/>
        </w:rPr>
        <w:t>.</w:t>
      </w:r>
    </w:p>
    <w:p w14:paraId="29C934C5" w14:textId="04CEF2A0" w:rsidR="00207330"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Secondary outcome: m</w:t>
      </w:r>
      <w:r w:rsidR="00207330" w:rsidRPr="00CA3D79">
        <w:rPr>
          <w:rFonts w:asciiTheme="minorHAnsi" w:hAnsiTheme="minorHAnsi" w:cstheme="minorHAnsi"/>
          <w:szCs w:val="24"/>
        </w:rPr>
        <w:t xml:space="preserve">atch quality, using the fixed effects estimator derived in Woodcock (2015). </w:t>
      </w:r>
      <w:r w:rsidR="00E86A35">
        <w:rPr>
          <w:rFonts w:asciiTheme="minorHAnsi" w:hAnsiTheme="minorHAnsi" w:cstheme="minorHAnsi"/>
          <w:szCs w:val="24"/>
        </w:rPr>
        <w:br/>
      </w:r>
      <w:r w:rsidR="00E86A35">
        <w:rPr>
          <w:rFonts w:asciiTheme="minorHAnsi" w:hAnsiTheme="minorHAnsi" w:cstheme="minorHAnsi"/>
          <w:szCs w:val="24"/>
        </w:rPr>
        <w:br/>
      </w:r>
      <w:r w:rsidR="00C467E3" w:rsidRPr="00CA3D79">
        <w:rPr>
          <w:rFonts w:asciiTheme="minorHAnsi" w:hAnsiTheme="minorHAnsi" w:cstheme="minorHAnsi"/>
          <w:szCs w:val="24"/>
        </w:rPr>
        <w:t xml:space="preserve">In this framework, productivity is a function of the employee’s quality, the employer’s </w:t>
      </w:r>
      <w:r w:rsidR="00C467E3" w:rsidRPr="00CA3D79">
        <w:rPr>
          <w:rFonts w:asciiTheme="minorHAnsi" w:hAnsiTheme="minorHAnsi" w:cstheme="minorHAnsi"/>
          <w:szCs w:val="24"/>
        </w:rPr>
        <w:lastRenderedPageBreak/>
        <w:t xml:space="preserve">quality, </w:t>
      </w:r>
      <w:proofErr w:type="gramStart"/>
      <w:r w:rsidR="00C467E3" w:rsidRPr="00CA3D79">
        <w:rPr>
          <w:rFonts w:asciiTheme="minorHAnsi" w:hAnsiTheme="minorHAnsi" w:cstheme="minorHAnsi"/>
          <w:szCs w:val="24"/>
        </w:rPr>
        <w:t>and also</w:t>
      </w:r>
      <w:proofErr w:type="gramEnd"/>
      <w:r w:rsidR="00C467E3" w:rsidRPr="00CA3D79">
        <w:rPr>
          <w:rFonts w:asciiTheme="minorHAnsi" w:hAnsiTheme="minorHAnsi" w:cstheme="minorHAnsi"/>
          <w:szCs w:val="24"/>
        </w:rPr>
        <w:t xml:space="preserve"> the quality of the match between employer and employee. This match effect is the productivity boost above what is attributable to the employer and the employee alone. </w:t>
      </w:r>
      <w:r w:rsidR="00207330" w:rsidRPr="00CA3D79">
        <w:rPr>
          <w:rFonts w:asciiTheme="minorHAnsi" w:hAnsiTheme="minorHAnsi" w:cstheme="minorHAnsi"/>
          <w:szCs w:val="24"/>
        </w:rPr>
        <w:t xml:space="preserve">An instructive example </w:t>
      </w:r>
      <w:r w:rsidR="00C467E3" w:rsidRPr="00CA3D79">
        <w:rPr>
          <w:rFonts w:asciiTheme="minorHAnsi" w:hAnsiTheme="minorHAnsi" w:cstheme="minorHAnsi"/>
          <w:szCs w:val="24"/>
        </w:rPr>
        <w:t xml:space="preserve">of how to </w:t>
      </w:r>
      <w:r w:rsidR="00CA3D79" w:rsidRPr="00CA3D79">
        <w:rPr>
          <w:rFonts w:asciiTheme="minorHAnsi" w:hAnsiTheme="minorHAnsi" w:cstheme="minorHAnsi"/>
          <w:szCs w:val="24"/>
        </w:rPr>
        <w:t>estimate</w:t>
      </w:r>
      <w:r w:rsidR="00C467E3" w:rsidRPr="00CA3D79">
        <w:rPr>
          <w:rFonts w:asciiTheme="minorHAnsi" w:hAnsiTheme="minorHAnsi" w:cstheme="minorHAnsi"/>
          <w:szCs w:val="24"/>
        </w:rPr>
        <w:t xml:space="preserve"> the Woodcock (2015) model </w:t>
      </w:r>
      <w:r w:rsidR="00207330" w:rsidRPr="00CA3D79">
        <w:rPr>
          <w:rFonts w:asciiTheme="minorHAnsi" w:hAnsiTheme="minorHAnsi" w:cstheme="minorHAnsi"/>
          <w:szCs w:val="24"/>
        </w:rPr>
        <w:t>is given in Lachowska, Mas, and Woodbury (2020). The</w:t>
      </w:r>
      <w:r w:rsidR="00CD6488" w:rsidRPr="00CA3D79">
        <w:rPr>
          <w:rFonts w:asciiTheme="minorHAnsi" w:hAnsiTheme="minorHAnsi" w:cstheme="minorHAnsi"/>
          <w:szCs w:val="24"/>
        </w:rPr>
        <w:t>y</w:t>
      </w:r>
      <w:r w:rsidR="00207330" w:rsidRPr="00CA3D79">
        <w:rPr>
          <w:rFonts w:asciiTheme="minorHAnsi" w:hAnsiTheme="minorHAnsi" w:cstheme="minorHAnsi"/>
          <w:szCs w:val="24"/>
        </w:rPr>
        <w:t xml:space="preserve"> estimate this model in two steps</w:t>
      </w:r>
      <w:r w:rsidR="00DE4500" w:rsidRPr="00CA3D79">
        <w:rPr>
          <w:rFonts w:asciiTheme="minorHAnsi" w:hAnsiTheme="minorHAnsi" w:cstheme="minorHAnsi"/>
          <w:szCs w:val="24"/>
        </w:rPr>
        <w:t xml:space="preserve"> using panel data</w:t>
      </w:r>
      <w:r w:rsidR="00207330" w:rsidRPr="00CA3D79">
        <w:rPr>
          <w:rFonts w:asciiTheme="minorHAnsi" w:hAnsiTheme="minorHAnsi" w:cstheme="minorHAnsi"/>
          <w:szCs w:val="24"/>
        </w:rPr>
        <w:t xml:space="preserve">. </w:t>
      </w:r>
      <w:r w:rsidR="00366212" w:rsidRPr="00366212">
        <w:rPr>
          <w:rFonts w:asciiTheme="minorHAnsi" w:hAnsiTheme="minorHAnsi" w:cstheme="minorHAnsi"/>
          <w:szCs w:val="24"/>
        </w:rPr>
        <w:t>First, they average the logged outcome of interest (earnings, wages, or hours worked) over time for each worker-employer match.</w:t>
      </w:r>
      <w:r w:rsidR="00366212">
        <w:rPr>
          <w:rFonts w:asciiTheme="minorHAnsi" w:hAnsiTheme="minorHAnsi" w:cstheme="minorHAnsi"/>
          <w:szCs w:val="24"/>
        </w:rPr>
        <w:t xml:space="preserve"> </w:t>
      </w:r>
      <w:r w:rsidR="00DB3932" w:rsidRPr="00CA3D79">
        <w:rPr>
          <w:rFonts w:asciiTheme="minorHAnsi" w:hAnsiTheme="minorHAnsi" w:cstheme="minorHAnsi"/>
          <w:szCs w:val="24"/>
        </w:rPr>
        <w:t>In step two, t</w:t>
      </w:r>
      <w:r w:rsidR="00DE4500" w:rsidRPr="00CA3D79">
        <w:rPr>
          <w:rFonts w:asciiTheme="minorHAnsi" w:hAnsiTheme="minorHAnsi" w:cstheme="minorHAnsi"/>
          <w:szCs w:val="24"/>
        </w:rPr>
        <w:t>his average is the dependent variable in a regression. The independent variables are worker and firm fixed effects.</w:t>
      </w:r>
      <w:r w:rsidR="00054D29">
        <w:rPr>
          <w:rFonts w:asciiTheme="minorHAnsi" w:hAnsiTheme="minorHAnsi" w:cstheme="minorHAnsi"/>
          <w:szCs w:val="24"/>
        </w:rPr>
        <w:t xml:space="preserve"> The regression is weighted by match duration.</w:t>
      </w:r>
      <w:r w:rsidR="00DE4500" w:rsidRPr="00CA3D79">
        <w:rPr>
          <w:rFonts w:asciiTheme="minorHAnsi" w:hAnsiTheme="minorHAnsi" w:cstheme="minorHAnsi"/>
          <w:szCs w:val="24"/>
        </w:rPr>
        <w:t xml:space="preserve"> The error terms from this regression capture all match-specific determinants of the outcome of interest </w:t>
      </w:r>
      <w:r w:rsidR="00DB3932" w:rsidRPr="00CA3D79">
        <w:rPr>
          <w:rFonts w:asciiTheme="minorHAnsi" w:hAnsiTheme="minorHAnsi" w:cstheme="minorHAnsi"/>
          <w:szCs w:val="24"/>
        </w:rPr>
        <w:t>not explained by the firm and worker fixed effects</w:t>
      </w:r>
      <w:r w:rsidR="007171EF">
        <w:rPr>
          <w:rFonts w:asciiTheme="minorHAnsi" w:hAnsiTheme="minorHAnsi" w:cstheme="minorHAnsi"/>
          <w:szCs w:val="24"/>
        </w:rPr>
        <w:t xml:space="preserve">, </w:t>
      </w:r>
      <w:proofErr w:type="gramStart"/>
      <w:r w:rsidR="007171EF">
        <w:rPr>
          <w:rFonts w:asciiTheme="minorHAnsi" w:hAnsiTheme="minorHAnsi" w:cstheme="minorHAnsi"/>
          <w:szCs w:val="24"/>
        </w:rPr>
        <w:t>i.e.</w:t>
      </w:r>
      <w:proofErr w:type="gramEnd"/>
      <w:r w:rsidR="007171EF">
        <w:rPr>
          <w:rFonts w:asciiTheme="minorHAnsi" w:hAnsiTheme="minorHAnsi" w:cstheme="minorHAnsi"/>
          <w:szCs w:val="24"/>
        </w:rPr>
        <w:t xml:space="preserve"> the match effects</w:t>
      </w:r>
      <w:r w:rsidR="00DE4500" w:rsidRPr="00CA3D79">
        <w:rPr>
          <w:rFonts w:asciiTheme="minorHAnsi" w:hAnsiTheme="minorHAnsi" w:cstheme="minorHAnsi"/>
          <w:szCs w:val="24"/>
        </w:rPr>
        <w:t xml:space="preserve">. We can study whether match quality is higher for RESEA recipients in the experiment. </w:t>
      </w:r>
    </w:p>
    <w:p w14:paraId="3ACC54F3" w14:textId="043CB84A" w:rsidR="00651E46" w:rsidRPr="00CA3D79" w:rsidRDefault="00C86B12" w:rsidP="00207330">
      <w:pPr>
        <w:pStyle w:val="ListParagraph"/>
        <w:numPr>
          <w:ilvl w:val="0"/>
          <w:numId w:val="4"/>
        </w:numPr>
        <w:rPr>
          <w:rFonts w:asciiTheme="minorHAnsi" w:hAnsiTheme="minorHAnsi" w:cstheme="minorHAnsi"/>
          <w:szCs w:val="24"/>
        </w:rPr>
      </w:pPr>
      <w:r>
        <w:rPr>
          <w:rFonts w:asciiTheme="minorHAnsi" w:hAnsiTheme="minorHAnsi" w:cstheme="minorHAnsi"/>
          <w:szCs w:val="24"/>
        </w:rPr>
        <w:t>Secondary outcome: m</w:t>
      </w:r>
      <w:r w:rsidR="00651E46" w:rsidRPr="00CA3D79">
        <w:rPr>
          <w:rFonts w:asciiTheme="minorHAnsi" w:hAnsiTheme="minorHAnsi" w:cstheme="minorHAnsi"/>
          <w:szCs w:val="24"/>
        </w:rPr>
        <w:t xml:space="preserve">atch quality, using the rank similarity index approach developed by Farooq, Kugler, and </w:t>
      </w:r>
      <w:proofErr w:type="spellStart"/>
      <w:r w:rsidR="00651E46" w:rsidRPr="00CA3D79">
        <w:rPr>
          <w:rFonts w:asciiTheme="minorHAnsi" w:hAnsiTheme="minorHAnsi" w:cstheme="minorHAnsi"/>
          <w:szCs w:val="24"/>
        </w:rPr>
        <w:t>Muratori</w:t>
      </w:r>
      <w:proofErr w:type="spellEnd"/>
      <w:r w:rsidR="00651E46" w:rsidRPr="00CA3D79">
        <w:rPr>
          <w:rFonts w:asciiTheme="minorHAnsi" w:hAnsiTheme="minorHAnsi" w:cstheme="minorHAnsi"/>
          <w:szCs w:val="24"/>
        </w:rPr>
        <w:t xml:space="preserve"> (202</w:t>
      </w:r>
      <w:r w:rsidR="0013183B">
        <w:rPr>
          <w:rFonts w:asciiTheme="minorHAnsi" w:hAnsiTheme="minorHAnsi" w:cstheme="minorHAnsi"/>
          <w:szCs w:val="24"/>
        </w:rPr>
        <w:t>0</w:t>
      </w:r>
      <w:r w:rsidR="00651E46" w:rsidRPr="00CA3D79">
        <w:rPr>
          <w:rFonts w:asciiTheme="minorHAnsi" w:hAnsiTheme="minorHAnsi" w:cstheme="minorHAnsi"/>
          <w:szCs w:val="24"/>
        </w:rPr>
        <w:t xml:space="preserve">). </w:t>
      </w:r>
      <w:r w:rsidR="00E86A35">
        <w:rPr>
          <w:rFonts w:asciiTheme="minorHAnsi" w:hAnsiTheme="minorHAnsi" w:cstheme="minorHAnsi"/>
          <w:szCs w:val="24"/>
        </w:rPr>
        <w:br/>
      </w:r>
      <w:r w:rsidR="00E86A35">
        <w:rPr>
          <w:rFonts w:asciiTheme="minorHAnsi" w:hAnsiTheme="minorHAnsi" w:cstheme="minorHAnsi"/>
          <w:szCs w:val="24"/>
        </w:rPr>
        <w:br/>
      </w:r>
      <w:r w:rsidR="00651E46" w:rsidRPr="00CA3D79">
        <w:rPr>
          <w:rFonts w:asciiTheme="minorHAnsi" w:hAnsiTheme="minorHAnsi" w:cstheme="minorHAnsi"/>
          <w:szCs w:val="24"/>
        </w:rPr>
        <w:t xml:space="preserve">They use the Abowd, </w:t>
      </w:r>
      <w:proofErr w:type="spellStart"/>
      <w:r w:rsidR="00651E46" w:rsidRPr="00CA3D79">
        <w:rPr>
          <w:rFonts w:asciiTheme="minorHAnsi" w:hAnsiTheme="minorHAnsi" w:cstheme="minorHAnsi"/>
          <w:szCs w:val="24"/>
        </w:rPr>
        <w:t>Kramar</w:t>
      </w:r>
      <w:r w:rsidR="00837273" w:rsidRPr="00CA3D79">
        <w:rPr>
          <w:rFonts w:asciiTheme="minorHAnsi" w:hAnsiTheme="minorHAnsi" w:cstheme="minorHAnsi"/>
          <w:szCs w:val="24"/>
        </w:rPr>
        <w:t>z</w:t>
      </w:r>
      <w:proofErr w:type="spellEnd"/>
      <w:r w:rsidR="00651E46" w:rsidRPr="00CA3D79">
        <w:rPr>
          <w:rFonts w:asciiTheme="minorHAnsi" w:hAnsiTheme="minorHAnsi" w:cstheme="minorHAnsi"/>
          <w:szCs w:val="24"/>
        </w:rPr>
        <w:t>, and Margo</w:t>
      </w:r>
      <w:r w:rsidR="00CA3D79" w:rsidRPr="00CA3D79">
        <w:rPr>
          <w:rFonts w:asciiTheme="minorHAnsi" w:hAnsiTheme="minorHAnsi" w:cstheme="minorHAnsi"/>
          <w:szCs w:val="24"/>
        </w:rPr>
        <w:t>li</w:t>
      </w:r>
      <w:r w:rsidR="00651E46" w:rsidRPr="00CA3D79">
        <w:rPr>
          <w:rFonts w:asciiTheme="minorHAnsi" w:hAnsiTheme="minorHAnsi" w:cstheme="minorHAnsi"/>
          <w:szCs w:val="24"/>
        </w:rPr>
        <w:t xml:space="preserve">s (1999) decomposition </w:t>
      </w:r>
      <w:r w:rsidR="00837273" w:rsidRPr="00CA3D79">
        <w:rPr>
          <w:rFonts w:asciiTheme="minorHAnsi" w:hAnsiTheme="minorHAnsi" w:cstheme="minorHAnsi"/>
          <w:szCs w:val="24"/>
        </w:rPr>
        <w:t>to measure worker and firm fixed effects, and then rank workers and firms.</w:t>
      </w:r>
      <w:r w:rsidR="00CA3D79" w:rsidRPr="00CA3D79">
        <w:rPr>
          <w:rFonts w:asciiTheme="minorHAnsi" w:hAnsiTheme="minorHAnsi" w:cstheme="minorHAnsi"/>
          <w:szCs w:val="24"/>
        </w:rPr>
        <w:t xml:space="preserve"> (Note that the </w:t>
      </w:r>
      <w:r w:rsidR="0013183B">
        <w:rPr>
          <w:rFonts w:asciiTheme="minorHAnsi" w:hAnsiTheme="minorHAnsi" w:cstheme="minorHAnsi"/>
          <w:szCs w:val="24"/>
        </w:rPr>
        <w:t>W</w:t>
      </w:r>
      <w:r w:rsidR="00CA3D79" w:rsidRPr="00CA3D79">
        <w:rPr>
          <w:rFonts w:asciiTheme="minorHAnsi" w:hAnsiTheme="minorHAnsi" w:cstheme="minorHAnsi"/>
          <w:szCs w:val="24"/>
        </w:rPr>
        <w:t xml:space="preserve">oodcock </w:t>
      </w:r>
      <w:r w:rsidR="0013183B">
        <w:rPr>
          <w:rFonts w:asciiTheme="minorHAnsi" w:hAnsiTheme="minorHAnsi" w:cstheme="minorHAnsi"/>
          <w:szCs w:val="24"/>
        </w:rPr>
        <w:t xml:space="preserve">(2015) </w:t>
      </w:r>
      <w:r w:rsidR="00CA3D79" w:rsidRPr="00CA3D79">
        <w:rPr>
          <w:rFonts w:asciiTheme="minorHAnsi" w:hAnsiTheme="minorHAnsi" w:cstheme="minorHAnsi"/>
          <w:szCs w:val="24"/>
        </w:rPr>
        <w:t xml:space="preserve">model is also an extension of the Abowd, </w:t>
      </w:r>
      <w:proofErr w:type="spellStart"/>
      <w:r w:rsidR="00CA3D79" w:rsidRPr="00CA3D79">
        <w:rPr>
          <w:rFonts w:asciiTheme="minorHAnsi" w:hAnsiTheme="minorHAnsi" w:cstheme="minorHAnsi"/>
          <w:szCs w:val="24"/>
        </w:rPr>
        <w:t>Krama</w:t>
      </w:r>
      <w:r w:rsidR="0013183B">
        <w:rPr>
          <w:rFonts w:asciiTheme="minorHAnsi" w:hAnsiTheme="minorHAnsi" w:cstheme="minorHAnsi"/>
          <w:szCs w:val="24"/>
        </w:rPr>
        <w:t>r</w:t>
      </w:r>
      <w:r w:rsidR="00CA3D79" w:rsidRPr="00CA3D79">
        <w:rPr>
          <w:rFonts w:asciiTheme="minorHAnsi" w:hAnsiTheme="minorHAnsi" w:cstheme="minorHAnsi"/>
          <w:szCs w:val="24"/>
        </w:rPr>
        <w:t>z</w:t>
      </w:r>
      <w:proofErr w:type="spellEnd"/>
      <w:r w:rsidR="00CA3D79" w:rsidRPr="00CA3D79">
        <w:rPr>
          <w:rFonts w:asciiTheme="minorHAnsi" w:hAnsiTheme="minorHAnsi" w:cstheme="minorHAnsi"/>
          <w:szCs w:val="24"/>
        </w:rPr>
        <w:t>, and Margolis (1999) model.)</w:t>
      </w:r>
      <w:r w:rsidR="00837273" w:rsidRPr="00CA3D79">
        <w:rPr>
          <w:rFonts w:asciiTheme="minorHAnsi" w:hAnsiTheme="minorHAnsi" w:cstheme="minorHAnsi"/>
          <w:szCs w:val="24"/>
        </w:rPr>
        <w:t xml:space="preserve"> The best match in this framework is one between a worker and a firm in the same percentile. For instance, a worker with a twentieth percentile fixed effect</w:t>
      </w:r>
      <w:r w:rsidR="00651E46" w:rsidRPr="00CA3D79">
        <w:rPr>
          <w:rFonts w:asciiTheme="minorHAnsi" w:hAnsiTheme="minorHAnsi" w:cstheme="minorHAnsi"/>
          <w:szCs w:val="24"/>
        </w:rPr>
        <w:t xml:space="preserve"> </w:t>
      </w:r>
      <w:r w:rsidR="00837273" w:rsidRPr="00CA3D79">
        <w:rPr>
          <w:rFonts w:asciiTheme="minorHAnsi" w:hAnsiTheme="minorHAnsi" w:cstheme="minorHAnsi"/>
          <w:szCs w:val="24"/>
        </w:rPr>
        <w:t>matched with a firm with a twentieth percentile fixed effect</w:t>
      </w:r>
      <w:r w:rsidR="00CA3D79" w:rsidRPr="00CA3D79">
        <w:rPr>
          <w:rFonts w:asciiTheme="minorHAnsi" w:hAnsiTheme="minorHAnsi" w:cstheme="minorHAnsi"/>
          <w:szCs w:val="24"/>
        </w:rPr>
        <w:t xml:space="preserve"> would constitute the highest quality match</w:t>
      </w:r>
      <w:r w:rsidR="00837273" w:rsidRPr="00CA3D79">
        <w:rPr>
          <w:rFonts w:asciiTheme="minorHAnsi" w:hAnsiTheme="minorHAnsi" w:cstheme="minorHAnsi"/>
          <w:szCs w:val="24"/>
        </w:rPr>
        <w:t>. This method to measure match quality provides complimentary information to the match quality measure in the Woodcock (2015) model.</w:t>
      </w:r>
      <w:r w:rsidR="00CA3D79" w:rsidRPr="00CA3D79">
        <w:rPr>
          <w:rFonts w:asciiTheme="minorHAnsi" w:hAnsiTheme="minorHAnsi" w:cstheme="minorHAnsi"/>
          <w:szCs w:val="24"/>
        </w:rPr>
        <w:t xml:space="preserve"> Both are informative about the impacts of RESEA on the labor market in Washington state. </w:t>
      </w:r>
      <w:r w:rsidR="00837273" w:rsidRPr="00CA3D79">
        <w:rPr>
          <w:rFonts w:asciiTheme="minorHAnsi" w:hAnsiTheme="minorHAnsi" w:cstheme="minorHAnsi"/>
          <w:szCs w:val="24"/>
        </w:rPr>
        <w:t xml:space="preserve"> </w:t>
      </w:r>
    </w:p>
    <w:p w14:paraId="2C9E55DE" w14:textId="6B9E086C" w:rsidR="00B638FF" w:rsidRPr="0013183B" w:rsidRDefault="00C86B12" w:rsidP="0013183B">
      <w:pPr>
        <w:pStyle w:val="ListParagraph"/>
        <w:numPr>
          <w:ilvl w:val="0"/>
          <w:numId w:val="4"/>
        </w:numPr>
        <w:rPr>
          <w:rFonts w:asciiTheme="minorHAnsi" w:hAnsiTheme="minorHAnsi" w:cstheme="minorHAnsi"/>
          <w:szCs w:val="24"/>
        </w:rPr>
      </w:pPr>
      <w:r>
        <w:rPr>
          <w:rFonts w:asciiTheme="minorHAnsi" w:hAnsiTheme="minorHAnsi" w:cstheme="minorHAnsi"/>
          <w:szCs w:val="24"/>
        </w:rPr>
        <w:t>Secondary outcome: b</w:t>
      </w:r>
      <w:r w:rsidR="00F20045" w:rsidRPr="00CA3D79">
        <w:rPr>
          <w:rFonts w:asciiTheme="minorHAnsi" w:hAnsiTheme="minorHAnsi" w:cstheme="minorHAnsi"/>
          <w:szCs w:val="24"/>
        </w:rPr>
        <w:t>enefits paid over the course of the claim</w:t>
      </w:r>
      <w:r w:rsidR="00AC4F87" w:rsidRPr="00CA3D79">
        <w:rPr>
          <w:rFonts w:asciiTheme="minorHAnsi" w:hAnsiTheme="minorHAnsi" w:cstheme="minorHAnsi"/>
          <w:szCs w:val="24"/>
        </w:rPr>
        <w:t>.</w:t>
      </w:r>
      <w:r w:rsidR="00F20045" w:rsidRPr="00CA3D79">
        <w:rPr>
          <w:rFonts w:asciiTheme="minorHAnsi" w:hAnsiTheme="minorHAnsi" w:cstheme="minorHAnsi"/>
          <w:szCs w:val="24"/>
        </w:rPr>
        <w:t xml:space="preserve"> </w:t>
      </w:r>
      <w:r w:rsidR="0013183B">
        <w:rPr>
          <w:rFonts w:asciiTheme="minorHAnsi" w:hAnsiTheme="minorHAnsi" w:cstheme="minorHAnsi"/>
          <w:szCs w:val="24"/>
        </w:rPr>
        <w:br/>
      </w:r>
    </w:p>
    <w:p w14:paraId="2237AAC2" w14:textId="28E9FAF6" w:rsidR="00433B4D" w:rsidRPr="00083B0C" w:rsidRDefault="00BE4189" w:rsidP="00083B0C">
      <w:pPr>
        <w:pStyle w:val="ListParagraph"/>
        <w:numPr>
          <w:ilvl w:val="0"/>
          <w:numId w:val="6"/>
        </w:numPr>
        <w:spacing w:line="240" w:lineRule="auto"/>
        <w:rPr>
          <w:rFonts w:cstheme="minorHAnsi"/>
          <w:b/>
          <w:bCs/>
          <w:szCs w:val="24"/>
        </w:rPr>
      </w:pPr>
      <w:r w:rsidRPr="00083B0C">
        <w:rPr>
          <w:rFonts w:cstheme="minorHAnsi"/>
          <w:b/>
          <w:bCs/>
          <w:szCs w:val="24"/>
        </w:rPr>
        <w:t>Empirical Specification</w:t>
      </w:r>
    </w:p>
    <w:p w14:paraId="637AF5E7" w14:textId="54F01C01" w:rsidR="00BE4189" w:rsidRPr="00CA3D79" w:rsidRDefault="00BE4189" w:rsidP="00BE4189">
      <w:pPr>
        <w:spacing w:line="240" w:lineRule="auto"/>
        <w:rPr>
          <w:rFonts w:cstheme="minorHAnsi"/>
          <w:sz w:val="24"/>
          <w:szCs w:val="24"/>
        </w:rPr>
      </w:pPr>
      <w:r w:rsidRPr="00CA3D79">
        <w:rPr>
          <w:rFonts w:cstheme="minorHAnsi"/>
          <w:sz w:val="24"/>
          <w:szCs w:val="24"/>
        </w:rPr>
        <w:t xml:space="preserve">Our primary regression will take the following form </w:t>
      </w:r>
    </w:p>
    <w:p w14:paraId="1A6F3A37" w14:textId="0F235FE8" w:rsidR="00BE4189" w:rsidRPr="00CA3D79" w:rsidRDefault="002D06F1" w:rsidP="00BE4189">
      <w:pPr>
        <w:spacing w:line="240" w:lineRule="auto"/>
        <w:rPr>
          <w:rFonts w:eastAsiaTheme="minorEastAsia" w:cstheme="minorHAnsi"/>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y</m:t>
              </m:r>
            </m:e>
            <m:sub>
              <m:r>
                <w:rPr>
                  <w:rFonts w:ascii="Cambria Math" w:hAnsi="Cambria Math" w:cstheme="minorHAnsi"/>
                  <w:sz w:val="24"/>
                  <w:szCs w:val="24"/>
                </w:rPr>
                <m:t>i</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Treatment</m:t>
              </m:r>
            </m:e>
            <m:sub>
              <m:r>
                <w:rPr>
                  <w:rFonts w:ascii="Cambria Math" w:hAnsi="Cambria Math" w:cstheme="minorHAnsi"/>
                  <w:sz w:val="24"/>
                  <w:szCs w:val="24"/>
                </w:rPr>
                <m:t>i</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X</m:t>
              </m:r>
            </m:e>
            <m:sub>
              <m:r>
                <w:rPr>
                  <w:rFonts w:ascii="Cambria Math" w:hAnsi="Cambria Math" w:cstheme="minorHAnsi"/>
                  <w:sz w:val="24"/>
                  <w:szCs w:val="24"/>
                </w:rPr>
                <m:t>i</m:t>
              </m:r>
            </m:sub>
          </m:sSub>
          <m:r>
            <w:rPr>
              <w:rFonts w:ascii="Cambria Math" w:hAnsi="Cambria Math" w:cstheme="minorHAnsi"/>
              <w:sz w:val="24"/>
              <w:szCs w:val="24"/>
            </w:rPr>
            <m:t>β+</m:t>
          </m:r>
          <m:sSub>
            <m:sSubPr>
              <m:ctrlPr>
                <w:rPr>
                  <w:rFonts w:ascii="Cambria Math" w:hAnsi="Cambria Math" w:cstheme="minorHAnsi"/>
                  <w:i/>
                  <w:sz w:val="24"/>
                  <w:szCs w:val="24"/>
                </w:rPr>
              </m:ctrlPr>
            </m:sSubPr>
            <m:e>
              <m:r>
                <w:rPr>
                  <w:rFonts w:ascii="Cambria Math" w:hAnsi="Cambria Math" w:cstheme="minorHAnsi"/>
                  <w:sz w:val="24"/>
                  <w:szCs w:val="24"/>
                </w:rPr>
                <m:t>ϕ</m:t>
              </m:r>
            </m:e>
            <m:sub>
              <m:r>
                <w:rPr>
                  <w:rFonts w:ascii="Cambria Math" w:hAnsi="Cambria Math" w:cstheme="minorHAnsi"/>
                  <w:sz w:val="24"/>
                  <w:szCs w:val="24"/>
                </w:rPr>
                <m:t>o,e,x,l</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ϵ</m:t>
              </m:r>
            </m:e>
            <m:sub>
              <m:r>
                <w:rPr>
                  <w:rFonts w:ascii="Cambria Math" w:hAnsi="Cambria Math" w:cstheme="minorHAnsi"/>
                  <w:sz w:val="24"/>
                  <w:szCs w:val="24"/>
                </w:rPr>
                <m:t>i</m:t>
              </m:r>
            </m:sub>
          </m:sSub>
          <m:r>
            <w:rPr>
              <w:rFonts w:ascii="Cambria Math" w:hAnsi="Cambria Math" w:cstheme="minorHAnsi"/>
              <w:sz w:val="24"/>
              <w:szCs w:val="24"/>
            </w:rPr>
            <m:t xml:space="preserve"> </m:t>
          </m:r>
        </m:oMath>
      </m:oMathPara>
    </w:p>
    <w:p w14:paraId="61376667" w14:textId="25606C8A" w:rsidR="00BE4189" w:rsidRPr="00CA3D79" w:rsidRDefault="00BE4189" w:rsidP="00BE4189">
      <w:pPr>
        <w:spacing w:line="240" w:lineRule="auto"/>
        <w:rPr>
          <w:rFonts w:eastAsiaTheme="minorEastAsia" w:cstheme="minorHAnsi"/>
          <w:sz w:val="24"/>
          <w:szCs w:val="24"/>
        </w:rPr>
      </w:pPr>
    </w:p>
    <w:p w14:paraId="6F03B56D" w14:textId="0D075278" w:rsidR="00365D54" w:rsidRPr="00083B0C" w:rsidRDefault="00BE4189" w:rsidP="00BE4189">
      <w:pPr>
        <w:spacing w:line="240" w:lineRule="auto"/>
        <w:rPr>
          <w:rFonts w:eastAsiaTheme="minorEastAsia" w:cstheme="minorHAnsi"/>
          <w:b/>
          <w:bCs/>
          <w:sz w:val="24"/>
          <w:szCs w:val="24"/>
        </w:rPr>
      </w:pPr>
      <w:r w:rsidRPr="00CA3D79">
        <w:rPr>
          <w:rFonts w:eastAsiaTheme="minorEastAsia" w:cstheme="minorHAnsi"/>
          <w:sz w:val="24"/>
          <w:szCs w:val="24"/>
        </w:rPr>
        <w:t xml:space="preserve">Where </w:t>
      </w:r>
      <m:oMath>
        <m:sSub>
          <m:sSubPr>
            <m:ctrlPr>
              <w:rPr>
                <w:rFonts w:ascii="Cambria Math" w:hAnsi="Cambria Math" w:cstheme="minorHAnsi"/>
                <w:i/>
                <w:sz w:val="24"/>
                <w:szCs w:val="24"/>
              </w:rPr>
            </m:ctrlPr>
          </m:sSubPr>
          <m:e>
            <m:r>
              <w:rPr>
                <w:rFonts w:ascii="Cambria Math" w:hAnsi="Cambria Math" w:cstheme="minorHAnsi"/>
                <w:sz w:val="24"/>
                <w:szCs w:val="24"/>
              </w:rPr>
              <m:t>y</m:t>
            </m:r>
          </m:e>
          <m:sub>
            <m:r>
              <w:rPr>
                <w:rFonts w:ascii="Cambria Math" w:hAnsi="Cambria Math" w:cstheme="minorHAnsi"/>
                <w:sz w:val="24"/>
                <w:szCs w:val="24"/>
              </w:rPr>
              <m:t>i</m:t>
            </m:r>
          </m:sub>
        </m:sSub>
      </m:oMath>
      <w:r w:rsidRPr="00CA3D79">
        <w:rPr>
          <w:rFonts w:eastAsiaTheme="minorEastAsia" w:cstheme="minorHAnsi"/>
          <w:sz w:val="24"/>
          <w:szCs w:val="24"/>
        </w:rPr>
        <w:t xml:space="preserve"> is the </w:t>
      </w:r>
      <w:r w:rsidR="00365D54" w:rsidRPr="00CA3D79">
        <w:rPr>
          <w:rFonts w:eastAsiaTheme="minorEastAsia" w:cstheme="minorHAnsi"/>
          <w:sz w:val="24"/>
          <w:szCs w:val="24"/>
        </w:rPr>
        <w:t xml:space="preserve">outcome of interest, </w:t>
      </w:r>
      <m:oMath>
        <m:r>
          <w:rPr>
            <w:rFonts w:ascii="Cambria Math" w:hAnsi="Cambria Math" w:cstheme="minorHAnsi"/>
            <w:sz w:val="24"/>
            <w:szCs w:val="24"/>
          </w:rPr>
          <m:t>Treatmen</m:t>
        </m:r>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i</m:t>
            </m:r>
          </m:sub>
        </m:sSub>
      </m:oMath>
      <w:r w:rsidR="00365D54" w:rsidRPr="00CA3D79">
        <w:rPr>
          <w:rFonts w:eastAsiaTheme="minorEastAsia" w:cstheme="minorHAnsi"/>
          <w:sz w:val="24"/>
          <w:szCs w:val="24"/>
        </w:rPr>
        <w:t xml:space="preserve"> is an indicator variable equal to one </w:t>
      </w:r>
      <w:r w:rsidR="00517901">
        <w:rPr>
          <w:rFonts w:eastAsiaTheme="minorEastAsia" w:cstheme="minorHAnsi"/>
          <w:sz w:val="24"/>
          <w:szCs w:val="24"/>
        </w:rPr>
        <w:t>if</w:t>
      </w:r>
      <w:r w:rsidR="00365D54" w:rsidRPr="00CA3D79">
        <w:rPr>
          <w:rFonts w:eastAsiaTheme="minorEastAsia" w:cstheme="minorHAnsi"/>
          <w:sz w:val="24"/>
          <w:szCs w:val="24"/>
        </w:rPr>
        <w:t xml:space="preserve"> individual </w:t>
      </w:r>
      <w:proofErr w:type="spellStart"/>
      <w:r w:rsidR="00842A46" w:rsidRPr="00CA3D79">
        <w:rPr>
          <w:rFonts w:eastAsiaTheme="minorEastAsia" w:cstheme="minorHAnsi"/>
          <w:i/>
          <w:iCs/>
          <w:sz w:val="24"/>
          <w:szCs w:val="24"/>
        </w:rPr>
        <w:t>i</w:t>
      </w:r>
      <w:proofErr w:type="spellEnd"/>
      <w:r w:rsidR="00842A46" w:rsidRPr="00CA3D79">
        <w:rPr>
          <w:rFonts w:eastAsiaTheme="minorEastAsia" w:cstheme="minorHAnsi"/>
          <w:sz w:val="24"/>
          <w:szCs w:val="24"/>
        </w:rPr>
        <w:t xml:space="preserve"> </w:t>
      </w:r>
      <w:r w:rsidR="00517901">
        <w:rPr>
          <w:rFonts w:eastAsiaTheme="minorEastAsia" w:cstheme="minorHAnsi"/>
          <w:sz w:val="24"/>
          <w:szCs w:val="24"/>
        </w:rPr>
        <w:t>i</w:t>
      </w:r>
      <w:r w:rsidR="00365D54" w:rsidRPr="00CA3D79">
        <w:rPr>
          <w:rFonts w:eastAsiaTheme="minorEastAsia" w:cstheme="minorHAnsi"/>
          <w:sz w:val="24"/>
          <w:szCs w:val="24"/>
        </w:rPr>
        <w:t xml:space="preserve">s in the treatment group, </w:t>
      </w:r>
      <m:oMath>
        <m:sSub>
          <m:sSubPr>
            <m:ctrlPr>
              <w:rPr>
                <w:rFonts w:ascii="Cambria Math" w:hAnsi="Cambria Math" w:cstheme="minorHAnsi"/>
                <w:i/>
                <w:sz w:val="24"/>
                <w:szCs w:val="24"/>
              </w:rPr>
            </m:ctrlPr>
          </m:sSubPr>
          <m:e>
            <m:r>
              <w:rPr>
                <w:rFonts w:ascii="Cambria Math" w:hAnsi="Cambria Math" w:cstheme="minorHAnsi"/>
                <w:sz w:val="24"/>
                <w:szCs w:val="24"/>
              </w:rPr>
              <m:t>X</m:t>
            </m:r>
          </m:e>
          <m:sub>
            <m:r>
              <w:rPr>
                <w:rFonts w:ascii="Cambria Math" w:hAnsi="Cambria Math" w:cstheme="minorHAnsi"/>
                <w:sz w:val="24"/>
                <w:szCs w:val="24"/>
              </w:rPr>
              <m:t>i</m:t>
            </m:r>
          </m:sub>
        </m:sSub>
      </m:oMath>
      <w:r w:rsidR="00365D54" w:rsidRPr="00CA3D79">
        <w:rPr>
          <w:rFonts w:eastAsiaTheme="minorEastAsia" w:cstheme="minorHAnsi"/>
          <w:sz w:val="24"/>
          <w:szCs w:val="24"/>
        </w:rPr>
        <w:t xml:space="preserve"> includes demographic </w:t>
      </w:r>
      <w:r w:rsidR="0087183C">
        <w:rPr>
          <w:rFonts w:eastAsiaTheme="minorEastAsia" w:cstheme="minorHAnsi"/>
          <w:sz w:val="24"/>
          <w:szCs w:val="24"/>
        </w:rPr>
        <w:t xml:space="preserve">and baseline employment </w:t>
      </w:r>
      <w:r w:rsidR="00365D54" w:rsidRPr="00CA3D79">
        <w:rPr>
          <w:rFonts w:eastAsiaTheme="minorEastAsia" w:cstheme="minorHAnsi"/>
          <w:sz w:val="24"/>
          <w:szCs w:val="24"/>
        </w:rPr>
        <w:t>information like quarter</w:t>
      </w:r>
      <w:r w:rsidR="007946F7" w:rsidRPr="00CA3D79">
        <w:rPr>
          <w:rFonts w:eastAsiaTheme="minorEastAsia" w:cstheme="minorHAnsi"/>
          <w:sz w:val="24"/>
          <w:szCs w:val="24"/>
        </w:rPr>
        <w:t>ly</w:t>
      </w:r>
      <w:r w:rsidR="00365D54" w:rsidRPr="00CA3D79">
        <w:rPr>
          <w:rFonts w:eastAsiaTheme="minorEastAsia" w:cstheme="minorHAnsi"/>
          <w:sz w:val="24"/>
          <w:szCs w:val="24"/>
        </w:rPr>
        <w:t xml:space="preserve"> earnings in the five quarters preceding the claim,</w:t>
      </w:r>
      <w:r w:rsidR="00B32684">
        <w:rPr>
          <w:rStyle w:val="FootnoteReference"/>
          <w:rFonts w:eastAsiaTheme="minorEastAsia" w:cstheme="minorHAnsi"/>
          <w:sz w:val="24"/>
          <w:szCs w:val="24"/>
        </w:rPr>
        <w:footnoteReference w:id="3"/>
      </w:r>
      <w:r w:rsidR="00365D54" w:rsidRPr="00CA3D79">
        <w:rPr>
          <w:rFonts w:eastAsiaTheme="minorEastAsia" w:cstheme="minorHAnsi"/>
          <w:sz w:val="24"/>
          <w:szCs w:val="24"/>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ϕ</m:t>
            </m:r>
          </m:e>
          <m:sub>
            <m:r>
              <w:rPr>
                <w:rFonts w:ascii="Cambria Math" w:hAnsi="Cambria Math" w:cstheme="minorHAnsi"/>
                <w:sz w:val="24"/>
                <w:szCs w:val="24"/>
              </w:rPr>
              <m:t>o,e,x,l</m:t>
            </m:r>
          </m:sub>
        </m:sSub>
      </m:oMath>
      <w:r w:rsidR="00365D54" w:rsidRPr="00CA3D79">
        <w:rPr>
          <w:rFonts w:eastAsiaTheme="minorEastAsia" w:cstheme="minorHAnsi"/>
          <w:sz w:val="24"/>
          <w:szCs w:val="24"/>
        </w:rPr>
        <w:t xml:space="preserve"> is a </w:t>
      </w:r>
      <w:r w:rsidR="00C371FB">
        <w:rPr>
          <w:rFonts w:eastAsiaTheme="minorEastAsia" w:cstheme="minorHAnsi"/>
          <w:sz w:val="24"/>
          <w:szCs w:val="24"/>
        </w:rPr>
        <w:t>highly specific fixed effect. It captures the office, language preference, week that the person entered the queue, and the week that they exited the queue</w:t>
      </w:r>
      <w:r w:rsidR="0087183C">
        <w:rPr>
          <w:rFonts w:eastAsiaTheme="minorEastAsia" w:cstheme="minorHAnsi"/>
          <w:sz w:val="24"/>
          <w:szCs w:val="24"/>
        </w:rPr>
        <w:t xml:space="preserve"> (i.e., </w:t>
      </w:r>
      <w:r w:rsidR="00AE3BC2">
        <w:rPr>
          <w:rFonts w:eastAsiaTheme="minorEastAsia" w:cstheme="minorHAnsi"/>
          <w:sz w:val="24"/>
          <w:szCs w:val="24"/>
        </w:rPr>
        <w:t xml:space="preserve">the week in which they </w:t>
      </w:r>
      <w:r w:rsidR="0087183C">
        <w:rPr>
          <w:rFonts w:eastAsiaTheme="minorEastAsia" w:cstheme="minorHAnsi"/>
          <w:sz w:val="24"/>
          <w:szCs w:val="24"/>
        </w:rPr>
        <w:t xml:space="preserve">either </w:t>
      </w:r>
      <w:r w:rsidR="00AE3BC2">
        <w:rPr>
          <w:rFonts w:eastAsiaTheme="minorEastAsia" w:cstheme="minorHAnsi"/>
          <w:sz w:val="24"/>
          <w:szCs w:val="24"/>
        </w:rPr>
        <w:t xml:space="preserve">were </w:t>
      </w:r>
      <w:r w:rsidR="0087183C">
        <w:rPr>
          <w:rFonts w:eastAsiaTheme="minorEastAsia" w:cstheme="minorHAnsi"/>
          <w:sz w:val="24"/>
          <w:szCs w:val="24"/>
        </w:rPr>
        <w:t>selected to receive RESEA or dropped from the queue )</w:t>
      </w:r>
      <w:r w:rsidR="00C371FB">
        <w:rPr>
          <w:rFonts w:eastAsiaTheme="minorEastAsia" w:cstheme="minorHAnsi"/>
          <w:sz w:val="24"/>
          <w:szCs w:val="24"/>
        </w:rPr>
        <w:t xml:space="preserve">. Controlling for </w:t>
      </w:r>
      <w:proofErr w:type="gramStart"/>
      <w:r w:rsidR="00C371FB">
        <w:rPr>
          <w:rFonts w:eastAsiaTheme="minorEastAsia" w:cstheme="minorHAnsi"/>
          <w:sz w:val="24"/>
          <w:szCs w:val="24"/>
        </w:rPr>
        <w:t>all of</w:t>
      </w:r>
      <w:proofErr w:type="gramEnd"/>
      <w:r w:rsidR="00C371FB">
        <w:rPr>
          <w:rFonts w:eastAsiaTheme="minorEastAsia" w:cstheme="minorHAnsi"/>
          <w:sz w:val="24"/>
          <w:szCs w:val="24"/>
        </w:rPr>
        <w:t xml:space="preserve"> this information means that the only variation remaining in the treatment variable arises from the random </w:t>
      </w:r>
      <w:r w:rsidR="00C371FB">
        <w:rPr>
          <w:rFonts w:eastAsiaTheme="minorEastAsia" w:cstheme="minorHAnsi"/>
          <w:sz w:val="24"/>
          <w:szCs w:val="24"/>
        </w:rPr>
        <w:lastRenderedPageBreak/>
        <w:t>assignment of the ranking value (which determines their priority in the queue, and thus the likelihood that they are selected for treatment).The variable</w:t>
      </w:r>
      <w:r w:rsidR="00365D54" w:rsidRPr="00CA3D79">
        <w:rPr>
          <w:rFonts w:eastAsiaTheme="minorEastAsia" w:cstheme="minorHAnsi"/>
          <w:sz w:val="24"/>
          <w:szCs w:val="24"/>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ϵ</m:t>
            </m:r>
          </m:e>
          <m:sub>
            <m:r>
              <w:rPr>
                <w:rFonts w:ascii="Cambria Math" w:hAnsi="Cambria Math" w:cstheme="minorHAnsi"/>
                <w:sz w:val="24"/>
                <w:szCs w:val="24"/>
              </w:rPr>
              <m:t>i</m:t>
            </m:r>
          </m:sub>
        </m:sSub>
      </m:oMath>
      <w:r w:rsidR="00365D54" w:rsidRPr="00CA3D79">
        <w:rPr>
          <w:rFonts w:eastAsiaTheme="minorEastAsia" w:cstheme="minorHAnsi"/>
          <w:sz w:val="24"/>
          <w:szCs w:val="24"/>
        </w:rPr>
        <w:t xml:space="preserve"> is a normally distributed error term. Following the design-based clustering logic in Abadie et al (2017), we will not cluster the data in these </w:t>
      </w:r>
      <w:r w:rsidR="00B24AA1" w:rsidRPr="00CA3D79">
        <w:rPr>
          <w:rFonts w:eastAsiaTheme="minorEastAsia" w:cstheme="minorHAnsi"/>
          <w:sz w:val="24"/>
          <w:szCs w:val="24"/>
        </w:rPr>
        <w:t>cross-</w:t>
      </w:r>
      <w:r w:rsidR="00365D54" w:rsidRPr="00CA3D79">
        <w:rPr>
          <w:rFonts w:eastAsiaTheme="minorEastAsia" w:cstheme="minorHAnsi"/>
          <w:sz w:val="24"/>
          <w:szCs w:val="24"/>
        </w:rPr>
        <w:t xml:space="preserve">sectional regressions. We will </w:t>
      </w:r>
      <w:proofErr w:type="spellStart"/>
      <w:r w:rsidR="00365D54" w:rsidRPr="00CA3D79">
        <w:rPr>
          <w:rFonts w:eastAsiaTheme="minorEastAsia" w:cstheme="minorHAnsi"/>
          <w:sz w:val="24"/>
          <w:szCs w:val="24"/>
        </w:rPr>
        <w:t>weight</w:t>
      </w:r>
      <w:proofErr w:type="spellEnd"/>
      <w:r w:rsidR="00365D54" w:rsidRPr="00CA3D79">
        <w:rPr>
          <w:rFonts w:eastAsiaTheme="minorEastAsia" w:cstheme="minorHAnsi"/>
          <w:sz w:val="24"/>
          <w:szCs w:val="24"/>
        </w:rPr>
        <w:t xml:space="preserve"> the observations based on the likelihood that they are sorted into treatment (</w:t>
      </w:r>
      <w:r w:rsidR="00C371FB">
        <w:rPr>
          <w:rFonts w:eastAsiaTheme="minorEastAsia" w:cstheme="minorHAnsi"/>
          <w:sz w:val="24"/>
          <w:szCs w:val="24"/>
        </w:rPr>
        <w:t>which we calculate with a logistic regression</w:t>
      </w:r>
      <w:r w:rsidR="00365D54" w:rsidRPr="00CA3D79">
        <w:rPr>
          <w:rFonts w:eastAsiaTheme="minorEastAsia" w:cstheme="minorHAnsi"/>
          <w:sz w:val="24"/>
          <w:szCs w:val="24"/>
        </w:rPr>
        <w:t>). We will study heterogenous</w:t>
      </w:r>
      <w:r w:rsidR="008B726A">
        <w:rPr>
          <w:rFonts w:eastAsiaTheme="minorEastAsia" w:cstheme="minorHAnsi"/>
          <w:sz w:val="24"/>
          <w:szCs w:val="24"/>
        </w:rPr>
        <w:t xml:space="preserve"> treatment</w:t>
      </w:r>
      <w:r w:rsidR="00365D54" w:rsidRPr="00CA3D79">
        <w:rPr>
          <w:rFonts w:eastAsiaTheme="minorEastAsia" w:cstheme="minorHAnsi"/>
          <w:sz w:val="24"/>
          <w:szCs w:val="24"/>
        </w:rPr>
        <w:t xml:space="preserve"> effects </w:t>
      </w:r>
      <w:r w:rsidR="008B726A">
        <w:rPr>
          <w:rFonts w:eastAsiaTheme="minorEastAsia" w:cstheme="minorHAnsi"/>
          <w:sz w:val="24"/>
          <w:szCs w:val="24"/>
        </w:rPr>
        <w:t>by age</w:t>
      </w:r>
      <w:r w:rsidR="00105EEE" w:rsidRPr="00CA3D79">
        <w:rPr>
          <w:rFonts w:eastAsiaTheme="minorEastAsia" w:cstheme="minorHAnsi"/>
          <w:sz w:val="24"/>
          <w:szCs w:val="24"/>
        </w:rPr>
        <w:t>, occupation, industry</w:t>
      </w:r>
      <w:r w:rsidR="008B726A">
        <w:rPr>
          <w:rFonts w:eastAsiaTheme="minorEastAsia" w:cstheme="minorHAnsi"/>
          <w:sz w:val="24"/>
          <w:szCs w:val="24"/>
        </w:rPr>
        <w:t>, and other variables as well</w:t>
      </w:r>
      <w:r w:rsidR="00365D54" w:rsidRPr="00CA3D79">
        <w:rPr>
          <w:rFonts w:eastAsiaTheme="minorEastAsia" w:cstheme="minorHAnsi"/>
          <w:sz w:val="24"/>
          <w:szCs w:val="24"/>
        </w:rPr>
        <w:t xml:space="preserve">. </w:t>
      </w:r>
    </w:p>
    <w:p w14:paraId="0D85A8BA" w14:textId="6DFC9653" w:rsidR="0013183B" w:rsidRPr="00083B0C" w:rsidRDefault="0013183B" w:rsidP="00083B0C">
      <w:pPr>
        <w:pStyle w:val="ListParagraph"/>
        <w:numPr>
          <w:ilvl w:val="0"/>
          <w:numId w:val="6"/>
        </w:numPr>
        <w:spacing w:line="240" w:lineRule="auto"/>
        <w:rPr>
          <w:rFonts w:cstheme="minorHAnsi"/>
          <w:szCs w:val="24"/>
        </w:rPr>
      </w:pPr>
      <w:r w:rsidRPr="00083B0C">
        <w:rPr>
          <w:rFonts w:cstheme="minorHAnsi"/>
          <w:b/>
          <w:bCs/>
          <w:szCs w:val="24"/>
        </w:rPr>
        <w:t>Works Cited</w:t>
      </w:r>
    </w:p>
    <w:p w14:paraId="1734D4CD" w14:textId="60D46C46" w:rsidR="0013183B" w:rsidRPr="0013183B" w:rsidRDefault="0013183B" w:rsidP="0013183B">
      <w:pPr>
        <w:pStyle w:val="ListParagraph"/>
        <w:spacing w:line="240" w:lineRule="auto"/>
        <w:rPr>
          <w:rFonts w:asciiTheme="minorHAnsi" w:hAnsiTheme="minorHAnsi" w:cstheme="minorHAnsi"/>
          <w:b/>
          <w:bCs/>
          <w:szCs w:val="24"/>
        </w:rPr>
      </w:pPr>
    </w:p>
    <w:p w14:paraId="496D380F" w14:textId="551584E0" w:rsidR="00E5467C" w:rsidRDefault="00E5467C" w:rsidP="0013183B">
      <w:pPr>
        <w:pStyle w:val="ListParagraph"/>
        <w:spacing w:line="240" w:lineRule="auto"/>
        <w:ind w:left="0"/>
        <w:rPr>
          <w:rFonts w:asciiTheme="minorHAnsi" w:hAnsiTheme="minorHAnsi" w:cstheme="minorHAnsi"/>
          <w:color w:val="222222"/>
          <w:szCs w:val="24"/>
          <w:shd w:val="clear" w:color="auto" w:fill="FFFFFF"/>
        </w:rPr>
      </w:pPr>
      <w:r w:rsidRPr="00E5467C">
        <w:rPr>
          <w:rFonts w:asciiTheme="minorHAnsi" w:hAnsiTheme="minorHAnsi" w:cstheme="minorHAnsi"/>
          <w:color w:val="222222"/>
          <w:szCs w:val="24"/>
          <w:shd w:val="clear" w:color="auto" w:fill="FFFFFF"/>
        </w:rPr>
        <w:t xml:space="preserve">Abadie, A., </w:t>
      </w:r>
      <w:proofErr w:type="spellStart"/>
      <w:r w:rsidRPr="00E5467C">
        <w:rPr>
          <w:rFonts w:asciiTheme="minorHAnsi" w:hAnsiTheme="minorHAnsi" w:cstheme="minorHAnsi"/>
          <w:color w:val="222222"/>
          <w:szCs w:val="24"/>
          <w:shd w:val="clear" w:color="auto" w:fill="FFFFFF"/>
        </w:rPr>
        <w:t>Athey</w:t>
      </w:r>
      <w:proofErr w:type="spellEnd"/>
      <w:r w:rsidRPr="00E5467C">
        <w:rPr>
          <w:rFonts w:asciiTheme="minorHAnsi" w:hAnsiTheme="minorHAnsi" w:cstheme="minorHAnsi"/>
          <w:color w:val="222222"/>
          <w:szCs w:val="24"/>
          <w:shd w:val="clear" w:color="auto" w:fill="FFFFFF"/>
        </w:rPr>
        <w:t xml:space="preserve">, S., </w:t>
      </w:r>
      <w:proofErr w:type="spellStart"/>
      <w:r w:rsidRPr="00E5467C">
        <w:rPr>
          <w:rFonts w:asciiTheme="minorHAnsi" w:hAnsiTheme="minorHAnsi" w:cstheme="minorHAnsi"/>
          <w:color w:val="222222"/>
          <w:szCs w:val="24"/>
          <w:shd w:val="clear" w:color="auto" w:fill="FFFFFF"/>
        </w:rPr>
        <w:t>Imbens</w:t>
      </w:r>
      <w:proofErr w:type="spellEnd"/>
      <w:r w:rsidRPr="00E5467C">
        <w:rPr>
          <w:rFonts w:asciiTheme="minorHAnsi" w:hAnsiTheme="minorHAnsi" w:cstheme="minorHAnsi"/>
          <w:color w:val="222222"/>
          <w:szCs w:val="24"/>
          <w:shd w:val="clear" w:color="auto" w:fill="FFFFFF"/>
        </w:rPr>
        <w:t xml:space="preserve">, G. W., &amp; Wooldridge, J. (2017). When should you adjust standard errors for clustering? (No. w24003). </w:t>
      </w:r>
      <w:r w:rsidRPr="00E5467C">
        <w:rPr>
          <w:rFonts w:asciiTheme="minorHAnsi" w:hAnsiTheme="minorHAnsi" w:cstheme="minorHAnsi"/>
          <w:i/>
          <w:iCs/>
          <w:color w:val="222222"/>
          <w:szCs w:val="24"/>
          <w:shd w:val="clear" w:color="auto" w:fill="FFFFFF"/>
        </w:rPr>
        <w:t>National Bureau of Economic Research.</w:t>
      </w:r>
    </w:p>
    <w:p w14:paraId="35977565" w14:textId="77777777" w:rsidR="00E5467C" w:rsidRDefault="00E5467C" w:rsidP="0013183B">
      <w:pPr>
        <w:pStyle w:val="ListParagraph"/>
        <w:spacing w:line="240" w:lineRule="auto"/>
        <w:ind w:left="0"/>
        <w:rPr>
          <w:rFonts w:asciiTheme="minorHAnsi" w:hAnsiTheme="minorHAnsi" w:cstheme="minorHAnsi"/>
          <w:color w:val="222222"/>
          <w:szCs w:val="24"/>
          <w:shd w:val="clear" w:color="auto" w:fill="FFFFFF"/>
        </w:rPr>
      </w:pPr>
    </w:p>
    <w:p w14:paraId="504AB549" w14:textId="5516093C" w:rsidR="0013183B" w:rsidRPr="0013183B" w:rsidRDefault="0013183B" w:rsidP="0013183B">
      <w:pPr>
        <w:pStyle w:val="ListParagraph"/>
        <w:spacing w:line="240" w:lineRule="auto"/>
        <w:ind w:left="0"/>
        <w:rPr>
          <w:rFonts w:asciiTheme="minorHAnsi" w:hAnsiTheme="minorHAnsi" w:cstheme="minorHAnsi"/>
          <w:color w:val="222222"/>
          <w:szCs w:val="24"/>
          <w:shd w:val="clear" w:color="auto" w:fill="FFFFFF"/>
        </w:rPr>
      </w:pPr>
      <w:r w:rsidRPr="0013183B">
        <w:rPr>
          <w:rFonts w:asciiTheme="minorHAnsi" w:hAnsiTheme="minorHAnsi" w:cstheme="minorHAnsi"/>
          <w:color w:val="222222"/>
          <w:szCs w:val="24"/>
          <w:shd w:val="clear" w:color="auto" w:fill="FFFFFF"/>
        </w:rPr>
        <w:t xml:space="preserve">Abowd, J. M., </w:t>
      </w:r>
      <w:proofErr w:type="spellStart"/>
      <w:r w:rsidRPr="0013183B">
        <w:rPr>
          <w:rFonts w:asciiTheme="minorHAnsi" w:hAnsiTheme="minorHAnsi" w:cstheme="minorHAnsi"/>
          <w:color w:val="222222"/>
          <w:szCs w:val="24"/>
          <w:shd w:val="clear" w:color="auto" w:fill="FFFFFF"/>
        </w:rPr>
        <w:t>Kramarz</w:t>
      </w:r>
      <w:proofErr w:type="spellEnd"/>
      <w:r w:rsidRPr="0013183B">
        <w:rPr>
          <w:rFonts w:asciiTheme="minorHAnsi" w:hAnsiTheme="minorHAnsi" w:cstheme="minorHAnsi"/>
          <w:color w:val="222222"/>
          <w:szCs w:val="24"/>
          <w:shd w:val="clear" w:color="auto" w:fill="FFFFFF"/>
        </w:rPr>
        <w:t>, F., &amp; Margolis, D. N. (1999). High wage workers and high wage firms. </w:t>
      </w:r>
      <w:proofErr w:type="spellStart"/>
      <w:r w:rsidRPr="0013183B">
        <w:rPr>
          <w:rFonts w:asciiTheme="minorHAnsi" w:hAnsiTheme="minorHAnsi" w:cstheme="minorHAnsi"/>
          <w:i/>
          <w:iCs/>
          <w:color w:val="222222"/>
          <w:szCs w:val="24"/>
          <w:shd w:val="clear" w:color="auto" w:fill="FFFFFF"/>
        </w:rPr>
        <w:t>Econometrica</w:t>
      </w:r>
      <w:proofErr w:type="spellEnd"/>
      <w:r w:rsidRPr="0013183B">
        <w:rPr>
          <w:rFonts w:asciiTheme="minorHAnsi" w:hAnsiTheme="minorHAnsi" w:cstheme="minorHAnsi"/>
          <w:color w:val="222222"/>
          <w:szCs w:val="24"/>
          <w:shd w:val="clear" w:color="auto" w:fill="FFFFFF"/>
        </w:rPr>
        <w:t>, </w:t>
      </w:r>
      <w:r w:rsidRPr="0013183B">
        <w:rPr>
          <w:rFonts w:asciiTheme="minorHAnsi" w:hAnsiTheme="minorHAnsi" w:cstheme="minorHAnsi"/>
          <w:i/>
          <w:iCs/>
          <w:color w:val="222222"/>
          <w:szCs w:val="24"/>
          <w:shd w:val="clear" w:color="auto" w:fill="FFFFFF"/>
        </w:rPr>
        <w:t>67</w:t>
      </w:r>
      <w:r w:rsidRPr="0013183B">
        <w:rPr>
          <w:rFonts w:asciiTheme="minorHAnsi" w:hAnsiTheme="minorHAnsi" w:cstheme="minorHAnsi"/>
          <w:color w:val="222222"/>
          <w:szCs w:val="24"/>
          <w:shd w:val="clear" w:color="auto" w:fill="FFFFFF"/>
        </w:rPr>
        <w:t>(2), 251-333.</w:t>
      </w:r>
    </w:p>
    <w:p w14:paraId="62583CA6" w14:textId="6E1BA310" w:rsidR="0013183B" w:rsidRPr="0013183B" w:rsidRDefault="0013183B" w:rsidP="0013183B">
      <w:pPr>
        <w:pStyle w:val="ListParagraph"/>
        <w:spacing w:line="240" w:lineRule="auto"/>
        <w:ind w:left="0"/>
        <w:rPr>
          <w:rFonts w:asciiTheme="minorHAnsi" w:hAnsiTheme="minorHAnsi" w:cstheme="minorHAnsi"/>
          <w:color w:val="222222"/>
          <w:szCs w:val="24"/>
          <w:shd w:val="clear" w:color="auto" w:fill="FFFFFF"/>
        </w:rPr>
      </w:pPr>
    </w:p>
    <w:p w14:paraId="354B9932" w14:textId="29492E9C" w:rsidR="0013183B" w:rsidRPr="0013183B" w:rsidRDefault="0013183B" w:rsidP="0013183B">
      <w:pPr>
        <w:pStyle w:val="ListParagraph"/>
        <w:spacing w:line="240" w:lineRule="auto"/>
        <w:ind w:left="0"/>
        <w:rPr>
          <w:rFonts w:asciiTheme="minorHAnsi" w:hAnsiTheme="minorHAnsi" w:cstheme="minorHAnsi"/>
          <w:color w:val="222222"/>
          <w:szCs w:val="24"/>
          <w:shd w:val="clear" w:color="auto" w:fill="FFFFFF"/>
        </w:rPr>
      </w:pPr>
      <w:r w:rsidRPr="0013183B">
        <w:rPr>
          <w:rFonts w:asciiTheme="minorHAnsi" w:hAnsiTheme="minorHAnsi" w:cstheme="minorHAnsi"/>
          <w:color w:val="222222"/>
          <w:szCs w:val="24"/>
          <w:shd w:val="clear" w:color="auto" w:fill="FFFFFF"/>
        </w:rPr>
        <w:t xml:space="preserve">Farooq, A., Kugler, A. D., &amp; </w:t>
      </w:r>
      <w:proofErr w:type="spellStart"/>
      <w:r w:rsidRPr="0013183B">
        <w:rPr>
          <w:rFonts w:asciiTheme="minorHAnsi" w:hAnsiTheme="minorHAnsi" w:cstheme="minorHAnsi"/>
          <w:color w:val="222222"/>
          <w:szCs w:val="24"/>
          <w:shd w:val="clear" w:color="auto" w:fill="FFFFFF"/>
        </w:rPr>
        <w:t>Muratori</w:t>
      </w:r>
      <w:proofErr w:type="spellEnd"/>
      <w:r w:rsidRPr="0013183B">
        <w:rPr>
          <w:rFonts w:asciiTheme="minorHAnsi" w:hAnsiTheme="minorHAnsi" w:cstheme="minorHAnsi"/>
          <w:color w:val="222222"/>
          <w:szCs w:val="24"/>
          <w:shd w:val="clear" w:color="auto" w:fill="FFFFFF"/>
        </w:rPr>
        <w:t>, U. (2020). </w:t>
      </w:r>
      <w:r w:rsidRPr="00E5467C">
        <w:rPr>
          <w:rFonts w:asciiTheme="minorHAnsi" w:hAnsiTheme="minorHAnsi" w:cstheme="minorHAnsi"/>
          <w:color w:val="222222"/>
          <w:szCs w:val="24"/>
          <w:shd w:val="clear" w:color="auto" w:fill="FFFFFF"/>
        </w:rPr>
        <w:t xml:space="preserve">Do </w:t>
      </w:r>
      <w:r w:rsidR="0043581F">
        <w:rPr>
          <w:rFonts w:asciiTheme="minorHAnsi" w:hAnsiTheme="minorHAnsi" w:cstheme="minorHAnsi"/>
          <w:color w:val="222222"/>
          <w:szCs w:val="24"/>
          <w:shd w:val="clear" w:color="auto" w:fill="FFFFFF"/>
        </w:rPr>
        <w:t>u</w:t>
      </w:r>
      <w:r w:rsidRPr="00E5467C">
        <w:rPr>
          <w:rFonts w:asciiTheme="minorHAnsi" w:hAnsiTheme="minorHAnsi" w:cstheme="minorHAnsi"/>
          <w:color w:val="222222"/>
          <w:szCs w:val="24"/>
          <w:shd w:val="clear" w:color="auto" w:fill="FFFFFF"/>
        </w:rPr>
        <w:t xml:space="preserve">nemployment </w:t>
      </w:r>
      <w:r w:rsidR="0043581F">
        <w:rPr>
          <w:rFonts w:asciiTheme="minorHAnsi" w:hAnsiTheme="minorHAnsi" w:cstheme="minorHAnsi"/>
          <w:color w:val="222222"/>
          <w:szCs w:val="24"/>
          <w:shd w:val="clear" w:color="auto" w:fill="FFFFFF"/>
        </w:rPr>
        <w:t>i</w:t>
      </w:r>
      <w:r w:rsidRPr="00E5467C">
        <w:rPr>
          <w:rFonts w:asciiTheme="minorHAnsi" w:hAnsiTheme="minorHAnsi" w:cstheme="minorHAnsi"/>
          <w:color w:val="222222"/>
          <w:szCs w:val="24"/>
          <w:shd w:val="clear" w:color="auto" w:fill="FFFFFF"/>
        </w:rPr>
        <w:t xml:space="preserve">nsurance </w:t>
      </w:r>
      <w:r w:rsidR="0043581F">
        <w:rPr>
          <w:rFonts w:asciiTheme="minorHAnsi" w:hAnsiTheme="minorHAnsi" w:cstheme="minorHAnsi"/>
          <w:color w:val="222222"/>
          <w:szCs w:val="24"/>
          <w:shd w:val="clear" w:color="auto" w:fill="FFFFFF"/>
        </w:rPr>
        <w:t>b</w:t>
      </w:r>
      <w:r w:rsidRPr="00E5467C">
        <w:rPr>
          <w:rFonts w:asciiTheme="minorHAnsi" w:hAnsiTheme="minorHAnsi" w:cstheme="minorHAnsi"/>
          <w:color w:val="222222"/>
          <w:szCs w:val="24"/>
          <w:shd w:val="clear" w:color="auto" w:fill="FFFFFF"/>
        </w:rPr>
        <w:t xml:space="preserve">enefits </w:t>
      </w:r>
      <w:r w:rsidR="0043581F">
        <w:rPr>
          <w:rFonts w:asciiTheme="minorHAnsi" w:hAnsiTheme="minorHAnsi" w:cstheme="minorHAnsi"/>
          <w:color w:val="222222"/>
          <w:szCs w:val="24"/>
          <w:shd w:val="clear" w:color="auto" w:fill="FFFFFF"/>
        </w:rPr>
        <w:t>i</w:t>
      </w:r>
      <w:r w:rsidRPr="00E5467C">
        <w:rPr>
          <w:rFonts w:asciiTheme="minorHAnsi" w:hAnsiTheme="minorHAnsi" w:cstheme="minorHAnsi"/>
          <w:color w:val="222222"/>
          <w:szCs w:val="24"/>
          <w:shd w:val="clear" w:color="auto" w:fill="FFFFFF"/>
        </w:rPr>
        <w:t xml:space="preserve">mprove </w:t>
      </w:r>
      <w:r w:rsidR="0043581F">
        <w:rPr>
          <w:rFonts w:asciiTheme="minorHAnsi" w:hAnsiTheme="minorHAnsi" w:cstheme="minorHAnsi"/>
          <w:color w:val="222222"/>
          <w:szCs w:val="24"/>
          <w:shd w:val="clear" w:color="auto" w:fill="FFFFFF"/>
        </w:rPr>
        <w:t>m</w:t>
      </w:r>
      <w:r w:rsidRPr="00E5467C">
        <w:rPr>
          <w:rFonts w:asciiTheme="minorHAnsi" w:hAnsiTheme="minorHAnsi" w:cstheme="minorHAnsi"/>
          <w:color w:val="222222"/>
          <w:szCs w:val="24"/>
          <w:shd w:val="clear" w:color="auto" w:fill="FFFFFF"/>
        </w:rPr>
        <w:t xml:space="preserve">atch </w:t>
      </w:r>
      <w:r w:rsidR="0043581F">
        <w:rPr>
          <w:rFonts w:asciiTheme="minorHAnsi" w:hAnsiTheme="minorHAnsi" w:cstheme="minorHAnsi"/>
          <w:color w:val="222222"/>
          <w:szCs w:val="24"/>
          <w:shd w:val="clear" w:color="auto" w:fill="FFFFFF"/>
        </w:rPr>
        <w:t>q</w:t>
      </w:r>
      <w:r w:rsidRPr="00E5467C">
        <w:rPr>
          <w:rFonts w:asciiTheme="minorHAnsi" w:hAnsiTheme="minorHAnsi" w:cstheme="minorHAnsi"/>
          <w:color w:val="222222"/>
          <w:szCs w:val="24"/>
          <w:shd w:val="clear" w:color="auto" w:fill="FFFFFF"/>
        </w:rPr>
        <w:t xml:space="preserve">uality? Evidence from </w:t>
      </w:r>
      <w:r w:rsidR="0043581F">
        <w:rPr>
          <w:rFonts w:asciiTheme="minorHAnsi" w:hAnsiTheme="minorHAnsi" w:cstheme="minorHAnsi"/>
          <w:color w:val="222222"/>
          <w:szCs w:val="24"/>
          <w:shd w:val="clear" w:color="auto" w:fill="FFFFFF"/>
        </w:rPr>
        <w:t>r</w:t>
      </w:r>
      <w:r w:rsidRPr="00E5467C">
        <w:rPr>
          <w:rFonts w:asciiTheme="minorHAnsi" w:hAnsiTheme="minorHAnsi" w:cstheme="minorHAnsi"/>
          <w:color w:val="222222"/>
          <w:szCs w:val="24"/>
          <w:shd w:val="clear" w:color="auto" w:fill="FFFFFF"/>
        </w:rPr>
        <w:t xml:space="preserve">ecent US </w:t>
      </w:r>
      <w:r w:rsidR="0043581F">
        <w:rPr>
          <w:rFonts w:asciiTheme="minorHAnsi" w:hAnsiTheme="minorHAnsi" w:cstheme="minorHAnsi"/>
          <w:color w:val="222222"/>
          <w:szCs w:val="24"/>
          <w:shd w:val="clear" w:color="auto" w:fill="FFFFFF"/>
        </w:rPr>
        <w:t>r</w:t>
      </w:r>
      <w:r w:rsidRPr="00E5467C">
        <w:rPr>
          <w:rFonts w:asciiTheme="minorHAnsi" w:hAnsiTheme="minorHAnsi" w:cstheme="minorHAnsi"/>
          <w:color w:val="222222"/>
          <w:szCs w:val="24"/>
          <w:shd w:val="clear" w:color="auto" w:fill="FFFFFF"/>
        </w:rPr>
        <w:t>ecessions</w:t>
      </w:r>
      <w:r w:rsidRPr="0013183B">
        <w:rPr>
          <w:rFonts w:asciiTheme="minorHAnsi" w:hAnsiTheme="minorHAnsi" w:cstheme="minorHAnsi"/>
          <w:color w:val="222222"/>
          <w:szCs w:val="24"/>
          <w:shd w:val="clear" w:color="auto" w:fill="FFFFFF"/>
        </w:rPr>
        <w:t xml:space="preserve"> (No. w27574). </w:t>
      </w:r>
      <w:r w:rsidRPr="00E5467C">
        <w:rPr>
          <w:rFonts w:asciiTheme="minorHAnsi" w:hAnsiTheme="minorHAnsi" w:cstheme="minorHAnsi"/>
          <w:i/>
          <w:iCs/>
          <w:color w:val="222222"/>
          <w:szCs w:val="24"/>
          <w:shd w:val="clear" w:color="auto" w:fill="FFFFFF"/>
        </w:rPr>
        <w:t>National Bureau of Economic Research.</w:t>
      </w:r>
    </w:p>
    <w:p w14:paraId="161847C0" w14:textId="77777777" w:rsidR="0013183B" w:rsidRPr="0013183B" w:rsidRDefault="0013183B" w:rsidP="0013183B">
      <w:pPr>
        <w:pStyle w:val="ListParagraph"/>
        <w:spacing w:line="240" w:lineRule="auto"/>
        <w:ind w:left="0"/>
        <w:rPr>
          <w:rFonts w:asciiTheme="minorHAnsi" w:hAnsiTheme="minorHAnsi" w:cstheme="minorHAnsi"/>
          <w:szCs w:val="24"/>
        </w:rPr>
      </w:pPr>
    </w:p>
    <w:p w14:paraId="6B77C5A1" w14:textId="3F2F568D" w:rsidR="0013183B" w:rsidRPr="00D72634" w:rsidRDefault="0013183B" w:rsidP="0013183B">
      <w:pPr>
        <w:pStyle w:val="ListParagraph"/>
        <w:spacing w:line="240" w:lineRule="auto"/>
        <w:ind w:left="0"/>
        <w:rPr>
          <w:rFonts w:asciiTheme="minorHAnsi" w:hAnsiTheme="minorHAnsi" w:cstheme="minorHAnsi"/>
          <w:i/>
          <w:iCs/>
          <w:szCs w:val="24"/>
        </w:rPr>
      </w:pPr>
      <w:proofErr w:type="spellStart"/>
      <w:r w:rsidRPr="0013183B">
        <w:rPr>
          <w:rFonts w:asciiTheme="minorHAnsi" w:hAnsiTheme="minorHAnsi" w:cstheme="minorHAnsi"/>
          <w:szCs w:val="24"/>
        </w:rPr>
        <w:t>Klerman</w:t>
      </w:r>
      <w:proofErr w:type="spellEnd"/>
      <w:r w:rsidRPr="0013183B">
        <w:rPr>
          <w:rFonts w:asciiTheme="minorHAnsi" w:hAnsiTheme="minorHAnsi" w:cstheme="minorHAnsi"/>
          <w:szCs w:val="24"/>
        </w:rPr>
        <w:t xml:space="preserve">, J. A., Saunders, C., </w:t>
      </w:r>
      <w:proofErr w:type="spellStart"/>
      <w:r w:rsidRPr="0013183B">
        <w:rPr>
          <w:rFonts w:asciiTheme="minorHAnsi" w:hAnsiTheme="minorHAnsi" w:cstheme="minorHAnsi"/>
          <w:szCs w:val="24"/>
        </w:rPr>
        <w:t>Dastrup</w:t>
      </w:r>
      <w:proofErr w:type="spellEnd"/>
      <w:r w:rsidRPr="0013183B">
        <w:rPr>
          <w:rFonts w:asciiTheme="minorHAnsi" w:hAnsiTheme="minorHAnsi" w:cstheme="minorHAnsi"/>
          <w:szCs w:val="24"/>
        </w:rPr>
        <w:t xml:space="preserve">, E., Epstein, Z., Walton, D., Adam, T., &amp; </w:t>
      </w:r>
      <w:proofErr w:type="spellStart"/>
      <w:r w:rsidRPr="0013183B">
        <w:rPr>
          <w:rFonts w:asciiTheme="minorHAnsi" w:hAnsiTheme="minorHAnsi" w:cstheme="minorHAnsi"/>
          <w:szCs w:val="24"/>
        </w:rPr>
        <w:t>Barnow</w:t>
      </w:r>
      <w:proofErr w:type="spellEnd"/>
      <w:r w:rsidRPr="0013183B">
        <w:rPr>
          <w:rFonts w:asciiTheme="minorHAnsi" w:hAnsiTheme="minorHAnsi" w:cstheme="minorHAnsi"/>
          <w:szCs w:val="24"/>
        </w:rPr>
        <w:t xml:space="preserve">, B. S. (2019). </w:t>
      </w:r>
      <w:r w:rsidRPr="00D72634">
        <w:rPr>
          <w:rFonts w:asciiTheme="minorHAnsi" w:hAnsiTheme="minorHAnsi" w:cstheme="minorHAnsi"/>
          <w:szCs w:val="24"/>
        </w:rPr>
        <w:t>Evaluation of impacts of the Reemployment and Eligibility Assessment (REA) Program: Final report</w:t>
      </w:r>
      <w:r w:rsidRPr="00D72634">
        <w:rPr>
          <w:rFonts w:asciiTheme="minorHAnsi" w:hAnsiTheme="minorHAnsi" w:cstheme="minorHAnsi"/>
          <w:i/>
          <w:iCs/>
          <w:szCs w:val="24"/>
        </w:rPr>
        <w:t xml:space="preserve">. Cambridge, MA: </w:t>
      </w:r>
      <w:proofErr w:type="spellStart"/>
      <w:r w:rsidRPr="00D72634">
        <w:rPr>
          <w:rFonts w:asciiTheme="minorHAnsi" w:hAnsiTheme="minorHAnsi" w:cstheme="minorHAnsi"/>
          <w:i/>
          <w:iCs/>
          <w:szCs w:val="24"/>
        </w:rPr>
        <w:t>Abt</w:t>
      </w:r>
      <w:proofErr w:type="spellEnd"/>
      <w:r w:rsidRPr="00D72634">
        <w:rPr>
          <w:rFonts w:asciiTheme="minorHAnsi" w:hAnsiTheme="minorHAnsi" w:cstheme="minorHAnsi"/>
          <w:i/>
          <w:iCs/>
          <w:szCs w:val="24"/>
        </w:rPr>
        <w:t xml:space="preserve"> Associates.</w:t>
      </w:r>
    </w:p>
    <w:p w14:paraId="1B14ECE2" w14:textId="0CD05141" w:rsidR="0013183B" w:rsidRPr="00D72634" w:rsidRDefault="0013183B" w:rsidP="0013183B">
      <w:pPr>
        <w:pStyle w:val="ListParagraph"/>
        <w:spacing w:line="240" w:lineRule="auto"/>
        <w:ind w:left="0"/>
        <w:rPr>
          <w:rFonts w:asciiTheme="minorHAnsi" w:hAnsiTheme="minorHAnsi" w:cstheme="minorHAnsi"/>
          <w:i/>
          <w:iCs/>
          <w:color w:val="222222"/>
          <w:szCs w:val="24"/>
          <w:shd w:val="clear" w:color="auto" w:fill="FFFFFF"/>
        </w:rPr>
      </w:pPr>
    </w:p>
    <w:p w14:paraId="2EC9D21A" w14:textId="7F571073" w:rsidR="0013183B" w:rsidRPr="0013183B" w:rsidRDefault="0013183B" w:rsidP="0013183B">
      <w:pPr>
        <w:pStyle w:val="ListParagraph"/>
        <w:spacing w:line="240" w:lineRule="auto"/>
        <w:ind w:left="0"/>
        <w:rPr>
          <w:rFonts w:asciiTheme="minorHAnsi" w:hAnsiTheme="minorHAnsi" w:cstheme="minorHAnsi"/>
          <w:color w:val="222222"/>
          <w:szCs w:val="24"/>
          <w:shd w:val="clear" w:color="auto" w:fill="FFFFFF"/>
        </w:rPr>
      </w:pPr>
      <w:r w:rsidRPr="0013183B">
        <w:rPr>
          <w:rFonts w:asciiTheme="minorHAnsi" w:hAnsiTheme="minorHAnsi" w:cstheme="minorHAnsi"/>
          <w:color w:val="222222"/>
          <w:szCs w:val="24"/>
          <w:shd w:val="clear" w:color="auto" w:fill="FFFFFF"/>
        </w:rPr>
        <w:t>Lachowska, M., Mas, A., &amp; Woodbury, S. A. (2020). Sources of displaced workers' long-term earnings losses. </w:t>
      </w:r>
      <w:r w:rsidRPr="0013183B">
        <w:rPr>
          <w:rFonts w:asciiTheme="minorHAnsi" w:hAnsiTheme="minorHAnsi" w:cstheme="minorHAnsi"/>
          <w:i/>
          <w:iCs/>
          <w:color w:val="222222"/>
          <w:szCs w:val="24"/>
          <w:shd w:val="clear" w:color="auto" w:fill="FFFFFF"/>
        </w:rPr>
        <w:t>American Economic Review</w:t>
      </w:r>
      <w:r w:rsidRPr="0013183B">
        <w:rPr>
          <w:rFonts w:asciiTheme="minorHAnsi" w:hAnsiTheme="minorHAnsi" w:cstheme="minorHAnsi"/>
          <w:color w:val="222222"/>
          <w:szCs w:val="24"/>
          <w:shd w:val="clear" w:color="auto" w:fill="FFFFFF"/>
        </w:rPr>
        <w:t>, </w:t>
      </w:r>
      <w:r w:rsidRPr="0013183B">
        <w:rPr>
          <w:rFonts w:asciiTheme="minorHAnsi" w:hAnsiTheme="minorHAnsi" w:cstheme="minorHAnsi"/>
          <w:i/>
          <w:iCs/>
          <w:color w:val="222222"/>
          <w:szCs w:val="24"/>
          <w:shd w:val="clear" w:color="auto" w:fill="FFFFFF"/>
        </w:rPr>
        <w:t>110</w:t>
      </w:r>
      <w:r w:rsidRPr="0013183B">
        <w:rPr>
          <w:rFonts w:asciiTheme="minorHAnsi" w:hAnsiTheme="minorHAnsi" w:cstheme="minorHAnsi"/>
          <w:color w:val="222222"/>
          <w:szCs w:val="24"/>
          <w:shd w:val="clear" w:color="auto" w:fill="FFFFFF"/>
        </w:rPr>
        <w:t>(10), 3231-66.</w:t>
      </w:r>
    </w:p>
    <w:p w14:paraId="4A1EF799" w14:textId="0C03ED7C" w:rsidR="0013183B" w:rsidRPr="0013183B" w:rsidRDefault="0013183B" w:rsidP="0013183B">
      <w:pPr>
        <w:pStyle w:val="ListParagraph"/>
        <w:spacing w:line="240" w:lineRule="auto"/>
        <w:ind w:left="0"/>
        <w:rPr>
          <w:rFonts w:asciiTheme="minorHAnsi" w:hAnsiTheme="minorHAnsi" w:cstheme="minorHAnsi"/>
          <w:color w:val="222222"/>
          <w:szCs w:val="24"/>
          <w:shd w:val="clear" w:color="auto" w:fill="FFFFFF"/>
        </w:rPr>
      </w:pPr>
    </w:p>
    <w:p w14:paraId="0DBA55C3" w14:textId="576DFFF9" w:rsidR="0013183B" w:rsidRPr="0013183B" w:rsidRDefault="0013183B" w:rsidP="0013183B">
      <w:pPr>
        <w:pStyle w:val="ListParagraph"/>
        <w:spacing w:line="240" w:lineRule="auto"/>
        <w:ind w:left="0"/>
        <w:rPr>
          <w:rFonts w:asciiTheme="minorHAnsi" w:hAnsiTheme="minorHAnsi" w:cstheme="minorHAnsi"/>
          <w:color w:val="222222"/>
          <w:szCs w:val="24"/>
          <w:shd w:val="clear" w:color="auto" w:fill="FFFFFF"/>
        </w:rPr>
      </w:pPr>
      <w:r w:rsidRPr="0013183B">
        <w:rPr>
          <w:rFonts w:asciiTheme="minorHAnsi" w:hAnsiTheme="minorHAnsi" w:cstheme="minorHAnsi"/>
          <w:color w:val="222222"/>
          <w:szCs w:val="24"/>
          <w:shd w:val="clear" w:color="auto" w:fill="FFFFFF"/>
        </w:rPr>
        <w:t>Woodcock, S. D. (2015). Match effects. </w:t>
      </w:r>
      <w:r w:rsidRPr="0013183B">
        <w:rPr>
          <w:rFonts w:asciiTheme="minorHAnsi" w:hAnsiTheme="minorHAnsi" w:cstheme="minorHAnsi"/>
          <w:i/>
          <w:iCs/>
          <w:color w:val="222222"/>
          <w:szCs w:val="24"/>
          <w:shd w:val="clear" w:color="auto" w:fill="FFFFFF"/>
        </w:rPr>
        <w:t>Research in Economics</w:t>
      </w:r>
      <w:r w:rsidRPr="0013183B">
        <w:rPr>
          <w:rFonts w:asciiTheme="minorHAnsi" w:hAnsiTheme="minorHAnsi" w:cstheme="minorHAnsi"/>
          <w:color w:val="222222"/>
          <w:szCs w:val="24"/>
          <w:shd w:val="clear" w:color="auto" w:fill="FFFFFF"/>
        </w:rPr>
        <w:t>, </w:t>
      </w:r>
      <w:r w:rsidRPr="0013183B">
        <w:rPr>
          <w:rFonts w:asciiTheme="minorHAnsi" w:hAnsiTheme="minorHAnsi" w:cstheme="minorHAnsi"/>
          <w:i/>
          <w:iCs/>
          <w:color w:val="222222"/>
          <w:szCs w:val="24"/>
          <w:shd w:val="clear" w:color="auto" w:fill="FFFFFF"/>
        </w:rPr>
        <w:t>69</w:t>
      </w:r>
      <w:r w:rsidRPr="0013183B">
        <w:rPr>
          <w:rFonts w:asciiTheme="minorHAnsi" w:hAnsiTheme="minorHAnsi" w:cstheme="minorHAnsi"/>
          <w:color w:val="222222"/>
          <w:szCs w:val="24"/>
          <w:shd w:val="clear" w:color="auto" w:fill="FFFFFF"/>
        </w:rPr>
        <w:t>(1), 100-121.</w:t>
      </w:r>
    </w:p>
    <w:sectPr w:rsidR="0013183B" w:rsidRPr="0013183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69E51" w14:textId="77777777" w:rsidR="005D393E" w:rsidRDefault="005D393E" w:rsidP="00474999">
      <w:pPr>
        <w:spacing w:after="0" w:line="240" w:lineRule="auto"/>
      </w:pPr>
      <w:r>
        <w:separator/>
      </w:r>
    </w:p>
  </w:endnote>
  <w:endnote w:type="continuationSeparator" w:id="0">
    <w:p w14:paraId="3D592703" w14:textId="77777777" w:rsidR="005D393E" w:rsidRDefault="005D393E" w:rsidP="00474999">
      <w:pPr>
        <w:spacing w:after="0" w:line="240" w:lineRule="auto"/>
      </w:pPr>
      <w:r>
        <w:continuationSeparator/>
      </w:r>
    </w:p>
  </w:endnote>
  <w:endnote w:type="continuationNotice" w:id="1">
    <w:p w14:paraId="7C90C8B8" w14:textId="77777777" w:rsidR="005D393E" w:rsidRDefault="005D39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BB388" w14:textId="77777777" w:rsidR="005D393E" w:rsidRDefault="005D393E" w:rsidP="00474999">
      <w:pPr>
        <w:spacing w:after="0" w:line="240" w:lineRule="auto"/>
      </w:pPr>
      <w:r>
        <w:separator/>
      </w:r>
    </w:p>
  </w:footnote>
  <w:footnote w:type="continuationSeparator" w:id="0">
    <w:p w14:paraId="419E4C22" w14:textId="77777777" w:rsidR="005D393E" w:rsidRDefault="005D393E" w:rsidP="00474999">
      <w:pPr>
        <w:spacing w:after="0" w:line="240" w:lineRule="auto"/>
      </w:pPr>
      <w:r>
        <w:continuationSeparator/>
      </w:r>
    </w:p>
  </w:footnote>
  <w:footnote w:type="continuationNotice" w:id="1">
    <w:p w14:paraId="33E78895" w14:textId="77777777" w:rsidR="005D393E" w:rsidRDefault="005D393E">
      <w:pPr>
        <w:spacing w:after="0" w:line="240" w:lineRule="auto"/>
      </w:pPr>
    </w:p>
  </w:footnote>
  <w:footnote w:id="2">
    <w:p w14:paraId="031F0357" w14:textId="210C5C0D" w:rsidR="004C3A29" w:rsidRDefault="004C3A29">
      <w:pPr>
        <w:pStyle w:val="FootnoteText"/>
      </w:pPr>
      <w:r>
        <w:rPr>
          <w:rStyle w:val="FootnoteReference"/>
        </w:rPr>
        <w:footnoteRef/>
      </w:r>
      <w:r>
        <w:t xml:space="preserve"> All authors are affiliated with the Washington state’s Employment Security Department. </w:t>
      </w:r>
    </w:p>
  </w:footnote>
  <w:footnote w:id="3">
    <w:p w14:paraId="4688E538" w14:textId="540C28AB" w:rsidR="00B32684" w:rsidRDefault="00B32684">
      <w:pPr>
        <w:pStyle w:val="FootnoteText"/>
      </w:pPr>
      <w:r>
        <w:rPr>
          <w:rStyle w:val="FootnoteReference"/>
        </w:rPr>
        <w:footnoteRef/>
      </w:r>
      <w:r>
        <w:t xml:space="preserve"> The ESD keeps administrative records that include demographic information. This information is collected via the UI application process, and from covered employers</w:t>
      </w:r>
      <w:r w:rsidR="00325391">
        <w:t>’</w:t>
      </w:r>
      <w:r>
        <w:t xml:space="preserve"> tax records.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7063D"/>
    <w:multiLevelType w:val="multilevel"/>
    <w:tmpl w:val="21B6C83E"/>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6312960"/>
    <w:multiLevelType w:val="multilevel"/>
    <w:tmpl w:val="EAB236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8362BFB"/>
    <w:multiLevelType w:val="hybridMultilevel"/>
    <w:tmpl w:val="0502A0C6"/>
    <w:lvl w:ilvl="0" w:tplc="04090011">
      <w:start w:val="1"/>
      <w:numFmt w:val="decimal"/>
      <w:lvlText w:val="%1)"/>
      <w:lvlJc w:val="left"/>
      <w:pPr>
        <w:ind w:left="767" w:hanging="360"/>
      </w:p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3" w15:restartNumberingAfterBreak="0">
    <w:nsid w:val="3A812B52"/>
    <w:multiLevelType w:val="hybridMultilevel"/>
    <w:tmpl w:val="8FB81F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0D271C"/>
    <w:multiLevelType w:val="hybridMultilevel"/>
    <w:tmpl w:val="D04470FA"/>
    <w:lvl w:ilvl="0" w:tplc="89DC4858">
      <w:start w:val="1"/>
      <w:numFmt w:val="decimal"/>
      <w:lvlText w:val="(%1)"/>
      <w:lvlJc w:val="left"/>
      <w:pPr>
        <w:ind w:left="720" w:hanging="360"/>
      </w:pPr>
      <w:rPr>
        <w:rFonts w:asciiTheme="minorHAnsi" w:eastAsiaTheme="minorHAnsi" w:hAnsiTheme="minorHAnsi" w:cstheme="minorHAnsi"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523AC4"/>
    <w:multiLevelType w:val="hybridMultilevel"/>
    <w:tmpl w:val="A90224A8"/>
    <w:lvl w:ilvl="0" w:tplc="97F6637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15E"/>
    <w:rsid w:val="00024DBA"/>
    <w:rsid w:val="000420A5"/>
    <w:rsid w:val="00054D29"/>
    <w:rsid w:val="00073EDF"/>
    <w:rsid w:val="00083189"/>
    <w:rsid w:val="00083B0C"/>
    <w:rsid w:val="00093A2F"/>
    <w:rsid w:val="000A0D9F"/>
    <w:rsid w:val="000A57B9"/>
    <w:rsid w:val="000B051B"/>
    <w:rsid w:val="000C3190"/>
    <w:rsid w:val="000C66F1"/>
    <w:rsid w:val="000F130F"/>
    <w:rsid w:val="00103860"/>
    <w:rsid w:val="00105EEE"/>
    <w:rsid w:val="00114AAE"/>
    <w:rsid w:val="00121E17"/>
    <w:rsid w:val="001244B4"/>
    <w:rsid w:val="0013183B"/>
    <w:rsid w:val="0014334E"/>
    <w:rsid w:val="00146958"/>
    <w:rsid w:val="00147FA9"/>
    <w:rsid w:val="00155EA4"/>
    <w:rsid w:val="00173A68"/>
    <w:rsid w:val="001A7B7B"/>
    <w:rsid w:val="001B2055"/>
    <w:rsid w:val="001C3FD3"/>
    <w:rsid w:val="001D7C96"/>
    <w:rsid w:val="001E1280"/>
    <w:rsid w:val="001E6A52"/>
    <w:rsid w:val="001F355F"/>
    <w:rsid w:val="00207330"/>
    <w:rsid w:val="00215D22"/>
    <w:rsid w:val="002221BE"/>
    <w:rsid w:val="002271CA"/>
    <w:rsid w:val="00233B3B"/>
    <w:rsid w:val="00236013"/>
    <w:rsid w:val="0025599A"/>
    <w:rsid w:val="00266FD4"/>
    <w:rsid w:val="0027245C"/>
    <w:rsid w:val="002768FC"/>
    <w:rsid w:val="002803EB"/>
    <w:rsid w:val="00285BB0"/>
    <w:rsid w:val="002C0EF2"/>
    <w:rsid w:val="002C3573"/>
    <w:rsid w:val="002D06F1"/>
    <w:rsid w:val="002D6971"/>
    <w:rsid w:val="002E249C"/>
    <w:rsid w:val="002F378A"/>
    <w:rsid w:val="00305BE0"/>
    <w:rsid w:val="00306996"/>
    <w:rsid w:val="00325391"/>
    <w:rsid w:val="00336FA8"/>
    <w:rsid w:val="00354B2C"/>
    <w:rsid w:val="00365D54"/>
    <w:rsid w:val="00366212"/>
    <w:rsid w:val="00367EFF"/>
    <w:rsid w:val="00386FFE"/>
    <w:rsid w:val="003911AF"/>
    <w:rsid w:val="003A09AA"/>
    <w:rsid w:val="003C34E7"/>
    <w:rsid w:val="003D6D11"/>
    <w:rsid w:val="003E4C06"/>
    <w:rsid w:val="003E726A"/>
    <w:rsid w:val="00402B2F"/>
    <w:rsid w:val="00402DF9"/>
    <w:rsid w:val="00416087"/>
    <w:rsid w:val="00430B72"/>
    <w:rsid w:val="00433B4D"/>
    <w:rsid w:val="0043581F"/>
    <w:rsid w:val="00437094"/>
    <w:rsid w:val="00447686"/>
    <w:rsid w:val="00452F98"/>
    <w:rsid w:val="0046083C"/>
    <w:rsid w:val="00474999"/>
    <w:rsid w:val="00476FEE"/>
    <w:rsid w:val="00490066"/>
    <w:rsid w:val="004C0365"/>
    <w:rsid w:val="004C3A29"/>
    <w:rsid w:val="004C7A58"/>
    <w:rsid w:val="004D2BCC"/>
    <w:rsid w:val="004D2DE8"/>
    <w:rsid w:val="004E4E22"/>
    <w:rsid w:val="004F7C6C"/>
    <w:rsid w:val="00502A43"/>
    <w:rsid w:val="0050369A"/>
    <w:rsid w:val="00503705"/>
    <w:rsid w:val="00505B0C"/>
    <w:rsid w:val="00506133"/>
    <w:rsid w:val="00516A04"/>
    <w:rsid w:val="00517901"/>
    <w:rsid w:val="00553308"/>
    <w:rsid w:val="00566C8A"/>
    <w:rsid w:val="00587F3F"/>
    <w:rsid w:val="00593366"/>
    <w:rsid w:val="005A7BE9"/>
    <w:rsid w:val="005D393E"/>
    <w:rsid w:val="005E121C"/>
    <w:rsid w:val="005F77F7"/>
    <w:rsid w:val="00601DA7"/>
    <w:rsid w:val="00642EB6"/>
    <w:rsid w:val="00645870"/>
    <w:rsid w:val="006500FC"/>
    <w:rsid w:val="00651E46"/>
    <w:rsid w:val="006605C6"/>
    <w:rsid w:val="00664D74"/>
    <w:rsid w:val="00695A1F"/>
    <w:rsid w:val="006C68A9"/>
    <w:rsid w:val="006F6DB8"/>
    <w:rsid w:val="007145F7"/>
    <w:rsid w:val="007171EF"/>
    <w:rsid w:val="00720A04"/>
    <w:rsid w:val="00731EB7"/>
    <w:rsid w:val="00774C77"/>
    <w:rsid w:val="007946F7"/>
    <w:rsid w:val="007A2799"/>
    <w:rsid w:val="007D48D8"/>
    <w:rsid w:val="007E7B9D"/>
    <w:rsid w:val="007F18FF"/>
    <w:rsid w:val="00837273"/>
    <w:rsid w:val="00840431"/>
    <w:rsid w:val="00842A46"/>
    <w:rsid w:val="0087183C"/>
    <w:rsid w:val="00887DD3"/>
    <w:rsid w:val="00892F0F"/>
    <w:rsid w:val="008B32F0"/>
    <w:rsid w:val="008B726A"/>
    <w:rsid w:val="008D2A10"/>
    <w:rsid w:val="008D3820"/>
    <w:rsid w:val="008F293D"/>
    <w:rsid w:val="008F716C"/>
    <w:rsid w:val="00904839"/>
    <w:rsid w:val="00923992"/>
    <w:rsid w:val="0093075D"/>
    <w:rsid w:val="0094574C"/>
    <w:rsid w:val="009461C2"/>
    <w:rsid w:val="009B6F3C"/>
    <w:rsid w:val="009C3D8E"/>
    <w:rsid w:val="009C5A9C"/>
    <w:rsid w:val="009E799A"/>
    <w:rsid w:val="00A02D46"/>
    <w:rsid w:val="00A03D14"/>
    <w:rsid w:val="00A04107"/>
    <w:rsid w:val="00A32C6E"/>
    <w:rsid w:val="00A44BC7"/>
    <w:rsid w:val="00A46D8F"/>
    <w:rsid w:val="00A835B6"/>
    <w:rsid w:val="00A8622D"/>
    <w:rsid w:val="00AA6518"/>
    <w:rsid w:val="00AC4F87"/>
    <w:rsid w:val="00AE3BC2"/>
    <w:rsid w:val="00AF5CAD"/>
    <w:rsid w:val="00B0124E"/>
    <w:rsid w:val="00B16C7E"/>
    <w:rsid w:val="00B20CC7"/>
    <w:rsid w:val="00B24AA1"/>
    <w:rsid w:val="00B2549F"/>
    <w:rsid w:val="00B32684"/>
    <w:rsid w:val="00B54684"/>
    <w:rsid w:val="00B638FF"/>
    <w:rsid w:val="00B70B7E"/>
    <w:rsid w:val="00B812FD"/>
    <w:rsid w:val="00B866A8"/>
    <w:rsid w:val="00BE4189"/>
    <w:rsid w:val="00C001DD"/>
    <w:rsid w:val="00C371FB"/>
    <w:rsid w:val="00C4154C"/>
    <w:rsid w:val="00C467E3"/>
    <w:rsid w:val="00C5737D"/>
    <w:rsid w:val="00C574C0"/>
    <w:rsid w:val="00C606A1"/>
    <w:rsid w:val="00C8407F"/>
    <w:rsid w:val="00C86B12"/>
    <w:rsid w:val="00C93BFC"/>
    <w:rsid w:val="00CA3D79"/>
    <w:rsid w:val="00CD6488"/>
    <w:rsid w:val="00CE142F"/>
    <w:rsid w:val="00CF6D36"/>
    <w:rsid w:val="00D05E83"/>
    <w:rsid w:val="00D212F7"/>
    <w:rsid w:val="00D30979"/>
    <w:rsid w:val="00D32883"/>
    <w:rsid w:val="00D33308"/>
    <w:rsid w:val="00D707AF"/>
    <w:rsid w:val="00D72634"/>
    <w:rsid w:val="00D7560C"/>
    <w:rsid w:val="00D97779"/>
    <w:rsid w:val="00DA3CBD"/>
    <w:rsid w:val="00DB3932"/>
    <w:rsid w:val="00DC515E"/>
    <w:rsid w:val="00DD5B23"/>
    <w:rsid w:val="00DE1213"/>
    <w:rsid w:val="00DE4500"/>
    <w:rsid w:val="00DF1827"/>
    <w:rsid w:val="00E12FA5"/>
    <w:rsid w:val="00E140FC"/>
    <w:rsid w:val="00E158AC"/>
    <w:rsid w:val="00E2197A"/>
    <w:rsid w:val="00E405A3"/>
    <w:rsid w:val="00E522DB"/>
    <w:rsid w:val="00E5467C"/>
    <w:rsid w:val="00E853EE"/>
    <w:rsid w:val="00E86A35"/>
    <w:rsid w:val="00E9325F"/>
    <w:rsid w:val="00EA0CB1"/>
    <w:rsid w:val="00EA55CF"/>
    <w:rsid w:val="00ED45CC"/>
    <w:rsid w:val="00EE3151"/>
    <w:rsid w:val="00EE4A7A"/>
    <w:rsid w:val="00F15182"/>
    <w:rsid w:val="00F20045"/>
    <w:rsid w:val="00F22EF2"/>
    <w:rsid w:val="00F42B2F"/>
    <w:rsid w:val="00F46AE8"/>
    <w:rsid w:val="00F54DC7"/>
    <w:rsid w:val="00F7031B"/>
    <w:rsid w:val="00F9394E"/>
    <w:rsid w:val="00F95C95"/>
    <w:rsid w:val="00F9682A"/>
    <w:rsid w:val="00FA6644"/>
    <w:rsid w:val="00FB2F9C"/>
    <w:rsid w:val="00FC7B13"/>
    <w:rsid w:val="00FE0885"/>
    <w:rsid w:val="4C0289EE"/>
    <w:rsid w:val="575A211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75952"/>
  <w15:chartTrackingRefBased/>
  <w15:docId w15:val="{4360CE05-5FB6-4B6C-813B-5ABE21C4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A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51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15E"/>
    <w:rPr>
      <w:rFonts w:ascii="Segoe UI" w:hAnsi="Segoe UI" w:cs="Segoe UI"/>
      <w:sz w:val="18"/>
      <w:szCs w:val="18"/>
    </w:rPr>
  </w:style>
  <w:style w:type="paragraph" w:styleId="ListParagraph">
    <w:name w:val="List Paragraph"/>
    <w:basedOn w:val="Normal"/>
    <w:uiPriority w:val="34"/>
    <w:qFormat/>
    <w:rsid w:val="00642EB6"/>
    <w:pPr>
      <w:ind w:left="720"/>
      <w:contextualSpacing/>
    </w:pPr>
    <w:rPr>
      <w:rFonts w:ascii="Garamond" w:hAnsi="Garamond"/>
      <w:sz w:val="24"/>
    </w:rPr>
  </w:style>
  <w:style w:type="character" w:styleId="CommentReference">
    <w:name w:val="annotation reference"/>
    <w:basedOn w:val="DefaultParagraphFont"/>
    <w:uiPriority w:val="99"/>
    <w:semiHidden/>
    <w:unhideWhenUsed/>
    <w:rsid w:val="00F15182"/>
    <w:rPr>
      <w:sz w:val="16"/>
      <w:szCs w:val="16"/>
    </w:rPr>
  </w:style>
  <w:style w:type="paragraph" w:styleId="CommentText">
    <w:name w:val="annotation text"/>
    <w:basedOn w:val="Normal"/>
    <w:link w:val="CommentTextChar"/>
    <w:uiPriority w:val="99"/>
    <w:unhideWhenUsed/>
    <w:rsid w:val="00F15182"/>
    <w:pPr>
      <w:spacing w:after="240" w:line="240" w:lineRule="auto"/>
    </w:pPr>
    <w:rPr>
      <w:rFonts w:ascii="Garamond" w:eastAsiaTheme="majorEastAsia" w:hAnsi="Garamond" w:cstheme="majorBidi"/>
      <w:sz w:val="20"/>
      <w:szCs w:val="20"/>
      <w:lang w:bidi="en-US"/>
    </w:rPr>
  </w:style>
  <w:style w:type="character" w:customStyle="1" w:styleId="CommentTextChar">
    <w:name w:val="Comment Text Char"/>
    <w:basedOn w:val="DefaultParagraphFont"/>
    <w:link w:val="CommentText"/>
    <w:uiPriority w:val="99"/>
    <w:rsid w:val="00F15182"/>
    <w:rPr>
      <w:rFonts w:ascii="Garamond" w:eastAsiaTheme="majorEastAsia" w:hAnsi="Garamond" w:cstheme="majorBidi"/>
      <w:sz w:val="20"/>
      <w:szCs w:val="20"/>
      <w:lang w:bidi="en-US"/>
    </w:rPr>
  </w:style>
  <w:style w:type="paragraph" w:styleId="CommentSubject">
    <w:name w:val="annotation subject"/>
    <w:basedOn w:val="CommentText"/>
    <w:next w:val="CommentText"/>
    <w:link w:val="CommentSubjectChar"/>
    <w:uiPriority w:val="99"/>
    <w:semiHidden/>
    <w:unhideWhenUsed/>
    <w:rsid w:val="00F15182"/>
    <w:pPr>
      <w:spacing w:after="160"/>
    </w:pPr>
    <w:rPr>
      <w:rFonts w:asciiTheme="minorHAnsi" w:eastAsiaTheme="minorHAnsi" w:hAnsiTheme="minorHAnsi" w:cstheme="minorBidi"/>
      <w:b/>
      <w:bCs/>
      <w:lang w:bidi="ar-SA"/>
    </w:rPr>
  </w:style>
  <w:style w:type="character" w:customStyle="1" w:styleId="CommentSubjectChar">
    <w:name w:val="Comment Subject Char"/>
    <w:basedOn w:val="CommentTextChar"/>
    <w:link w:val="CommentSubject"/>
    <w:uiPriority w:val="99"/>
    <w:semiHidden/>
    <w:rsid w:val="00F15182"/>
    <w:rPr>
      <w:rFonts w:ascii="Garamond" w:eastAsiaTheme="majorEastAsia" w:hAnsi="Garamond" w:cstheme="majorBidi"/>
      <w:b/>
      <w:bCs/>
      <w:sz w:val="20"/>
      <w:szCs w:val="20"/>
      <w:lang w:bidi="en-US"/>
    </w:rPr>
  </w:style>
  <w:style w:type="paragraph" w:styleId="FootnoteText">
    <w:name w:val="footnote text"/>
    <w:basedOn w:val="Normal"/>
    <w:link w:val="FootnoteTextChar"/>
    <w:uiPriority w:val="99"/>
    <w:semiHidden/>
    <w:unhideWhenUsed/>
    <w:rsid w:val="004749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4999"/>
    <w:rPr>
      <w:sz w:val="20"/>
      <w:szCs w:val="20"/>
    </w:rPr>
  </w:style>
  <w:style w:type="character" w:styleId="FootnoteReference">
    <w:name w:val="footnote reference"/>
    <w:basedOn w:val="DefaultParagraphFont"/>
    <w:uiPriority w:val="99"/>
    <w:semiHidden/>
    <w:unhideWhenUsed/>
    <w:rsid w:val="00474999"/>
    <w:rPr>
      <w:vertAlign w:val="superscript"/>
    </w:rPr>
  </w:style>
  <w:style w:type="paragraph" w:styleId="Header">
    <w:name w:val="header"/>
    <w:basedOn w:val="Normal"/>
    <w:link w:val="HeaderChar"/>
    <w:uiPriority w:val="99"/>
    <w:semiHidden/>
    <w:unhideWhenUsed/>
    <w:rsid w:val="00CF6D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6D36"/>
  </w:style>
  <w:style w:type="paragraph" w:styleId="Footer">
    <w:name w:val="footer"/>
    <w:basedOn w:val="Normal"/>
    <w:link w:val="FooterChar"/>
    <w:uiPriority w:val="99"/>
    <w:semiHidden/>
    <w:unhideWhenUsed/>
    <w:rsid w:val="00CF6D3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F6D36"/>
  </w:style>
  <w:style w:type="character" w:styleId="PlaceholderText">
    <w:name w:val="Placeholder Text"/>
    <w:basedOn w:val="DefaultParagraphFont"/>
    <w:uiPriority w:val="99"/>
    <w:semiHidden/>
    <w:rsid w:val="00BE4189"/>
    <w:rPr>
      <w:color w:val="808080"/>
    </w:rPr>
  </w:style>
  <w:style w:type="character" w:customStyle="1" w:styleId="Heading1Char">
    <w:name w:val="Heading 1 Char"/>
    <w:basedOn w:val="DefaultParagraphFont"/>
    <w:link w:val="Heading1"/>
    <w:uiPriority w:val="9"/>
    <w:rsid w:val="004C3A2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5386">
      <w:bodyDiv w:val="1"/>
      <w:marLeft w:val="0"/>
      <w:marRight w:val="0"/>
      <w:marTop w:val="0"/>
      <w:marBottom w:val="0"/>
      <w:divBdr>
        <w:top w:val="none" w:sz="0" w:space="0" w:color="auto"/>
        <w:left w:val="none" w:sz="0" w:space="0" w:color="auto"/>
        <w:bottom w:val="none" w:sz="0" w:space="0" w:color="auto"/>
        <w:right w:val="none" w:sz="0" w:space="0" w:color="auto"/>
      </w:divBdr>
      <w:divsChild>
        <w:div w:id="1381829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93F3B-52DC-425E-A3AA-CABD13660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1410</Words>
  <Characters>8038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Kondratjeva, Olga (ESD)</dc:creator>
  <cp:keywords/>
  <dc:description/>
  <cp:lastModifiedBy>Klein, Matthew (ESD)</cp:lastModifiedBy>
  <cp:revision>2</cp:revision>
  <cp:lastPrinted>2021-10-11T20:58:00Z</cp:lastPrinted>
  <dcterms:created xsi:type="dcterms:W3CDTF">2022-10-12T21:04:00Z</dcterms:created>
  <dcterms:modified xsi:type="dcterms:W3CDTF">2022-10-12T21:04:00Z</dcterms:modified>
</cp:coreProperties>
</file>