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0F847" w14:textId="77777777" w:rsidR="00334EC8" w:rsidRPr="00F80778" w:rsidRDefault="006E3820">
      <w:pPr>
        <w:jc w:val="center"/>
        <w:rPr>
          <w:b/>
          <w:sz w:val="22"/>
          <w:szCs w:val="22"/>
        </w:rPr>
      </w:pPr>
      <w:r w:rsidRPr="00F80778">
        <w:rPr>
          <w:b/>
          <w:sz w:val="22"/>
          <w:szCs w:val="22"/>
        </w:rPr>
        <w:t>Pre-Analysis Plan</w:t>
      </w:r>
    </w:p>
    <w:p w14:paraId="3B344802" w14:textId="0E0A44D7" w:rsidR="00334EC8" w:rsidRPr="00F80778" w:rsidRDefault="00DB3146">
      <w:pPr>
        <w:rPr>
          <w:b/>
          <w:sz w:val="22"/>
          <w:szCs w:val="22"/>
        </w:rPr>
      </w:pPr>
      <w:r w:rsidRPr="00F80778">
        <w:rPr>
          <w:rFonts w:cs="Arial"/>
          <w:color w:val="000000"/>
          <w:sz w:val="22"/>
          <w:szCs w:val="22"/>
        </w:rPr>
        <w:t>Addressing the Social Determinants of Health in Inpatient Care Transitions: Evidence from a Randomized Experiment</w:t>
      </w:r>
    </w:p>
    <w:tbl>
      <w:tblPr>
        <w:tblStyle w:val="a"/>
        <w:tblW w:w="9360" w:type="dxa"/>
        <w:tblLayout w:type="fixed"/>
        <w:tblLook w:val="0600" w:firstRow="0" w:lastRow="0" w:firstColumn="0" w:lastColumn="0" w:noHBand="1" w:noVBand="1"/>
      </w:tblPr>
      <w:tblGrid>
        <w:gridCol w:w="2520"/>
        <w:gridCol w:w="2250"/>
        <w:gridCol w:w="2520"/>
        <w:gridCol w:w="2070"/>
      </w:tblGrid>
      <w:tr w:rsidR="00334EC8" w:rsidRPr="00F80778" w14:paraId="2705E282" w14:textId="77777777">
        <w:tc>
          <w:tcPr>
            <w:tcW w:w="2520" w:type="dxa"/>
            <w:shd w:val="clear" w:color="auto" w:fill="auto"/>
            <w:tcMar>
              <w:top w:w="0" w:type="dxa"/>
              <w:left w:w="0" w:type="dxa"/>
              <w:bottom w:w="0" w:type="dxa"/>
              <w:right w:w="0" w:type="dxa"/>
            </w:tcMar>
          </w:tcPr>
          <w:p w14:paraId="5FBB4F77" w14:textId="65BEE159" w:rsidR="00334EC8" w:rsidRPr="00F80778" w:rsidRDefault="00F57813">
            <w:pPr>
              <w:widowControl w:val="0"/>
              <w:pBdr>
                <w:top w:val="nil"/>
                <w:left w:val="nil"/>
                <w:bottom w:val="nil"/>
                <w:right w:val="nil"/>
                <w:between w:val="nil"/>
              </w:pBdr>
              <w:jc w:val="center"/>
              <w:rPr>
                <w:sz w:val="22"/>
                <w:szCs w:val="22"/>
              </w:rPr>
            </w:pPr>
            <w:r w:rsidRPr="00F80778">
              <w:rPr>
                <w:sz w:val="22"/>
                <w:szCs w:val="22"/>
              </w:rPr>
              <w:t>William</w:t>
            </w:r>
            <w:r w:rsidR="007F6D3C" w:rsidRPr="00F80778">
              <w:rPr>
                <w:sz w:val="22"/>
                <w:szCs w:val="22"/>
              </w:rPr>
              <w:t xml:space="preserve"> N.</w:t>
            </w:r>
            <w:r w:rsidRPr="00F80778">
              <w:rPr>
                <w:sz w:val="22"/>
                <w:szCs w:val="22"/>
              </w:rPr>
              <w:t xml:space="preserve"> Evans</w:t>
            </w:r>
          </w:p>
        </w:tc>
        <w:tc>
          <w:tcPr>
            <w:tcW w:w="2250" w:type="dxa"/>
            <w:shd w:val="clear" w:color="auto" w:fill="auto"/>
            <w:tcMar>
              <w:top w:w="0" w:type="dxa"/>
              <w:left w:w="0" w:type="dxa"/>
              <w:bottom w:w="0" w:type="dxa"/>
              <w:right w:w="0" w:type="dxa"/>
            </w:tcMar>
          </w:tcPr>
          <w:p w14:paraId="2FE460CC" w14:textId="4A26AAD8" w:rsidR="00334EC8" w:rsidRPr="00F80778" w:rsidRDefault="00F57813">
            <w:pPr>
              <w:widowControl w:val="0"/>
              <w:pBdr>
                <w:top w:val="nil"/>
                <w:left w:val="nil"/>
                <w:bottom w:val="nil"/>
                <w:right w:val="nil"/>
                <w:between w:val="nil"/>
              </w:pBdr>
              <w:jc w:val="center"/>
              <w:rPr>
                <w:sz w:val="22"/>
                <w:szCs w:val="22"/>
              </w:rPr>
            </w:pPr>
            <w:r w:rsidRPr="00F80778">
              <w:rPr>
                <w:sz w:val="22"/>
                <w:szCs w:val="22"/>
              </w:rPr>
              <w:t xml:space="preserve">Sara Lindsay </w:t>
            </w:r>
          </w:p>
        </w:tc>
        <w:tc>
          <w:tcPr>
            <w:tcW w:w="2520" w:type="dxa"/>
            <w:shd w:val="clear" w:color="auto" w:fill="auto"/>
            <w:tcMar>
              <w:top w:w="0" w:type="dxa"/>
              <w:left w:w="0" w:type="dxa"/>
              <w:bottom w:w="0" w:type="dxa"/>
              <w:right w:w="0" w:type="dxa"/>
            </w:tcMar>
          </w:tcPr>
          <w:p w14:paraId="67624068" w14:textId="48FE8E07" w:rsidR="00334EC8" w:rsidRPr="00F80778" w:rsidRDefault="00F57813">
            <w:pPr>
              <w:widowControl w:val="0"/>
              <w:pBdr>
                <w:top w:val="nil"/>
                <w:left w:val="nil"/>
                <w:bottom w:val="nil"/>
                <w:right w:val="nil"/>
                <w:between w:val="nil"/>
              </w:pBdr>
              <w:jc w:val="center"/>
              <w:rPr>
                <w:sz w:val="22"/>
                <w:szCs w:val="22"/>
              </w:rPr>
            </w:pPr>
            <w:r w:rsidRPr="00F80778">
              <w:rPr>
                <w:sz w:val="22"/>
                <w:szCs w:val="22"/>
              </w:rPr>
              <w:t>Elizabeth Munnich</w:t>
            </w:r>
          </w:p>
        </w:tc>
        <w:tc>
          <w:tcPr>
            <w:tcW w:w="2070" w:type="dxa"/>
            <w:shd w:val="clear" w:color="auto" w:fill="auto"/>
            <w:tcMar>
              <w:top w:w="0" w:type="dxa"/>
              <w:left w:w="0" w:type="dxa"/>
              <w:bottom w:w="0" w:type="dxa"/>
              <w:right w:w="0" w:type="dxa"/>
            </w:tcMar>
          </w:tcPr>
          <w:p w14:paraId="3F4DCEDE" w14:textId="30DBFB50" w:rsidR="00334EC8" w:rsidRPr="00F80778" w:rsidRDefault="00F57813">
            <w:pPr>
              <w:widowControl w:val="0"/>
              <w:pBdr>
                <w:top w:val="nil"/>
                <w:left w:val="nil"/>
                <w:bottom w:val="nil"/>
                <w:right w:val="nil"/>
                <w:between w:val="nil"/>
              </w:pBdr>
              <w:jc w:val="center"/>
              <w:rPr>
                <w:sz w:val="22"/>
                <w:szCs w:val="22"/>
              </w:rPr>
            </w:pPr>
            <w:r w:rsidRPr="00F80778">
              <w:rPr>
                <w:sz w:val="22"/>
                <w:szCs w:val="22"/>
              </w:rPr>
              <w:t>Kathryn</w:t>
            </w:r>
            <w:r w:rsidR="00DB3146" w:rsidRPr="00F80778">
              <w:rPr>
                <w:sz w:val="22"/>
                <w:szCs w:val="22"/>
              </w:rPr>
              <w:t xml:space="preserve"> L.</w:t>
            </w:r>
            <w:r w:rsidRPr="00F80778">
              <w:rPr>
                <w:sz w:val="22"/>
                <w:szCs w:val="22"/>
              </w:rPr>
              <w:t xml:space="preserve"> Wagner</w:t>
            </w:r>
          </w:p>
        </w:tc>
      </w:tr>
      <w:tr w:rsidR="00334EC8" w:rsidRPr="00F80778" w14:paraId="67825F2E" w14:textId="77777777">
        <w:tc>
          <w:tcPr>
            <w:tcW w:w="2520" w:type="dxa"/>
            <w:shd w:val="clear" w:color="auto" w:fill="auto"/>
            <w:tcMar>
              <w:top w:w="0" w:type="dxa"/>
              <w:left w:w="0" w:type="dxa"/>
              <w:bottom w:w="0" w:type="dxa"/>
              <w:right w:w="0" w:type="dxa"/>
            </w:tcMar>
          </w:tcPr>
          <w:p w14:paraId="27CF501F" w14:textId="77777777" w:rsidR="00334EC8" w:rsidRPr="00F80778" w:rsidRDefault="006E3820">
            <w:pPr>
              <w:widowControl w:val="0"/>
              <w:pBdr>
                <w:top w:val="nil"/>
                <w:left w:val="nil"/>
                <w:bottom w:val="nil"/>
                <w:right w:val="nil"/>
                <w:between w:val="nil"/>
              </w:pBdr>
              <w:jc w:val="center"/>
              <w:rPr>
                <w:sz w:val="22"/>
                <w:szCs w:val="22"/>
              </w:rPr>
            </w:pPr>
            <w:r w:rsidRPr="00F80778">
              <w:rPr>
                <w:sz w:val="22"/>
                <w:szCs w:val="22"/>
              </w:rPr>
              <w:t>University of Notre Dame</w:t>
            </w:r>
          </w:p>
        </w:tc>
        <w:tc>
          <w:tcPr>
            <w:tcW w:w="2250" w:type="dxa"/>
            <w:shd w:val="clear" w:color="auto" w:fill="auto"/>
            <w:tcMar>
              <w:top w:w="0" w:type="dxa"/>
              <w:left w:w="0" w:type="dxa"/>
              <w:bottom w:w="0" w:type="dxa"/>
              <w:right w:w="0" w:type="dxa"/>
            </w:tcMar>
          </w:tcPr>
          <w:p w14:paraId="57418642" w14:textId="4CFF0CFD" w:rsidR="00334EC8" w:rsidRPr="00F80778" w:rsidRDefault="00F57813">
            <w:pPr>
              <w:widowControl w:val="0"/>
              <w:pBdr>
                <w:top w:val="nil"/>
                <w:left w:val="nil"/>
                <w:bottom w:val="nil"/>
                <w:right w:val="nil"/>
                <w:between w:val="nil"/>
              </w:pBdr>
              <w:jc w:val="center"/>
              <w:rPr>
                <w:sz w:val="22"/>
                <w:szCs w:val="22"/>
              </w:rPr>
            </w:pPr>
            <w:r w:rsidRPr="00F80778">
              <w:rPr>
                <w:sz w:val="22"/>
                <w:szCs w:val="22"/>
              </w:rPr>
              <w:t xml:space="preserve">Catholic Charities-West Virginia </w:t>
            </w:r>
          </w:p>
        </w:tc>
        <w:tc>
          <w:tcPr>
            <w:tcW w:w="2520" w:type="dxa"/>
            <w:shd w:val="clear" w:color="auto" w:fill="auto"/>
            <w:tcMar>
              <w:top w:w="0" w:type="dxa"/>
              <w:left w:w="0" w:type="dxa"/>
              <w:bottom w:w="0" w:type="dxa"/>
              <w:right w:w="0" w:type="dxa"/>
            </w:tcMar>
          </w:tcPr>
          <w:p w14:paraId="07C87962" w14:textId="6FA2194E" w:rsidR="00334EC8" w:rsidRPr="00F80778" w:rsidRDefault="00F57813">
            <w:pPr>
              <w:widowControl w:val="0"/>
              <w:pBdr>
                <w:top w:val="nil"/>
                <w:left w:val="nil"/>
                <w:bottom w:val="nil"/>
                <w:right w:val="nil"/>
                <w:between w:val="nil"/>
              </w:pBdr>
              <w:jc w:val="center"/>
              <w:rPr>
                <w:sz w:val="22"/>
                <w:szCs w:val="22"/>
              </w:rPr>
            </w:pPr>
            <w:r w:rsidRPr="00F80778">
              <w:rPr>
                <w:sz w:val="22"/>
                <w:szCs w:val="22"/>
              </w:rPr>
              <w:t>University of Louisville</w:t>
            </w:r>
          </w:p>
        </w:tc>
        <w:tc>
          <w:tcPr>
            <w:tcW w:w="2070" w:type="dxa"/>
            <w:shd w:val="clear" w:color="auto" w:fill="auto"/>
            <w:tcMar>
              <w:top w:w="0" w:type="dxa"/>
              <w:left w:w="0" w:type="dxa"/>
              <w:bottom w:w="0" w:type="dxa"/>
              <w:right w:w="0" w:type="dxa"/>
            </w:tcMar>
          </w:tcPr>
          <w:p w14:paraId="30E54B31" w14:textId="6B7ECA1A" w:rsidR="00334EC8" w:rsidRPr="00F80778" w:rsidRDefault="00F57813">
            <w:pPr>
              <w:widowControl w:val="0"/>
              <w:pBdr>
                <w:top w:val="nil"/>
                <w:left w:val="nil"/>
                <w:bottom w:val="nil"/>
                <w:right w:val="nil"/>
                <w:between w:val="nil"/>
              </w:pBdr>
              <w:jc w:val="center"/>
              <w:rPr>
                <w:sz w:val="22"/>
                <w:szCs w:val="22"/>
              </w:rPr>
            </w:pPr>
            <w:r w:rsidRPr="00F80778">
              <w:rPr>
                <w:sz w:val="22"/>
                <w:szCs w:val="22"/>
              </w:rPr>
              <w:t>Marquette University</w:t>
            </w:r>
          </w:p>
        </w:tc>
      </w:tr>
    </w:tbl>
    <w:p w14:paraId="0F8A5363" w14:textId="77777777" w:rsidR="00334EC8" w:rsidRPr="00F80778" w:rsidRDefault="00334EC8">
      <w:pPr>
        <w:pStyle w:val="Heading1"/>
        <w:spacing w:before="0"/>
        <w:rPr>
          <w:sz w:val="22"/>
          <w:szCs w:val="22"/>
        </w:rPr>
      </w:pPr>
      <w:bookmarkStart w:id="0" w:name="_o8dolsjznasw" w:colFirst="0" w:colLast="0"/>
      <w:bookmarkEnd w:id="0"/>
    </w:p>
    <w:p w14:paraId="48ADB11D" w14:textId="1CE72115" w:rsidR="00334EC8" w:rsidRPr="00F80778" w:rsidRDefault="00F57813">
      <w:pPr>
        <w:pStyle w:val="Heading1"/>
        <w:spacing w:before="0"/>
        <w:jc w:val="center"/>
        <w:rPr>
          <w:sz w:val="22"/>
          <w:szCs w:val="22"/>
        </w:rPr>
      </w:pPr>
      <w:bookmarkStart w:id="1" w:name="_tuj95zlkajwm" w:colFirst="0" w:colLast="0"/>
      <w:bookmarkEnd w:id="1"/>
      <w:r w:rsidRPr="00F80778">
        <w:rPr>
          <w:sz w:val="22"/>
          <w:szCs w:val="22"/>
        </w:rPr>
        <w:t>May 1</w:t>
      </w:r>
      <w:r w:rsidR="00FB39BD" w:rsidRPr="00F80778">
        <w:rPr>
          <w:sz w:val="22"/>
          <w:szCs w:val="22"/>
        </w:rPr>
        <w:t>9</w:t>
      </w:r>
      <w:r w:rsidRPr="00F80778">
        <w:rPr>
          <w:sz w:val="22"/>
          <w:szCs w:val="22"/>
        </w:rPr>
        <w:t>, 2023</w:t>
      </w:r>
      <w:bookmarkStart w:id="2" w:name="_GoBack"/>
      <w:bookmarkEnd w:id="2"/>
    </w:p>
    <w:p w14:paraId="4A708F8F" w14:textId="77777777" w:rsidR="00334EC8" w:rsidRPr="00F80778" w:rsidRDefault="006E3820" w:rsidP="00FC4310">
      <w:pPr>
        <w:pStyle w:val="Heading1"/>
        <w:numPr>
          <w:ilvl w:val="0"/>
          <w:numId w:val="1"/>
        </w:numPr>
        <w:spacing w:before="0"/>
        <w:ind w:left="360" w:hanging="270"/>
        <w:rPr>
          <w:sz w:val="22"/>
          <w:szCs w:val="22"/>
        </w:rPr>
      </w:pPr>
      <w:bookmarkStart w:id="3" w:name="_x3mb8vj2bnaw" w:colFirst="0" w:colLast="0"/>
      <w:bookmarkEnd w:id="3"/>
      <w:r w:rsidRPr="00F80778">
        <w:rPr>
          <w:sz w:val="22"/>
          <w:szCs w:val="22"/>
        </w:rPr>
        <w:t>Introduction</w:t>
      </w:r>
    </w:p>
    <w:p w14:paraId="0C597845" w14:textId="77777777" w:rsidR="007F07F6" w:rsidRPr="00F80778" w:rsidRDefault="007F07F6" w:rsidP="00E835EE">
      <w:pPr>
        <w:ind w:firstLine="720"/>
        <w:rPr>
          <w:rFonts w:eastAsia="Georgia" w:cs="Georgia"/>
          <w:sz w:val="22"/>
          <w:szCs w:val="22"/>
        </w:rPr>
      </w:pPr>
    </w:p>
    <w:p w14:paraId="23AB37AE" w14:textId="7C7CFE95" w:rsidR="00E835EE" w:rsidRPr="00F80778" w:rsidRDefault="00E835EE" w:rsidP="00E835EE">
      <w:pPr>
        <w:ind w:firstLine="720"/>
        <w:rPr>
          <w:rFonts w:eastAsia="Georgia" w:cs="Georgia"/>
          <w:sz w:val="22"/>
          <w:szCs w:val="22"/>
        </w:rPr>
      </w:pPr>
      <w:r w:rsidRPr="00F80778">
        <w:rPr>
          <w:rFonts w:eastAsia="Georgia" w:cs="Georgia"/>
          <w:sz w:val="22"/>
          <w:szCs w:val="22"/>
        </w:rPr>
        <w:t>Hospital readmissions account for over $45 billion in spending in the Medicare and Medicaid programs (Weiss and Jiang 2021).  There is a growing recognition that social determinants of health can be important drivers of preventable hospital readmissions, especially in vulnerable populations (Arbaje et al., 2008; Flythe et al., 2018; Schultz et at., 202</w:t>
      </w:r>
      <w:r w:rsidR="0024330A" w:rsidRPr="00F80778">
        <w:rPr>
          <w:rFonts w:eastAsia="Georgia" w:cs="Georgia"/>
          <w:sz w:val="22"/>
          <w:szCs w:val="22"/>
        </w:rPr>
        <w:t>2</w:t>
      </w:r>
      <w:r w:rsidRPr="00F80778">
        <w:rPr>
          <w:rFonts w:eastAsia="Georgia" w:cs="Georgia"/>
          <w:sz w:val="22"/>
          <w:szCs w:val="22"/>
        </w:rPr>
        <w:t>; Lin et al., 2022).  With this in mind, in 2012, Catholic Charities Chicago (CCC) launched the Chicago Southland Coalition for Transition Care (CSCTC) in four hospitals in low-income areas; in contrast to most care transition programs, social workers were solely responsible for care transitions. Social workers are particularly well positioned to assist patients with the obstacles listed above that might inhibit their recovery.  In a rigorous evaluation of the CSCTC program, Evans et al. (2021) showed that the program reduced 30-, 60-, and 90-day readmission rates among traditional Medicare patients by at least 14%. The program benefits were concentrated in the population that was dually eligible for Medicare and Medicaid, where readmission rates fell by 35%</w:t>
      </w:r>
      <w:r w:rsidR="007F6D3C" w:rsidRPr="00F80778">
        <w:rPr>
          <w:rFonts w:eastAsia="Georgia" w:cs="Georgia"/>
          <w:sz w:val="22"/>
          <w:szCs w:val="22"/>
        </w:rPr>
        <w:t xml:space="preserve"> for those treated by the intervention.</w:t>
      </w:r>
      <w:r w:rsidRPr="00F80778">
        <w:rPr>
          <w:rFonts w:eastAsia="Georgia" w:cs="Georgia"/>
          <w:sz w:val="22"/>
          <w:szCs w:val="22"/>
        </w:rPr>
        <w:t xml:space="preserve"> Further, the savings associated with reduced readmissions more than offset the cost of administering the program.</w:t>
      </w:r>
    </w:p>
    <w:p w14:paraId="7A83E5F3" w14:textId="77777777" w:rsidR="00E835EE" w:rsidRPr="00F80778" w:rsidRDefault="00E835EE" w:rsidP="00E835EE">
      <w:pPr>
        <w:pBdr>
          <w:top w:val="nil"/>
          <w:left w:val="nil"/>
          <w:bottom w:val="nil"/>
          <w:right w:val="nil"/>
          <w:between w:val="nil"/>
        </w:pBdr>
        <w:ind w:firstLine="720"/>
        <w:rPr>
          <w:rFonts w:eastAsia="Georgia" w:cs="Georgia"/>
          <w:sz w:val="22"/>
          <w:szCs w:val="22"/>
        </w:rPr>
      </w:pPr>
      <w:r w:rsidRPr="00F80778">
        <w:rPr>
          <w:rFonts w:eastAsia="Georgia" w:cs="Georgia"/>
          <w:sz w:val="22"/>
          <w:szCs w:val="22"/>
        </w:rPr>
        <w:t xml:space="preserve">Catholic Charities West Virginia (CCWVa) has partnered with three West Virginia hospitals to launch the Hospital Transition Program (HTP). Modeled after the CSCTC program outlined above, the goal of the program is to provide support and training for continued care after a patient is discharged from the hospital. Under the HTP, a case manager meets with eligible patients in the hospital and at their home after discharge, assessing needs based on conversations with the patient and an evaluation of their home environment while also coordinating services with local agencies to ensure that patients are in the best possible position to carry out their care plan for recovery.  </w:t>
      </w:r>
    </w:p>
    <w:p w14:paraId="50FCEBED" w14:textId="5E35DECD" w:rsidR="00E835EE" w:rsidRPr="00F80778" w:rsidRDefault="00E835EE" w:rsidP="00E835EE">
      <w:pPr>
        <w:pBdr>
          <w:top w:val="nil"/>
          <w:left w:val="nil"/>
          <w:bottom w:val="nil"/>
          <w:right w:val="nil"/>
          <w:between w:val="nil"/>
        </w:pBdr>
        <w:ind w:firstLine="720"/>
        <w:rPr>
          <w:rFonts w:eastAsia="Georgia" w:cs="Georgia"/>
          <w:sz w:val="22"/>
          <w:szCs w:val="22"/>
        </w:rPr>
      </w:pPr>
      <w:r w:rsidRPr="00F80778">
        <w:rPr>
          <w:rFonts w:eastAsia="Georgia" w:cs="Georgia"/>
          <w:sz w:val="22"/>
          <w:szCs w:val="22"/>
        </w:rPr>
        <w:t>A team of health economists has partnered with CCWVa to design a randomized control trial (RCT) to evaluate the impact of this program on patient outcomes and costs. This study aims to analyze the effectiveness of the social-worker focused HTP with the following objectives. First, we will identify characteristics of patients who choose to participate in the hospital transition program relative to those who do not, and provide insight into the range of services that case managers provide to patients participating in the program. Second, we will estimate the effect of the HTP on 7-, 14-, 30-, 60-, 90-, and 180-day readmission rates and the costs of the readmissions. Third, we will examine the types of services used by clients in the treatment group so as to better understand the social needs of clients served by HTP.</w:t>
      </w:r>
    </w:p>
    <w:p w14:paraId="6E94D4BE" w14:textId="77777777" w:rsidR="00334EC8" w:rsidRPr="00F80778" w:rsidRDefault="00334EC8">
      <w:pPr>
        <w:rPr>
          <w:sz w:val="22"/>
          <w:szCs w:val="22"/>
        </w:rPr>
      </w:pPr>
    </w:p>
    <w:p w14:paraId="2FCBCCE0" w14:textId="77777777" w:rsidR="00FC4310" w:rsidRPr="00F80778" w:rsidRDefault="00FC4310">
      <w:pPr>
        <w:rPr>
          <w:sz w:val="22"/>
          <w:szCs w:val="22"/>
        </w:rPr>
      </w:pPr>
    </w:p>
    <w:p w14:paraId="5EB279DA" w14:textId="799659F8" w:rsidR="00334EC8" w:rsidRPr="00F80778" w:rsidRDefault="00FD2B2D" w:rsidP="00FC4310">
      <w:pPr>
        <w:numPr>
          <w:ilvl w:val="0"/>
          <w:numId w:val="1"/>
        </w:numPr>
        <w:ind w:left="540"/>
        <w:rPr>
          <w:b/>
          <w:sz w:val="22"/>
          <w:szCs w:val="22"/>
        </w:rPr>
      </w:pPr>
      <w:r w:rsidRPr="00F80778">
        <w:rPr>
          <w:b/>
          <w:sz w:val="22"/>
          <w:szCs w:val="22"/>
        </w:rPr>
        <w:t>Experimental Design</w:t>
      </w:r>
    </w:p>
    <w:p w14:paraId="4C3199A6" w14:textId="77777777" w:rsidR="00FD2B2D" w:rsidRPr="00F80778" w:rsidRDefault="00FD2B2D" w:rsidP="00FD2B2D">
      <w:pPr>
        <w:rPr>
          <w:sz w:val="22"/>
          <w:szCs w:val="22"/>
        </w:rPr>
      </w:pPr>
    </w:p>
    <w:p w14:paraId="24942279" w14:textId="7EB04418" w:rsidR="0049470E" w:rsidRPr="00F80778" w:rsidRDefault="00FD2B2D" w:rsidP="00D2385A">
      <w:pPr>
        <w:ind w:firstLine="720"/>
        <w:rPr>
          <w:rFonts w:eastAsia="Georgia" w:cs="Georgia"/>
          <w:sz w:val="22"/>
          <w:szCs w:val="22"/>
        </w:rPr>
      </w:pPr>
      <w:r w:rsidRPr="00F80778">
        <w:rPr>
          <w:sz w:val="22"/>
          <w:szCs w:val="22"/>
        </w:rPr>
        <w:t xml:space="preserve">The Hospital Transition Program targets patients in three West Virginia hospitals that have been identified as having a high probability of hospital readmission. The three hospitals include: Wheeling Hospital </w:t>
      </w:r>
      <w:r w:rsidR="00AD3F9B" w:rsidRPr="00F80778">
        <w:rPr>
          <w:sz w:val="22"/>
          <w:szCs w:val="22"/>
        </w:rPr>
        <w:t>(</w:t>
      </w:r>
      <w:r w:rsidRPr="00F80778">
        <w:rPr>
          <w:sz w:val="22"/>
          <w:szCs w:val="22"/>
        </w:rPr>
        <w:t>Wheeling, WV</w:t>
      </w:r>
      <w:r w:rsidR="00AD3F9B" w:rsidRPr="00F80778">
        <w:rPr>
          <w:sz w:val="22"/>
          <w:szCs w:val="22"/>
        </w:rPr>
        <w:t>)</w:t>
      </w:r>
      <w:r w:rsidRPr="00F80778">
        <w:rPr>
          <w:sz w:val="22"/>
          <w:szCs w:val="22"/>
        </w:rPr>
        <w:t xml:space="preserve">, </w:t>
      </w:r>
      <w:r w:rsidR="00AD3F9B" w:rsidRPr="00F80778">
        <w:rPr>
          <w:rFonts w:eastAsia="Georgia" w:cs="Georgia"/>
          <w:sz w:val="22"/>
          <w:szCs w:val="22"/>
        </w:rPr>
        <w:t>Cabell-Huntington Hospital (Huntington, WV ), and St. Mary’s Hospital</w:t>
      </w:r>
      <w:r w:rsidR="00AD3F9B" w:rsidRPr="00F80778">
        <w:rPr>
          <w:sz w:val="22"/>
          <w:szCs w:val="22"/>
        </w:rPr>
        <w:t xml:space="preserve"> (</w:t>
      </w:r>
      <w:r w:rsidR="00AD3F9B" w:rsidRPr="00F80778">
        <w:rPr>
          <w:rFonts w:eastAsia="Georgia" w:cs="Georgia"/>
          <w:sz w:val="22"/>
          <w:szCs w:val="22"/>
        </w:rPr>
        <w:t>Huntington, WV)</w:t>
      </w:r>
      <w:r w:rsidR="00F93BB9" w:rsidRPr="00F80778">
        <w:rPr>
          <w:rFonts w:eastAsia="Georgia" w:cs="Georgia"/>
          <w:sz w:val="22"/>
          <w:szCs w:val="22"/>
        </w:rPr>
        <w:t>.</w:t>
      </w:r>
      <w:r w:rsidR="00AD3F9B" w:rsidRPr="00F80778">
        <w:rPr>
          <w:rFonts w:eastAsia="Georgia" w:cs="Georgia"/>
          <w:sz w:val="22"/>
          <w:szCs w:val="22"/>
        </w:rPr>
        <w:t xml:space="preserve"> </w:t>
      </w:r>
    </w:p>
    <w:p w14:paraId="685EA31D" w14:textId="77777777" w:rsidR="008E28E6" w:rsidRPr="00F80778" w:rsidRDefault="008E28E6" w:rsidP="00D2385A">
      <w:pPr>
        <w:ind w:firstLine="720"/>
        <w:rPr>
          <w:rFonts w:eastAsia="Georgia" w:cs="Georgia"/>
          <w:sz w:val="22"/>
          <w:szCs w:val="22"/>
        </w:rPr>
      </w:pPr>
    </w:p>
    <w:p w14:paraId="270B2805" w14:textId="77777777" w:rsidR="00837944" w:rsidRPr="00F80778" w:rsidRDefault="009C12EE" w:rsidP="00837944">
      <w:pPr>
        <w:rPr>
          <w:color w:val="333333"/>
          <w:sz w:val="22"/>
          <w:szCs w:val="22"/>
        </w:rPr>
      </w:pPr>
      <w:r w:rsidRPr="00F80778">
        <w:rPr>
          <w:color w:val="333333"/>
          <w:sz w:val="22"/>
          <w:szCs w:val="22"/>
          <w:shd w:val="clear" w:color="auto" w:fill="FFFFFF"/>
        </w:rPr>
        <w:lastRenderedPageBreak/>
        <w:t xml:space="preserve">Eligible patients must meet the following criteria: </w:t>
      </w:r>
    </w:p>
    <w:p w14:paraId="2148CCB4" w14:textId="62F0ADD5" w:rsidR="007F6D3C" w:rsidRPr="00F80778" w:rsidRDefault="007F6D3C" w:rsidP="00837944">
      <w:pPr>
        <w:pStyle w:val="ListParagraph"/>
        <w:numPr>
          <w:ilvl w:val="0"/>
          <w:numId w:val="8"/>
        </w:numPr>
        <w:rPr>
          <w:color w:val="333333"/>
          <w:sz w:val="22"/>
          <w:szCs w:val="22"/>
        </w:rPr>
      </w:pPr>
      <w:r w:rsidRPr="00F80778">
        <w:rPr>
          <w:color w:val="333333"/>
          <w:sz w:val="22"/>
          <w:szCs w:val="22"/>
        </w:rPr>
        <w:t>Adults aged 18 and over</w:t>
      </w:r>
    </w:p>
    <w:p w14:paraId="77F1A13A" w14:textId="254348B3" w:rsidR="00837944" w:rsidRPr="00F80778" w:rsidRDefault="009C12EE" w:rsidP="00837944">
      <w:pPr>
        <w:pStyle w:val="ListParagraph"/>
        <w:numPr>
          <w:ilvl w:val="0"/>
          <w:numId w:val="8"/>
        </w:numPr>
        <w:rPr>
          <w:color w:val="333333"/>
          <w:sz w:val="22"/>
          <w:szCs w:val="22"/>
        </w:rPr>
      </w:pPr>
      <w:r w:rsidRPr="00F80778">
        <w:rPr>
          <w:color w:val="333333"/>
          <w:sz w:val="22"/>
          <w:szCs w:val="22"/>
          <w:shd w:val="clear" w:color="auto" w:fill="FFFFFF"/>
        </w:rPr>
        <w:t>C</w:t>
      </w:r>
      <w:r w:rsidR="00F93BB9" w:rsidRPr="00F80778">
        <w:rPr>
          <w:color w:val="333333"/>
          <w:sz w:val="22"/>
          <w:szCs w:val="22"/>
          <w:shd w:val="clear" w:color="auto" w:fill="FFFFFF"/>
        </w:rPr>
        <w:t xml:space="preserve">urrently admitted at Wheeling, Cabell-Huntington, or St. Mary’s Hospital </w:t>
      </w:r>
    </w:p>
    <w:p w14:paraId="7BF82A12" w14:textId="5A152247" w:rsidR="00CE4B33" w:rsidRPr="00F80778" w:rsidRDefault="00837944" w:rsidP="00837944">
      <w:pPr>
        <w:pStyle w:val="ListParagraph"/>
        <w:numPr>
          <w:ilvl w:val="0"/>
          <w:numId w:val="8"/>
        </w:numPr>
        <w:rPr>
          <w:color w:val="333333"/>
          <w:sz w:val="22"/>
          <w:szCs w:val="22"/>
          <w:shd w:val="clear" w:color="auto" w:fill="FFFFFF"/>
        </w:rPr>
      </w:pPr>
      <w:r w:rsidRPr="00F80778">
        <w:rPr>
          <w:color w:val="333333"/>
          <w:sz w:val="22"/>
          <w:szCs w:val="22"/>
          <w:shd w:val="clear" w:color="auto" w:fill="FFFFFF"/>
        </w:rPr>
        <w:t>C</w:t>
      </w:r>
      <w:r w:rsidR="00CE4B33" w:rsidRPr="00F80778">
        <w:rPr>
          <w:color w:val="333333"/>
          <w:sz w:val="22"/>
          <w:szCs w:val="22"/>
          <w:shd w:val="clear" w:color="auto" w:fill="FFFFFF"/>
        </w:rPr>
        <w:t>overed by Medicare or Medicaid (including dual eligibles)</w:t>
      </w:r>
    </w:p>
    <w:p w14:paraId="5C5406A0" w14:textId="749E6791" w:rsidR="00CE4B33" w:rsidRPr="00F80778" w:rsidRDefault="00F93BB9" w:rsidP="00837944">
      <w:pPr>
        <w:pStyle w:val="ListParagraph"/>
        <w:numPr>
          <w:ilvl w:val="0"/>
          <w:numId w:val="8"/>
        </w:numPr>
        <w:rPr>
          <w:color w:val="333333"/>
          <w:sz w:val="22"/>
          <w:szCs w:val="22"/>
          <w:shd w:val="clear" w:color="auto" w:fill="FFFFFF"/>
        </w:rPr>
      </w:pPr>
      <w:r w:rsidRPr="00F80778">
        <w:rPr>
          <w:color w:val="333333"/>
          <w:sz w:val="22"/>
          <w:szCs w:val="22"/>
          <w:shd w:val="clear" w:color="auto" w:fill="FFFFFF"/>
        </w:rPr>
        <w:t xml:space="preserve">Resides in a ZIP code within 15 miles of the admitting hospital.  </w:t>
      </w:r>
    </w:p>
    <w:p w14:paraId="41A2AAF4" w14:textId="623F8739" w:rsidR="00D41D2E" w:rsidRPr="00F80778" w:rsidRDefault="00CE4B33" w:rsidP="00D41D2E">
      <w:pPr>
        <w:pStyle w:val="ListParagraph"/>
        <w:numPr>
          <w:ilvl w:val="0"/>
          <w:numId w:val="6"/>
        </w:numPr>
        <w:rPr>
          <w:color w:val="333333"/>
          <w:sz w:val="22"/>
          <w:szCs w:val="22"/>
          <w:shd w:val="clear" w:color="auto" w:fill="FFFFFF"/>
        </w:rPr>
      </w:pPr>
      <w:r w:rsidRPr="00F80778">
        <w:rPr>
          <w:color w:val="333333"/>
          <w:sz w:val="22"/>
          <w:szCs w:val="22"/>
        </w:rPr>
        <w:t xml:space="preserve">Readmission risk score at time of admission in top quartile </w:t>
      </w:r>
      <w:r w:rsidR="00FF35DB" w:rsidRPr="00F80778">
        <w:rPr>
          <w:color w:val="333333"/>
          <w:sz w:val="22"/>
          <w:szCs w:val="22"/>
        </w:rPr>
        <w:t>within hospital</w:t>
      </w:r>
      <w:r w:rsidR="007C6446" w:rsidRPr="00F80778">
        <w:rPr>
          <w:color w:val="333333"/>
          <w:sz w:val="22"/>
          <w:szCs w:val="22"/>
        </w:rPr>
        <w:t xml:space="preserve">. </w:t>
      </w:r>
      <w:r w:rsidR="007C6446" w:rsidRPr="00F80778">
        <w:rPr>
          <w:rFonts w:eastAsia="Times New Roman" w:cs="Times New Roman"/>
          <w:color w:val="000000" w:themeColor="text1"/>
          <w:sz w:val="22"/>
          <w:szCs w:val="22"/>
        </w:rPr>
        <w:t>A patient’s readmission risk score is a probability of readmission based on a patient’s initial diagnosis, co-morbidities, previous hospital admissions, and social determinants of health.</w:t>
      </w:r>
    </w:p>
    <w:p w14:paraId="476463BA" w14:textId="77777777" w:rsidR="00D41D2E" w:rsidRPr="00F80778" w:rsidRDefault="00D41D2E" w:rsidP="00A65264">
      <w:pPr>
        <w:pStyle w:val="ListParagraph"/>
        <w:rPr>
          <w:color w:val="333333"/>
          <w:sz w:val="22"/>
          <w:szCs w:val="22"/>
          <w:shd w:val="clear" w:color="auto" w:fill="FFFFFF"/>
        </w:rPr>
      </w:pPr>
    </w:p>
    <w:p w14:paraId="44D546EA" w14:textId="5BC2119B" w:rsidR="00D41D2E" w:rsidRPr="00F80778" w:rsidRDefault="00F93BB9" w:rsidP="00D41D2E">
      <w:pPr>
        <w:rPr>
          <w:color w:val="333333"/>
          <w:sz w:val="22"/>
          <w:szCs w:val="22"/>
          <w:shd w:val="clear" w:color="auto" w:fill="FFFFFF"/>
        </w:rPr>
      </w:pPr>
      <w:r w:rsidRPr="00F80778">
        <w:rPr>
          <w:color w:val="333333"/>
          <w:sz w:val="22"/>
          <w:szCs w:val="22"/>
          <w:shd w:val="clear" w:color="auto" w:fill="FFFFFF"/>
        </w:rPr>
        <w:t>Patients will be excluded if they meet any of the following criteria:</w:t>
      </w:r>
    </w:p>
    <w:p w14:paraId="4FE3EBFD" w14:textId="75E1352E" w:rsidR="00D41D2E" w:rsidRPr="00F80778" w:rsidRDefault="00F93BB9" w:rsidP="00D41D2E">
      <w:pPr>
        <w:pStyle w:val="ListParagraph"/>
        <w:numPr>
          <w:ilvl w:val="0"/>
          <w:numId w:val="7"/>
        </w:numPr>
        <w:rPr>
          <w:color w:val="333333"/>
          <w:sz w:val="22"/>
          <w:szCs w:val="22"/>
          <w:shd w:val="clear" w:color="auto" w:fill="FFFFFF"/>
        </w:rPr>
      </w:pPr>
      <w:r w:rsidRPr="00F80778">
        <w:rPr>
          <w:color w:val="333333"/>
          <w:sz w:val="22"/>
          <w:szCs w:val="22"/>
          <w:shd w:val="clear" w:color="auto" w:fill="FFFFFF"/>
        </w:rPr>
        <w:t>Already a subject in the RCT (treatment or control)</w:t>
      </w:r>
    </w:p>
    <w:p w14:paraId="3CCABD70" w14:textId="450E47C3" w:rsidR="00AD2E21" w:rsidRPr="00F80778" w:rsidRDefault="00F93BB9" w:rsidP="00D41D2E">
      <w:pPr>
        <w:pStyle w:val="ListParagraph"/>
        <w:numPr>
          <w:ilvl w:val="0"/>
          <w:numId w:val="7"/>
        </w:numPr>
        <w:rPr>
          <w:color w:val="333333"/>
          <w:sz w:val="22"/>
          <w:szCs w:val="22"/>
          <w:shd w:val="clear" w:color="auto" w:fill="FFFFFF"/>
        </w:rPr>
      </w:pPr>
      <w:r w:rsidRPr="00F80778">
        <w:rPr>
          <w:color w:val="333333"/>
          <w:sz w:val="22"/>
          <w:szCs w:val="22"/>
          <w:shd w:val="clear" w:color="auto" w:fill="FFFFFF"/>
        </w:rPr>
        <w:t>Deceased or discharged prior to triage or recruitment</w:t>
      </w:r>
    </w:p>
    <w:p w14:paraId="2F02AD98" w14:textId="3A338188" w:rsidR="00AD2E21" w:rsidRPr="00F80778" w:rsidRDefault="00AD2E21" w:rsidP="00D41D2E">
      <w:pPr>
        <w:pStyle w:val="ListParagraph"/>
        <w:numPr>
          <w:ilvl w:val="0"/>
          <w:numId w:val="6"/>
        </w:numPr>
        <w:rPr>
          <w:color w:val="333333"/>
          <w:sz w:val="22"/>
          <w:szCs w:val="22"/>
          <w:shd w:val="clear" w:color="auto" w:fill="FFFFFF"/>
        </w:rPr>
      </w:pPr>
      <w:r w:rsidRPr="00F80778">
        <w:rPr>
          <w:color w:val="333333"/>
          <w:sz w:val="22"/>
          <w:szCs w:val="22"/>
          <w:shd w:val="clear" w:color="auto" w:fill="FFFFFF"/>
        </w:rPr>
        <w:t>Discharged to long</w:t>
      </w:r>
      <w:r w:rsidR="007F6D3C" w:rsidRPr="00F80778">
        <w:rPr>
          <w:color w:val="333333"/>
          <w:sz w:val="22"/>
          <w:szCs w:val="22"/>
          <w:shd w:val="clear" w:color="auto" w:fill="FFFFFF"/>
        </w:rPr>
        <w:t>-</w:t>
      </w:r>
      <w:r w:rsidRPr="00F80778">
        <w:rPr>
          <w:color w:val="333333"/>
          <w:sz w:val="22"/>
          <w:szCs w:val="22"/>
          <w:shd w:val="clear" w:color="auto" w:fill="FFFFFF"/>
        </w:rPr>
        <w:t>term care facility</w:t>
      </w:r>
    </w:p>
    <w:p w14:paraId="01673199" w14:textId="3EDC15D7" w:rsidR="00C535DF" w:rsidRPr="00F80778" w:rsidRDefault="00AD2E21" w:rsidP="00485139">
      <w:pPr>
        <w:pStyle w:val="ListParagraph"/>
        <w:numPr>
          <w:ilvl w:val="0"/>
          <w:numId w:val="6"/>
        </w:numPr>
        <w:rPr>
          <w:rFonts w:eastAsia="Times New Roman" w:cs="Times New Roman"/>
          <w:color w:val="000000" w:themeColor="text1"/>
          <w:sz w:val="22"/>
          <w:szCs w:val="22"/>
        </w:rPr>
      </w:pPr>
      <w:r w:rsidRPr="00F80778">
        <w:rPr>
          <w:color w:val="333333"/>
          <w:sz w:val="22"/>
          <w:szCs w:val="22"/>
          <w:shd w:val="clear" w:color="auto" w:fill="FFFFFF"/>
        </w:rPr>
        <w:t>Homeless</w:t>
      </w:r>
      <w:r w:rsidR="00F93BB9" w:rsidRPr="00F80778">
        <w:rPr>
          <w:color w:val="333333"/>
          <w:sz w:val="22"/>
          <w:szCs w:val="22"/>
        </w:rPr>
        <w:br/>
      </w:r>
    </w:p>
    <w:p w14:paraId="52ED0D92" w14:textId="30980318" w:rsidR="00C84AF6" w:rsidRPr="00F80778" w:rsidRDefault="001C1F55" w:rsidP="00C84AF6">
      <w:pPr>
        <w:ind w:firstLine="720"/>
        <w:rPr>
          <w:rFonts w:eastAsia="Georgia" w:cs="Georgia"/>
          <w:sz w:val="22"/>
          <w:szCs w:val="22"/>
        </w:rPr>
      </w:pPr>
      <w:r w:rsidRPr="00F80778">
        <w:rPr>
          <w:rFonts w:eastAsia="Georgia" w:cs="Georgia"/>
          <w:sz w:val="22"/>
          <w:szCs w:val="22"/>
        </w:rPr>
        <w:t>Each afternoon, the participating hospitals’ management information system</w:t>
      </w:r>
      <w:r w:rsidR="00A65264" w:rsidRPr="00F80778">
        <w:rPr>
          <w:rFonts w:eastAsia="Georgia" w:cs="Georgia"/>
          <w:sz w:val="22"/>
          <w:szCs w:val="22"/>
        </w:rPr>
        <w:t>s</w:t>
      </w:r>
      <w:r w:rsidRPr="00F80778">
        <w:rPr>
          <w:rFonts w:eastAsia="Georgia" w:cs="Georgia"/>
          <w:sz w:val="22"/>
          <w:szCs w:val="22"/>
        </w:rPr>
        <w:t xml:space="preserve"> will flag any newly admitted patients that meet the eligibility criteria established above.  Patients will be ordered sequentially based on their admission to the hospital; for each two new patients that are added, one will be randomly assigned to a CCWVa case manager who will then contact the patient in the hospital, outline the services offered by the HTP, and if they agree, consent the patient to receive services.  Based on the early experiences of CCWVa case managers, we </w:t>
      </w:r>
      <w:r w:rsidR="004F4880" w:rsidRPr="00F80778">
        <w:rPr>
          <w:rFonts w:eastAsia="Georgia" w:cs="Georgia"/>
          <w:sz w:val="22"/>
          <w:szCs w:val="22"/>
        </w:rPr>
        <w:t xml:space="preserve">estimate </w:t>
      </w:r>
      <w:r w:rsidRPr="00F80778">
        <w:rPr>
          <w:rFonts w:eastAsia="Georgia" w:cs="Georgia"/>
          <w:sz w:val="22"/>
          <w:szCs w:val="22"/>
        </w:rPr>
        <w:t>a 70% consent</w:t>
      </w:r>
      <w:r w:rsidR="0095397F" w:rsidRPr="00F80778">
        <w:rPr>
          <w:rFonts w:eastAsia="Georgia" w:cs="Georgia"/>
          <w:sz w:val="22"/>
          <w:szCs w:val="22"/>
        </w:rPr>
        <w:t xml:space="preserve"> rate</w:t>
      </w:r>
      <w:r w:rsidR="004F4880" w:rsidRPr="00F80778">
        <w:rPr>
          <w:rFonts w:eastAsia="Georgia" w:cs="Georgia"/>
          <w:sz w:val="22"/>
          <w:szCs w:val="22"/>
        </w:rPr>
        <w:t xml:space="preserve">; because </w:t>
      </w:r>
      <w:r w:rsidRPr="00F80778">
        <w:rPr>
          <w:rFonts w:eastAsia="Georgia" w:cs="Georgia"/>
          <w:sz w:val="22"/>
          <w:szCs w:val="22"/>
        </w:rPr>
        <w:t xml:space="preserve">we are expanding the program considerably and using a different algorithm to select cases, we are planning </w:t>
      </w:r>
      <w:r w:rsidR="004F4880" w:rsidRPr="00F80778">
        <w:rPr>
          <w:rFonts w:eastAsia="Georgia" w:cs="Georgia"/>
          <w:sz w:val="22"/>
          <w:szCs w:val="22"/>
        </w:rPr>
        <w:t>for a more conservative</w:t>
      </w:r>
      <w:r w:rsidRPr="00F80778">
        <w:rPr>
          <w:rFonts w:eastAsia="Georgia" w:cs="Georgia"/>
          <w:sz w:val="22"/>
          <w:szCs w:val="22"/>
        </w:rPr>
        <w:t xml:space="preserve"> 50% consent rate at the start</w:t>
      </w:r>
      <w:r w:rsidR="004F4880" w:rsidRPr="00F80778">
        <w:rPr>
          <w:rFonts w:eastAsia="Georgia" w:cs="Georgia"/>
          <w:sz w:val="22"/>
          <w:szCs w:val="22"/>
        </w:rPr>
        <w:t xml:space="preserve"> of the RCT</w:t>
      </w:r>
      <w:r w:rsidRPr="00F80778">
        <w:rPr>
          <w:rFonts w:eastAsia="Georgia" w:cs="Georgia"/>
          <w:sz w:val="22"/>
          <w:szCs w:val="22"/>
        </w:rPr>
        <w:t xml:space="preserve">.  CCWVa anticipates that each case manager can </w:t>
      </w:r>
      <w:r w:rsidR="00D46857" w:rsidRPr="00F80778">
        <w:rPr>
          <w:rFonts w:eastAsia="Georgia" w:cs="Georgia"/>
          <w:sz w:val="22"/>
          <w:szCs w:val="22"/>
        </w:rPr>
        <w:t>manage between</w:t>
      </w:r>
      <w:r w:rsidRPr="00F80778">
        <w:rPr>
          <w:rFonts w:eastAsia="Georgia" w:cs="Georgia"/>
          <w:sz w:val="22"/>
          <w:szCs w:val="22"/>
        </w:rPr>
        <w:t xml:space="preserve"> 150 </w:t>
      </w:r>
      <w:r w:rsidR="00D46857" w:rsidRPr="00F80778">
        <w:rPr>
          <w:rFonts w:eastAsia="Georgia" w:cs="Georgia"/>
          <w:sz w:val="22"/>
          <w:szCs w:val="22"/>
        </w:rPr>
        <w:t>and</w:t>
      </w:r>
      <w:r w:rsidRPr="00F80778">
        <w:rPr>
          <w:rFonts w:eastAsia="Georgia" w:cs="Georgia"/>
          <w:sz w:val="22"/>
          <w:szCs w:val="22"/>
        </w:rPr>
        <w:t xml:space="preserve"> 200 cases per year.  We expect that 2,400 patients will be eligible across the three hospitals each year.  Given an even chance of being offered services</w:t>
      </w:r>
      <w:r w:rsidR="00D46857" w:rsidRPr="00F80778">
        <w:rPr>
          <w:rFonts w:eastAsia="Georgia" w:cs="Georgia"/>
          <w:sz w:val="22"/>
          <w:szCs w:val="22"/>
        </w:rPr>
        <w:t xml:space="preserve"> and an expected 50% consent rate</w:t>
      </w:r>
      <w:r w:rsidRPr="00F80778">
        <w:rPr>
          <w:rFonts w:eastAsia="Georgia" w:cs="Georgia"/>
          <w:sz w:val="22"/>
          <w:szCs w:val="22"/>
        </w:rPr>
        <w:t>, if 1</w:t>
      </w:r>
      <w:r w:rsidR="00D46857" w:rsidRPr="00F80778">
        <w:rPr>
          <w:rFonts w:eastAsia="Georgia" w:cs="Georgia"/>
          <w:sz w:val="22"/>
          <w:szCs w:val="22"/>
        </w:rPr>
        <w:t>,</w:t>
      </w:r>
      <w:r w:rsidRPr="00F80778">
        <w:rPr>
          <w:rFonts w:eastAsia="Georgia" w:cs="Georgia"/>
          <w:sz w:val="22"/>
          <w:szCs w:val="22"/>
        </w:rPr>
        <w:t xml:space="preserve">200 patients are offered services, 600 will consent to be treated.  Even if the 70% consent rate as reported by the current case manager materializes, this will still be within the </w:t>
      </w:r>
      <w:r w:rsidR="00C84AF6" w:rsidRPr="00F80778">
        <w:rPr>
          <w:rFonts w:eastAsia="Georgia" w:cs="Georgia"/>
          <w:sz w:val="22"/>
          <w:szCs w:val="22"/>
        </w:rPr>
        <w:t>upper</w:t>
      </w:r>
      <w:r w:rsidRPr="00F80778">
        <w:rPr>
          <w:rFonts w:eastAsia="Georgia" w:cs="Georgia"/>
          <w:sz w:val="22"/>
          <w:szCs w:val="22"/>
        </w:rPr>
        <w:t xml:space="preserve"> bounds of what the case managers can handle.  If the consent rate is higher than 70%, we will adjust the probability of enrollment into treatment.</w:t>
      </w:r>
    </w:p>
    <w:p w14:paraId="66B51946" w14:textId="621B7890" w:rsidR="00334EC8" w:rsidRPr="00F80778" w:rsidRDefault="001C1F55" w:rsidP="00C84AF6">
      <w:pPr>
        <w:ind w:firstLine="720"/>
        <w:rPr>
          <w:rFonts w:eastAsia="Georgia" w:cs="Georgia"/>
          <w:sz w:val="22"/>
          <w:szCs w:val="22"/>
        </w:rPr>
      </w:pPr>
      <w:r w:rsidRPr="00F80778">
        <w:rPr>
          <w:rFonts w:eastAsia="Georgia" w:cs="Georgia"/>
          <w:sz w:val="22"/>
          <w:szCs w:val="22"/>
        </w:rPr>
        <w:t xml:space="preserve">Patients in the treatment group will only be consented to receive treatment from CCWVa as part of the HTP.  No one is being consented to be part of the research study because all patients will be followed using administrative data and consent is impractical in this case.  </w:t>
      </w:r>
    </w:p>
    <w:p w14:paraId="4C9775EF" w14:textId="77777777" w:rsidR="00334EC8" w:rsidRPr="00F80778" w:rsidRDefault="00334EC8">
      <w:pPr>
        <w:rPr>
          <w:sz w:val="22"/>
          <w:szCs w:val="22"/>
        </w:rPr>
      </w:pPr>
    </w:p>
    <w:p w14:paraId="6994340E" w14:textId="77777777" w:rsidR="00334EC8" w:rsidRPr="00F80778" w:rsidRDefault="006E3820">
      <w:pPr>
        <w:numPr>
          <w:ilvl w:val="0"/>
          <w:numId w:val="1"/>
        </w:numPr>
        <w:rPr>
          <w:b/>
          <w:sz w:val="22"/>
          <w:szCs w:val="22"/>
        </w:rPr>
      </w:pPr>
      <w:r w:rsidRPr="00F80778">
        <w:rPr>
          <w:b/>
          <w:sz w:val="22"/>
          <w:szCs w:val="22"/>
        </w:rPr>
        <w:t>Key Data Sources</w:t>
      </w:r>
    </w:p>
    <w:p w14:paraId="759DDBF1" w14:textId="00CF1426" w:rsidR="00334EC8" w:rsidRPr="00F80778" w:rsidRDefault="0055476A">
      <w:pPr>
        <w:rPr>
          <w:sz w:val="22"/>
          <w:szCs w:val="22"/>
        </w:rPr>
      </w:pPr>
      <w:r w:rsidRPr="00F80778">
        <w:rPr>
          <w:sz w:val="22"/>
          <w:szCs w:val="22"/>
        </w:rPr>
        <w:t xml:space="preserve">Below, we summarize the planned primary data sources for this project. </w:t>
      </w:r>
      <w:r w:rsidR="002C16D3" w:rsidRPr="00F80778">
        <w:rPr>
          <w:sz w:val="22"/>
          <w:szCs w:val="22"/>
        </w:rPr>
        <w:t>Because we do not yet have access to these data sources, outcomes may be altered somewhat depending on data availability and quality</w:t>
      </w:r>
      <w:r w:rsidR="00485139" w:rsidRPr="00F80778">
        <w:rPr>
          <w:sz w:val="22"/>
          <w:szCs w:val="22"/>
        </w:rPr>
        <w:t>.</w:t>
      </w:r>
      <w:r w:rsidRPr="00F80778">
        <w:rPr>
          <w:sz w:val="22"/>
          <w:szCs w:val="22"/>
        </w:rPr>
        <w:t xml:space="preserve"> </w:t>
      </w:r>
    </w:p>
    <w:p w14:paraId="440BAB1B" w14:textId="77777777" w:rsidR="00334EC8" w:rsidRPr="00F80778" w:rsidRDefault="00334EC8">
      <w:pPr>
        <w:rPr>
          <w:sz w:val="22"/>
          <w:szCs w:val="22"/>
        </w:rPr>
      </w:pPr>
    </w:p>
    <w:p w14:paraId="2DFE035B" w14:textId="77777777" w:rsidR="0055476A" w:rsidRPr="00F80778" w:rsidRDefault="0055476A">
      <w:pPr>
        <w:rPr>
          <w:i/>
          <w:sz w:val="22"/>
          <w:szCs w:val="22"/>
        </w:rPr>
      </w:pPr>
      <w:r w:rsidRPr="00F80778">
        <w:rPr>
          <w:i/>
          <w:sz w:val="22"/>
          <w:szCs w:val="22"/>
        </w:rPr>
        <w:t>Hospital Data</w:t>
      </w:r>
    </w:p>
    <w:p w14:paraId="6B6074D5" w14:textId="5908C38E" w:rsidR="00BF0B1E" w:rsidRPr="00F80778" w:rsidRDefault="002841F9">
      <w:pPr>
        <w:rPr>
          <w:iCs/>
          <w:sz w:val="22"/>
          <w:szCs w:val="22"/>
        </w:rPr>
      </w:pPr>
      <w:r w:rsidRPr="00F80778">
        <w:rPr>
          <w:iCs/>
          <w:sz w:val="22"/>
          <w:szCs w:val="22"/>
        </w:rPr>
        <w:t xml:space="preserve">The three participating hospitals in this study have detailed information about all </w:t>
      </w:r>
      <w:r w:rsidR="00865FF3" w:rsidRPr="00F80778">
        <w:rPr>
          <w:iCs/>
          <w:sz w:val="22"/>
          <w:szCs w:val="22"/>
        </w:rPr>
        <w:t>patients</w:t>
      </w:r>
      <w:r w:rsidRPr="00F80778">
        <w:rPr>
          <w:iCs/>
          <w:sz w:val="22"/>
          <w:szCs w:val="22"/>
        </w:rPr>
        <w:t xml:space="preserve"> in their </w:t>
      </w:r>
      <w:r w:rsidR="00CE6764" w:rsidRPr="00F80778">
        <w:rPr>
          <w:iCs/>
          <w:sz w:val="22"/>
          <w:szCs w:val="22"/>
        </w:rPr>
        <w:t xml:space="preserve">electronic medical records </w:t>
      </w:r>
      <w:r w:rsidR="00B6319F" w:rsidRPr="00F80778">
        <w:rPr>
          <w:iCs/>
          <w:sz w:val="22"/>
          <w:szCs w:val="22"/>
        </w:rPr>
        <w:t xml:space="preserve">systems. </w:t>
      </w:r>
      <w:r w:rsidR="00412A56" w:rsidRPr="00F80778">
        <w:rPr>
          <w:iCs/>
          <w:sz w:val="22"/>
          <w:szCs w:val="22"/>
        </w:rPr>
        <w:t xml:space="preserve">This includes dates of hospital stays, </w:t>
      </w:r>
      <w:r w:rsidR="0096788A" w:rsidRPr="00F80778">
        <w:rPr>
          <w:iCs/>
          <w:sz w:val="22"/>
          <w:szCs w:val="22"/>
        </w:rPr>
        <w:t>demographic information (age, race, ethnicity, and patient zip code)</w:t>
      </w:r>
      <w:r w:rsidR="002E51A6" w:rsidRPr="00F80778">
        <w:rPr>
          <w:iCs/>
          <w:sz w:val="22"/>
          <w:szCs w:val="22"/>
        </w:rPr>
        <w:t xml:space="preserve">, </w:t>
      </w:r>
      <w:r w:rsidR="00884D7B" w:rsidRPr="00F80778">
        <w:rPr>
          <w:iCs/>
          <w:sz w:val="22"/>
          <w:szCs w:val="22"/>
        </w:rPr>
        <w:t>diagnosis codes, Diagnosis Related Group (DRG), payer information (i.e., health insurance), billing information, and readmission risk score.</w:t>
      </w:r>
    </w:p>
    <w:p w14:paraId="0CA853FF" w14:textId="77777777" w:rsidR="00593953" w:rsidRPr="00F80778" w:rsidRDefault="00593953">
      <w:pPr>
        <w:rPr>
          <w:i/>
          <w:sz w:val="22"/>
          <w:szCs w:val="22"/>
        </w:rPr>
      </w:pPr>
    </w:p>
    <w:p w14:paraId="2ECA8B0D" w14:textId="600C8752" w:rsidR="00593953" w:rsidRPr="00F80778" w:rsidRDefault="00593953">
      <w:pPr>
        <w:rPr>
          <w:i/>
          <w:sz w:val="22"/>
          <w:szCs w:val="22"/>
        </w:rPr>
      </w:pPr>
      <w:r w:rsidRPr="00F80778">
        <w:rPr>
          <w:i/>
          <w:sz w:val="22"/>
          <w:szCs w:val="22"/>
        </w:rPr>
        <w:t xml:space="preserve">CCWVa </w:t>
      </w:r>
      <w:r w:rsidR="007F6D3C" w:rsidRPr="00F80778">
        <w:rPr>
          <w:i/>
          <w:sz w:val="22"/>
          <w:szCs w:val="22"/>
        </w:rPr>
        <w:t xml:space="preserve">Client </w:t>
      </w:r>
      <w:r w:rsidRPr="00F80778">
        <w:rPr>
          <w:i/>
          <w:sz w:val="22"/>
          <w:szCs w:val="22"/>
        </w:rPr>
        <w:t>Records</w:t>
      </w:r>
    </w:p>
    <w:p w14:paraId="1ABC3481" w14:textId="2D8E6F32" w:rsidR="00593953" w:rsidRPr="00F80778" w:rsidRDefault="00F51411">
      <w:pPr>
        <w:widowControl w:val="0"/>
        <w:ind w:right="398"/>
        <w:rPr>
          <w:sz w:val="22"/>
          <w:szCs w:val="22"/>
        </w:rPr>
      </w:pPr>
      <w:r w:rsidRPr="00F80778">
        <w:rPr>
          <w:sz w:val="22"/>
          <w:szCs w:val="22"/>
        </w:rPr>
        <w:t>CCWVa’s</w:t>
      </w:r>
      <w:r w:rsidR="008E6C80" w:rsidRPr="00F80778">
        <w:rPr>
          <w:sz w:val="22"/>
          <w:szCs w:val="22"/>
        </w:rPr>
        <w:t xml:space="preserve"> client information system </w:t>
      </w:r>
      <w:r w:rsidRPr="00F80778">
        <w:rPr>
          <w:sz w:val="22"/>
          <w:szCs w:val="22"/>
        </w:rPr>
        <w:t>collects</w:t>
      </w:r>
      <w:r w:rsidR="008E6C80" w:rsidRPr="00F80778">
        <w:rPr>
          <w:sz w:val="22"/>
          <w:szCs w:val="22"/>
        </w:rPr>
        <w:t xml:space="preserve"> detailed </w:t>
      </w:r>
      <w:r w:rsidRPr="00F80778">
        <w:rPr>
          <w:sz w:val="22"/>
          <w:szCs w:val="22"/>
        </w:rPr>
        <w:t xml:space="preserve">information in their electronic client management </w:t>
      </w:r>
      <w:r w:rsidRPr="00F80778">
        <w:rPr>
          <w:sz w:val="22"/>
          <w:szCs w:val="22"/>
        </w:rPr>
        <w:lastRenderedPageBreak/>
        <w:t>sy</w:t>
      </w:r>
      <w:r w:rsidR="002E0582" w:rsidRPr="00F80778">
        <w:rPr>
          <w:sz w:val="22"/>
          <w:szCs w:val="22"/>
        </w:rPr>
        <w:t>s</w:t>
      </w:r>
      <w:r w:rsidRPr="00F80778">
        <w:rPr>
          <w:sz w:val="22"/>
          <w:szCs w:val="22"/>
        </w:rPr>
        <w:t>tem, including</w:t>
      </w:r>
      <w:r w:rsidR="008E6C80" w:rsidRPr="00F80778">
        <w:rPr>
          <w:sz w:val="22"/>
          <w:szCs w:val="22"/>
        </w:rPr>
        <w:t xml:space="preserve"> what services were provided, other social service organizations with which the client was connected, </w:t>
      </w:r>
      <w:r w:rsidRPr="00F80778">
        <w:rPr>
          <w:sz w:val="22"/>
          <w:szCs w:val="22"/>
        </w:rPr>
        <w:t xml:space="preserve">and </w:t>
      </w:r>
      <w:r w:rsidR="008E6C80" w:rsidRPr="00F80778">
        <w:rPr>
          <w:sz w:val="22"/>
          <w:szCs w:val="22"/>
        </w:rPr>
        <w:t xml:space="preserve">expenditures made on behalf of the client.  This information will help us better understand the </w:t>
      </w:r>
      <w:r w:rsidRPr="00F80778">
        <w:rPr>
          <w:sz w:val="22"/>
          <w:szCs w:val="22"/>
        </w:rPr>
        <w:t xml:space="preserve">most common services utilized as well as the </w:t>
      </w:r>
      <w:r w:rsidR="008E6C80" w:rsidRPr="00F80778">
        <w:rPr>
          <w:sz w:val="22"/>
          <w:szCs w:val="22"/>
        </w:rPr>
        <w:t>investment necessary to start a hospital transition program.</w:t>
      </w:r>
    </w:p>
    <w:p w14:paraId="55940780" w14:textId="77777777" w:rsidR="002E0582" w:rsidRPr="00F80778" w:rsidRDefault="002E0582">
      <w:pPr>
        <w:widowControl w:val="0"/>
        <w:ind w:right="398"/>
        <w:rPr>
          <w:sz w:val="22"/>
          <w:szCs w:val="22"/>
        </w:rPr>
      </w:pPr>
    </w:p>
    <w:p w14:paraId="4644BBF0" w14:textId="7B3D2EA6" w:rsidR="002E0582" w:rsidRPr="00F80778" w:rsidRDefault="002E0582">
      <w:pPr>
        <w:widowControl w:val="0"/>
        <w:ind w:right="398"/>
        <w:rPr>
          <w:i/>
          <w:iCs/>
          <w:sz w:val="22"/>
          <w:szCs w:val="22"/>
        </w:rPr>
      </w:pPr>
      <w:r w:rsidRPr="00F80778">
        <w:rPr>
          <w:i/>
          <w:iCs/>
          <w:sz w:val="22"/>
          <w:szCs w:val="22"/>
        </w:rPr>
        <w:t>American Community Survey (ACS)</w:t>
      </w:r>
    </w:p>
    <w:p w14:paraId="5ACA9B7C" w14:textId="5F0BB340" w:rsidR="001A0105" w:rsidRPr="00F80778" w:rsidRDefault="001A0105">
      <w:pPr>
        <w:widowControl w:val="0"/>
        <w:ind w:right="398"/>
        <w:rPr>
          <w:sz w:val="22"/>
          <w:szCs w:val="22"/>
        </w:rPr>
      </w:pPr>
      <w:r w:rsidRPr="00F80778">
        <w:rPr>
          <w:sz w:val="22"/>
          <w:szCs w:val="22"/>
        </w:rPr>
        <w:t>The American Community Survey from the US Census Bureau will allow us to pull demographic information at the zip</w:t>
      </w:r>
      <w:r w:rsidR="007F6D3C" w:rsidRPr="00F80778">
        <w:rPr>
          <w:sz w:val="22"/>
          <w:szCs w:val="22"/>
        </w:rPr>
        <w:t xml:space="preserve"> </w:t>
      </w:r>
      <w:r w:rsidRPr="00F80778">
        <w:rPr>
          <w:sz w:val="22"/>
          <w:szCs w:val="22"/>
        </w:rPr>
        <w:t xml:space="preserve">code level for those included in the eligibility criteria.  This could include median income, poverty rates, educational attainment, and other variables that could be useful as control variables in regression analysis or balance checks. ACS </w:t>
      </w:r>
      <w:r w:rsidR="00485139" w:rsidRPr="00F80778">
        <w:rPr>
          <w:sz w:val="22"/>
          <w:szCs w:val="22"/>
        </w:rPr>
        <w:t>data are</w:t>
      </w:r>
      <w:r w:rsidRPr="00F80778">
        <w:rPr>
          <w:sz w:val="22"/>
          <w:szCs w:val="22"/>
        </w:rPr>
        <w:t xml:space="preserve"> publicly available.</w:t>
      </w:r>
    </w:p>
    <w:p w14:paraId="7474477F" w14:textId="77777777" w:rsidR="00593953" w:rsidRPr="00F80778" w:rsidRDefault="00593953">
      <w:pPr>
        <w:widowControl w:val="0"/>
        <w:ind w:right="398"/>
        <w:rPr>
          <w:sz w:val="22"/>
          <w:szCs w:val="22"/>
        </w:rPr>
      </w:pPr>
    </w:p>
    <w:p w14:paraId="1AA745B7" w14:textId="77777777" w:rsidR="00334EC8" w:rsidRPr="00F80778" w:rsidRDefault="00334EC8">
      <w:pPr>
        <w:rPr>
          <w:b/>
          <w:sz w:val="22"/>
          <w:szCs w:val="22"/>
        </w:rPr>
      </w:pPr>
    </w:p>
    <w:p w14:paraId="1E2A3F7F" w14:textId="7F0DDD0D" w:rsidR="00334EC8" w:rsidRPr="00F80778" w:rsidRDefault="006E3820" w:rsidP="00CE6764">
      <w:pPr>
        <w:numPr>
          <w:ilvl w:val="0"/>
          <w:numId w:val="1"/>
        </w:numPr>
        <w:ind w:left="630"/>
        <w:rPr>
          <w:b/>
          <w:sz w:val="22"/>
          <w:szCs w:val="22"/>
        </w:rPr>
      </w:pPr>
      <w:r w:rsidRPr="00F80778">
        <w:rPr>
          <w:b/>
          <w:sz w:val="22"/>
          <w:szCs w:val="22"/>
        </w:rPr>
        <w:t xml:space="preserve">Balance </w:t>
      </w:r>
      <w:r w:rsidR="0061211E" w:rsidRPr="00F80778">
        <w:rPr>
          <w:b/>
          <w:sz w:val="22"/>
          <w:szCs w:val="22"/>
        </w:rPr>
        <w:t>C</w:t>
      </w:r>
      <w:r w:rsidRPr="00F80778">
        <w:rPr>
          <w:b/>
          <w:sz w:val="22"/>
          <w:szCs w:val="22"/>
        </w:rPr>
        <w:t>hecks</w:t>
      </w:r>
    </w:p>
    <w:p w14:paraId="55D29F96" w14:textId="4042FA00" w:rsidR="00334EC8" w:rsidRPr="00F80778" w:rsidRDefault="00523E46">
      <w:pPr>
        <w:spacing w:after="120"/>
        <w:rPr>
          <w:sz w:val="22"/>
          <w:szCs w:val="22"/>
        </w:rPr>
      </w:pPr>
      <w:r w:rsidRPr="00F80778">
        <w:rPr>
          <w:sz w:val="22"/>
          <w:szCs w:val="22"/>
        </w:rPr>
        <w:t>We expect no statistically significant difference between treatment and control groups due to random assignment for the measures below</w:t>
      </w:r>
      <w:r w:rsidR="001A0105" w:rsidRPr="00F80778">
        <w:rPr>
          <w:sz w:val="22"/>
          <w:szCs w:val="22"/>
        </w:rPr>
        <w:t xml:space="preserve"> that are </w:t>
      </w:r>
      <w:r w:rsidRPr="00F80778">
        <w:rPr>
          <w:sz w:val="22"/>
          <w:szCs w:val="22"/>
        </w:rPr>
        <w:t xml:space="preserve">documented during a patient’s index hospital stay. Performing balance checks </w:t>
      </w:r>
      <w:r w:rsidR="00D94F1E" w:rsidRPr="00F80778">
        <w:rPr>
          <w:sz w:val="22"/>
          <w:szCs w:val="22"/>
        </w:rPr>
        <w:t>using the</w:t>
      </w:r>
      <w:r w:rsidRPr="00F80778">
        <w:rPr>
          <w:sz w:val="22"/>
          <w:szCs w:val="22"/>
        </w:rPr>
        <w:t xml:space="preserve"> </w:t>
      </w:r>
      <w:r w:rsidR="007E3548" w:rsidRPr="00F80778">
        <w:rPr>
          <w:sz w:val="22"/>
          <w:szCs w:val="22"/>
        </w:rPr>
        <w:t>patient characteristics</w:t>
      </w:r>
      <w:r w:rsidRPr="00F80778">
        <w:rPr>
          <w:sz w:val="22"/>
          <w:szCs w:val="22"/>
        </w:rPr>
        <w:t xml:space="preserve"> below will help </w:t>
      </w:r>
      <w:r w:rsidR="00D94F1E" w:rsidRPr="00F80778">
        <w:rPr>
          <w:sz w:val="22"/>
          <w:szCs w:val="22"/>
        </w:rPr>
        <w:t xml:space="preserve">validate the research design: </w:t>
      </w:r>
    </w:p>
    <w:p w14:paraId="5DBD50D6" w14:textId="77777777" w:rsidR="007E3548" w:rsidRPr="00F80778" w:rsidRDefault="007E3548" w:rsidP="007E3548">
      <w:pPr>
        <w:numPr>
          <w:ilvl w:val="0"/>
          <w:numId w:val="4"/>
        </w:numPr>
        <w:rPr>
          <w:sz w:val="22"/>
          <w:szCs w:val="22"/>
        </w:rPr>
      </w:pPr>
      <w:r w:rsidRPr="00F80778">
        <w:rPr>
          <w:sz w:val="22"/>
          <w:szCs w:val="22"/>
        </w:rPr>
        <w:t>Age</w:t>
      </w:r>
    </w:p>
    <w:p w14:paraId="07036104" w14:textId="77777777" w:rsidR="007E3548" w:rsidRPr="00F80778" w:rsidRDefault="006E3820" w:rsidP="007E3548">
      <w:pPr>
        <w:numPr>
          <w:ilvl w:val="0"/>
          <w:numId w:val="4"/>
        </w:numPr>
        <w:rPr>
          <w:sz w:val="22"/>
          <w:szCs w:val="22"/>
        </w:rPr>
      </w:pPr>
      <w:r w:rsidRPr="00F80778">
        <w:rPr>
          <w:sz w:val="22"/>
          <w:szCs w:val="22"/>
        </w:rPr>
        <w:t>Gender</w:t>
      </w:r>
    </w:p>
    <w:p w14:paraId="640C4073" w14:textId="77777777" w:rsidR="007E3548" w:rsidRPr="00F80778" w:rsidRDefault="006E3820" w:rsidP="007E3548">
      <w:pPr>
        <w:numPr>
          <w:ilvl w:val="0"/>
          <w:numId w:val="4"/>
        </w:numPr>
        <w:rPr>
          <w:sz w:val="22"/>
          <w:szCs w:val="22"/>
        </w:rPr>
      </w:pPr>
      <w:r w:rsidRPr="00F80778">
        <w:rPr>
          <w:sz w:val="22"/>
          <w:szCs w:val="22"/>
        </w:rPr>
        <w:t>Race</w:t>
      </w:r>
    </w:p>
    <w:p w14:paraId="0DE6D566" w14:textId="77777777" w:rsidR="006F40A0" w:rsidRPr="00F80778" w:rsidRDefault="006E3820" w:rsidP="007E3548">
      <w:pPr>
        <w:numPr>
          <w:ilvl w:val="0"/>
          <w:numId w:val="4"/>
        </w:numPr>
        <w:rPr>
          <w:sz w:val="22"/>
          <w:szCs w:val="22"/>
        </w:rPr>
      </w:pPr>
      <w:r w:rsidRPr="00F80778">
        <w:rPr>
          <w:sz w:val="22"/>
          <w:szCs w:val="22"/>
        </w:rPr>
        <w:t>Ethnicity</w:t>
      </w:r>
    </w:p>
    <w:p w14:paraId="0DA2213B" w14:textId="647D9C8D" w:rsidR="007E3548" w:rsidRPr="00F80778" w:rsidRDefault="000928DA" w:rsidP="007E3548">
      <w:pPr>
        <w:numPr>
          <w:ilvl w:val="0"/>
          <w:numId w:val="4"/>
        </w:numPr>
        <w:rPr>
          <w:sz w:val="22"/>
          <w:szCs w:val="22"/>
        </w:rPr>
      </w:pPr>
      <w:r w:rsidRPr="00F80778">
        <w:rPr>
          <w:sz w:val="22"/>
          <w:szCs w:val="22"/>
        </w:rPr>
        <w:t xml:space="preserve">Type of </w:t>
      </w:r>
      <w:r w:rsidR="0013711E" w:rsidRPr="00F80778">
        <w:rPr>
          <w:sz w:val="22"/>
          <w:szCs w:val="22"/>
        </w:rPr>
        <w:t xml:space="preserve">health </w:t>
      </w:r>
      <w:r w:rsidRPr="00F80778">
        <w:rPr>
          <w:sz w:val="22"/>
          <w:szCs w:val="22"/>
        </w:rPr>
        <w:t>insurance</w:t>
      </w:r>
      <w:r w:rsidR="007E3548" w:rsidRPr="00F80778">
        <w:rPr>
          <w:sz w:val="22"/>
          <w:szCs w:val="22"/>
        </w:rPr>
        <w:t xml:space="preserve"> (Medicare, Medicaid, dual </w:t>
      </w:r>
      <w:r w:rsidR="00CE1E8B" w:rsidRPr="00F80778">
        <w:rPr>
          <w:sz w:val="22"/>
          <w:szCs w:val="22"/>
        </w:rPr>
        <w:t>eligible</w:t>
      </w:r>
      <w:r w:rsidR="007E3548" w:rsidRPr="00F80778">
        <w:rPr>
          <w:sz w:val="22"/>
          <w:szCs w:val="22"/>
        </w:rPr>
        <w:t>)</w:t>
      </w:r>
    </w:p>
    <w:p w14:paraId="00B8C01B" w14:textId="6432D855" w:rsidR="00334EC8" w:rsidRPr="00F80778" w:rsidRDefault="00A23561" w:rsidP="007E3548">
      <w:pPr>
        <w:numPr>
          <w:ilvl w:val="0"/>
          <w:numId w:val="4"/>
        </w:numPr>
        <w:rPr>
          <w:sz w:val="22"/>
          <w:szCs w:val="22"/>
        </w:rPr>
      </w:pPr>
      <w:r w:rsidRPr="00F80778">
        <w:rPr>
          <w:rFonts w:eastAsia="Georgia" w:cs="Georgia"/>
          <w:sz w:val="22"/>
          <w:szCs w:val="22"/>
        </w:rPr>
        <w:t>Charlson Comorbidity Index (CCI)</w:t>
      </w:r>
    </w:p>
    <w:p w14:paraId="4A6B7BFC" w14:textId="3B72ED92" w:rsidR="007332E1" w:rsidRPr="00F80778" w:rsidRDefault="007332E1" w:rsidP="007E3548">
      <w:pPr>
        <w:numPr>
          <w:ilvl w:val="0"/>
          <w:numId w:val="4"/>
        </w:numPr>
        <w:rPr>
          <w:sz w:val="22"/>
          <w:szCs w:val="22"/>
        </w:rPr>
      </w:pPr>
      <w:r w:rsidRPr="00F80778">
        <w:rPr>
          <w:rFonts w:eastAsia="Georgia" w:cs="Georgia"/>
          <w:sz w:val="22"/>
          <w:szCs w:val="22"/>
        </w:rPr>
        <w:t>Readmission risk score (probability)</w:t>
      </w:r>
      <w:r w:rsidR="00CE1E8B" w:rsidRPr="00F80778">
        <w:rPr>
          <w:rFonts w:eastAsia="Georgia" w:cs="Georgia"/>
          <w:sz w:val="22"/>
          <w:szCs w:val="22"/>
        </w:rPr>
        <w:t xml:space="preserve"> at the time of admission</w:t>
      </w:r>
    </w:p>
    <w:p w14:paraId="54DD3171" w14:textId="1F35DB79" w:rsidR="00383FFD" w:rsidRPr="00F80778" w:rsidRDefault="00383FFD" w:rsidP="007E3548">
      <w:pPr>
        <w:numPr>
          <w:ilvl w:val="0"/>
          <w:numId w:val="4"/>
        </w:numPr>
        <w:rPr>
          <w:sz w:val="22"/>
          <w:szCs w:val="22"/>
        </w:rPr>
      </w:pPr>
      <w:r w:rsidRPr="00F80778">
        <w:rPr>
          <w:rFonts w:eastAsia="Georgia" w:cs="Georgia"/>
          <w:sz w:val="22"/>
          <w:szCs w:val="22"/>
        </w:rPr>
        <w:t xml:space="preserve">Length of </w:t>
      </w:r>
      <w:r w:rsidR="009204C8" w:rsidRPr="00F80778">
        <w:rPr>
          <w:rFonts w:eastAsia="Georgia" w:cs="Georgia"/>
          <w:sz w:val="22"/>
          <w:szCs w:val="22"/>
        </w:rPr>
        <w:t xml:space="preserve">hospital </w:t>
      </w:r>
      <w:r w:rsidRPr="00F80778">
        <w:rPr>
          <w:rFonts w:eastAsia="Georgia" w:cs="Georgia"/>
          <w:sz w:val="22"/>
          <w:szCs w:val="22"/>
        </w:rPr>
        <w:t>stay</w:t>
      </w:r>
    </w:p>
    <w:p w14:paraId="106D63BA" w14:textId="77777777" w:rsidR="002E51A6" w:rsidRPr="00F80778" w:rsidRDefault="002E51A6" w:rsidP="002E51A6">
      <w:pPr>
        <w:numPr>
          <w:ilvl w:val="0"/>
          <w:numId w:val="4"/>
        </w:numPr>
        <w:rPr>
          <w:sz w:val="22"/>
          <w:szCs w:val="22"/>
        </w:rPr>
      </w:pPr>
      <w:r w:rsidRPr="00F80778">
        <w:rPr>
          <w:sz w:val="22"/>
          <w:szCs w:val="22"/>
        </w:rPr>
        <w:t>Distance of residence from hospital (based on patient zip code)</w:t>
      </w:r>
    </w:p>
    <w:p w14:paraId="4648B9AC" w14:textId="38BACA36" w:rsidR="002E51A6" w:rsidRPr="00F80778" w:rsidRDefault="002E51A6" w:rsidP="002E51A6">
      <w:pPr>
        <w:numPr>
          <w:ilvl w:val="0"/>
          <w:numId w:val="4"/>
        </w:numPr>
        <w:rPr>
          <w:sz w:val="22"/>
          <w:szCs w:val="22"/>
        </w:rPr>
      </w:pPr>
      <w:r w:rsidRPr="00F80778">
        <w:rPr>
          <w:sz w:val="22"/>
          <w:szCs w:val="22"/>
        </w:rPr>
        <w:t>Median income of patient zip code</w:t>
      </w:r>
    </w:p>
    <w:p w14:paraId="4BCE3F0C" w14:textId="77777777" w:rsidR="00A23561" w:rsidRPr="00F80778" w:rsidRDefault="00A23561">
      <w:pPr>
        <w:rPr>
          <w:sz w:val="22"/>
          <w:szCs w:val="22"/>
        </w:rPr>
      </w:pPr>
    </w:p>
    <w:p w14:paraId="4AAE6B21" w14:textId="77777777" w:rsidR="00334EC8" w:rsidRPr="00F80778" w:rsidRDefault="006E3820" w:rsidP="00CE6764">
      <w:pPr>
        <w:numPr>
          <w:ilvl w:val="0"/>
          <w:numId w:val="1"/>
        </w:numPr>
        <w:ind w:left="630"/>
        <w:rPr>
          <w:b/>
          <w:sz w:val="22"/>
          <w:szCs w:val="22"/>
        </w:rPr>
      </w:pPr>
      <w:r w:rsidRPr="00F80778">
        <w:rPr>
          <w:b/>
          <w:sz w:val="22"/>
          <w:szCs w:val="22"/>
        </w:rPr>
        <w:t>Outcome Measures</w:t>
      </w:r>
    </w:p>
    <w:p w14:paraId="2050A7FC" w14:textId="2351B2EB" w:rsidR="00334EC8" w:rsidRPr="00F80778" w:rsidRDefault="00FD2B2D">
      <w:pPr>
        <w:spacing w:before="120"/>
        <w:rPr>
          <w:i/>
          <w:sz w:val="22"/>
          <w:szCs w:val="22"/>
        </w:rPr>
      </w:pPr>
      <w:r w:rsidRPr="00F80778">
        <w:rPr>
          <w:i/>
          <w:sz w:val="22"/>
          <w:szCs w:val="22"/>
        </w:rPr>
        <w:t>Outcome Area 1: Program Take</w:t>
      </w:r>
      <w:r w:rsidR="00CE1E8B" w:rsidRPr="00F80778">
        <w:rPr>
          <w:i/>
          <w:sz w:val="22"/>
          <w:szCs w:val="22"/>
        </w:rPr>
        <w:t>-</w:t>
      </w:r>
      <w:r w:rsidRPr="00F80778">
        <w:rPr>
          <w:i/>
          <w:sz w:val="22"/>
          <w:szCs w:val="22"/>
        </w:rPr>
        <w:t>up</w:t>
      </w:r>
    </w:p>
    <w:p w14:paraId="7EB945B1" w14:textId="0CAAD1FE" w:rsidR="00334EC8" w:rsidRPr="00F80778" w:rsidRDefault="00B634D5" w:rsidP="001C572E">
      <w:pPr>
        <w:rPr>
          <w:rFonts w:eastAsia="Georgia" w:cs="Georgia"/>
          <w:sz w:val="22"/>
          <w:szCs w:val="22"/>
        </w:rPr>
      </w:pPr>
      <w:r w:rsidRPr="00F80778">
        <w:rPr>
          <w:rFonts w:eastAsia="Georgia" w:cs="Georgia"/>
          <w:sz w:val="22"/>
          <w:szCs w:val="22"/>
        </w:rPr>
        <w:t xml:space="preserve">Our first aim seeks to identify factors that impact a patient’s decision to participate in the HTP.  This is important for two reasons.  First, it will </w:t>
      </w:r>
      <w:r w:rsidR="00CE1E8B" w:rsidRPr="00F80778">
        <w:rPr>
          <w:rFonts w:eastAsia="Georgia" w:cs="Georgia"/>
          <w:sz w:val="22"/>
          <w:szCs w:val="22"/>
        </w:rPr>
        <w:t xml:space="preserve">inform social service organization </w:t>
      </w:r>
      <w:r w:rsidRPr="00F80778">
        <w:rPr>
          <w:rFonts w:eastAsia="Georgia" w:cs="Georgia"/>
          <w:sz w:val="22"/>
          <w:szCs w:val="22"/>
        </w:rPr>
        <w:t>about what types of patients are most likely to participate in a program that provides services after a hospital stay.  Second, the results may indicate that some groups are not participating, which may require the agency delivering services to place extra effort to recruit more heavily from certain groups.  For example, suppose that patients with high comorbidities are the least likely to consent to services.  A service agency running the program may need to spend more time with these patients to outline the benefits to encourage enrollment, or experiment with different messaging to encourage enrollment from underserved groups.</w:t>
      </w:r>
      <w:r w:rsidR="003173E8" w:rsidRPr="00F80778">
        <w:rPr>
          <w:rFonts w:eastAsia="Georgia" w:cs="Georgia"/>
          <w:sz w:val="22"/>
          <w:szCs w:val="22"/>
        </w:rPr>
        <w:t xml:space="preserve"> </w:t>
      </w:r>
      <w:r w:rsidRPr="00F80778">
        <w:rPr>
          <w:rFonts w:eastAsia="Georgia" w:cs="Georgia"/>
          <w:sz w:val="22"/>
          <w:szCs w:val="22"/>
        </w:rPr>
        <w:t xml:space="preserve">The data for this will come mostly from hospital records augmented with data from CCWVa.  </w:t>
      </w:r>
    </w:p>
    <w:p w14:paraId="3CD0871F" w14:textId="77777777" w:rsidR="00CE1E8B" w:rsidRPr="00F80778" w:rsidRDefault="00CE1E8B" w:rsidP="00CE1E8B">
      <w:pPr>
        <w:rPr>
          <w:rFonts w:eastAsia="Georgia" w:cs="Georgia"/>
          <w:i/>
          <w:iCs/>
          <w:sz w:val="22"/>
          <w:szCs w:val="22"/>
        </w:rPr>
      </w:pPr>
    </w:p>
    <w:p w14:paraId="26DC768C" w14:textId="0D72178D" w:rsidR="00CE1E8B" w:rsidRPr="00F80778" w:rsidRDefault="00CE1E8B" w:rsidP="00CE1E8B">
      <w:pPr>
        <w:rPr>
          <w:rFonts w:eastAsia="Georgia" w:cs="Georgia"/>
          <w:i/>
          <w:iCs/>
          <w:sz w:val="22"/>
          <w:szCs w:val="22"/>
        </w:rPr>
      </w:pPr>
      <w:r w:rsidRPr="00F80778">
        <w:rPr>
          <w:rFonts w:eastAsia="Georgia" w:cs="Georgia"/>
          <w:i/>
          <w:iCs/>
          <w:sz w:val="22"/>
          <w:szCs w:val="22"/>
        </w:rPr>
        <w:t>Outcome Area 2: Service Utilization</w:t>
      </w:r>
    </w:p>
    <w:p w14:paraId="72BCA941" w14:textId="10DC4A0E" w:rsidR="00CE1E8B" w:rsidRPr="00F80778" w:rsidRDefault="00CE1E8B" w:rsidP="00CE1E8B">
      <w:pPr>
        <w:pStyle w:val="BodyText"/>
        <w:ind w:left="0" w:right="217"/>
      </w:pPr>
      <w:r w:rsidRPr="00F80778">
        <w:t xml:space="preserve">In addition to our analysis of who is participating in the program, we are also interested in examining the types of services provided to clients in the treatment group.  We are engaging in this analysis for two reasons.  </w:t>
      </w:r>
      <w:r w:rsidRPr="00F80778">
        <w:rPr>
          <w:rFonts w:eastAsia="Georgia" w:cs="Georgia"/>
        </w:rPr>
        <w:t xml:space="preserve">First, if the program is effective in reducing readmissions, we want to have some understanding of the mechanisms that generate these results.  Patient needs will be quite varied, including but not limited to social isolation, lack of transportation, lack of food, living in a space that is not conducive to recovery, </w:t>
      </w:r>
      <w:r w:rsidRPr="00F80778">
        <w:rPr>
          <w:rFonts w:eastAsia="Georgia" w:cs="Georgia"/>
        </w:rPr>
        <w:lastRenderedPageBreak/>
        <w:t xml:space="preserve">and not understanding discharge instructions.  Knowing what services are provided to clients will help us to identify which services are most helpful in preventing hospital readmissions.  A second reason for this analysis is that if </w:t>
      </w:r>
      <w:r w:rsidRPr="00F80778">
        <w:t>the program is successful in reducing readmission rates and associated costs, social service organizations willing to participate in such an endeavor will need to know the types of services they should be providing through the intervention.  Additionally, CMS now requires hospitals to collect data on the social determinants of health, so this type of data can be used to indicate underlying need and help better target the intervention in the future.</w:t>
      </w:r>
    </w:p>
    <w:p w14:paraId="003CF004" w14:textId="77777777" w:rsidR="00CE1E8B" w:rsidRPr="00F80778" w:rsidRDefault="00CE1E8B" w:rsidP="00B634D5">
      <w:pPr>
        <w:rPr>
          <w:rFonts w:eastAsia="Georgia" w:cs="Georgia"/>
          <w:sz w:val="22"/>
          <w:szCs w:val="22"/>
        </w:rPr>
      </w:pPr>
    </w:p>
    <w:p w14:paraId="5EB642C2" w14:textId="1046A570" w:rsidR="003173E8" w:rsidRPr="00F80778" w:rsidRDefault="003173E8" w:rsidP="00B634D5">
      <w:pPr>
        <w:rPr>
          <w:rFonts w:eastAsia="Georgia" w:cs="Georgia"/>
          <w:i/>
          <w:iCs/>
          <w:sz w:val="22"/>
          <w:szCs w:val="22"/>
        </w:rPr>
      </w:pPr>
      <w:r w:rsidRPr="00F80778">
        <w:rPr>
          <w:rFonts w:eastAsia="Georgia" w:cs="Georgia"/>
          <w:i/>
          <w:iCs/>
          <w:sz w:val="22"/>
          <w:szCs w:val="22"/>
        </w:rPr>
        <w:t xml:space="preserve">Outcome Area </w:t>
      </w:r>
      <w:r w:rsidR="00CE1E8B" w:rsidRPr="00F80778">
        <w:rPr>
          <w:rFonts w:eastAsia="Georgia" w:cs="Georgia"/>
          <w:i/>
          <w:iCs/>
          <w:sz w:val="22"/>
          <w:szCs w:val="22"/>
        </w:rPr>
        <w:t>3</w:t>
      </w:r>
      <w:r w:rsidRPr="00F80778">
        <w:rPr>
          <w:rFonts w:eastAsia="Georgia" w:cs="Georgia"/>
          <w:i/>
          <w:iCs/>
          <w:sz w:val="22"/>
          <w:szCs w:val="22"/>
        </w:rPr>
        <w:t>: Hospital Readmissions</w:t>
      </w:r>
    </w:p>
    <w:p w14:paraId="0A11EBE8" w14:textId="66B0682C" w:rsidR="00BF0B1E" w:rsidRPr="00F80778" w:rsidRDefault="0033352E" w:rsidP="00B634D5">
      <w:pPr>
        <w:rPr>
          <w:rFonts w:eastAsia="Georgia" w:cs="Georgia"/>
          <w:sz w:val="22"/>
          <w:szCs w:val="22"/>
        </w:rPr>
      </w:pPr>
      <w:r w:rsidRPr="00F80778">
        <w:rPr>
          <w:rFonts w:eastAsia="Georgia" w:cs="Georgia"/>
          <w:sz w:val="22"/>
          <w:szCs w:val="22"/>
        </w:rPr>
        <w:t>The main outcome of interest for our study is whether or not a patient was readmitted to the hospital for any reason after their index hospital stay.</w:t>
      </w:r>
      <w:r w:rsidR="001C3149" w:rsidRPr="00F80778">
        <w:rPr>
          <w:rFonts w:eastAsia="Georgia" w:cs="Georgia"/>
          <w:sz w:val="22"/>
          <w:szCs w:val="22"/>
        </w:rPr>
        <w:t xml:space="preserve"> Using </w:t>
      </w:r>
      <w:r w:rsidR="003118AA" w:rsidRPr="00F80778">
        <w:rPr>
          <w:rFonts w:eastAsia="Georgia" w:cs="Georgia"/>
          <w:sz w:val="22"/>
          <w:szCs w:val="22"/>
        </w:rPr>
        <w:t>data provided by participating hospitals</w:t>
      </w:r>
      <w:r w:rsidR="001C3149" w:rsidRPr="00F80778">
        <w:rPr>
          <w:rFonts w:eastAsia="Georgia" w:cs="Georgia"/>
          <w:sz w:val="22"/>
          <w:szCs w:val="22"/>
        </w:rPr>
        <w:t xml:space="preserve">, we can observe whether a patient was admitted to the hospital within </w:t>
      </w:r>
      <w:r w:rsidR="003118AA" w:rsidRPr="00F80778">
        <w:rPr>
          <w:rFonts w:eastAsia="Georgia" w:cs="Georgia"/>
          <w:sz w:val="22"/>
          <w:szCs w:val="22"/>
        </w:rPr>
        <w:t>7, 14, 30, 60, 90, and 180 days of a hospital discharge.</w:t>
      </w:r>
    </w:p>
    <w:p w14:paraId="1407B12C" w14:textId="77777777" w:rsidR="00AD31C6" w:rsidRPr="00F80778" w:rsidRDefault="00AD31C6" w:rsidP="00B634D5">
      <w:pPr>
        <w:rPr>
          <w:rFonts w:eastAsia="Georgia" w:cs="Georgia"/>
          <w:i/>
          <w:iCs/>
          <w:sz w:val="22"/>
          <w:szCs w:val="22"/>
        </w:rPr>
      </w:pPr>
    </w:p>
    <w:p w14:paraId="1406CC9F" w14:textId="01457AF4" w:rsidR="00B57A02" w:rsidRPr="00F80778" w:rsidRDefault="00B57A02" w:rsidP="00B634D5">
      <w:pPr>
        <w:rPr>
          <w:rFonts w:eastAsia="Georgia" w:cs="Georgia"/>
          <w:i/>
          <w:iCs/>
          <w:sz w:val="22"/>
          <w:szCs w:val="22"/>
        </w:rPr>
      </w:pPr>
      <w:r w:rsidRPr="00F80778">
        <w:rPr>
          <w:rFonts w:eastAsia="Georgia" w:cs="Georgia"/>
          <w:i/>
          <w:iCs/>
          <w:sz w:val="22"/>
          <w:szCs w:val="22"/>
        </w:rPr>
        <w:t xml:space="preserve">Outcome Area </w:t>
      </w:r>
      <w:r w:rsidR="00CE1E8B" w:rsidRPr="00F80778">
        <w:rPr>
          <w:rFonts w:eastAsia="Georgia" w:cs="Georgia"/>
          <w:i/>
          <w:iCs/>
          <w:sz w:val="22"/>
          <w:szCs w:val="22"/>
        </w:rPr>
        <w:t>4</w:t>
      </w:r>
      <w:r w:rsidRPr="00F80778">
        <w:rPr>
          <w:rFonts w:eastAsia="Georgia" w:cs="Georgia"/>
          <w:i/>
          <w:iCs/>
          <w:sz w:val="22"/>
          <w:szCs w:val="22"/>
        </w:rPr>
        <w:t xml:space="preserve">: </w:t>
      </w:r>
      <w:r w:rsidR="008E6C80" w:rsidRPr="00F80778">
        <w:rPr>
          <w:rFonts w:eastAsia="Georgia" w:cs="Georgia"/>
          <w:i/>
          <w:iCs/>
          <w:sz w:val="22"/>
          <w:szCs w:val="22"/>
        </w:rPr>
        <w:t>Hospital</w:t>
      </w:r>
      <w:r w:rsidRPr="00F80778">
        <w:rPr>
          <w:rFonts w:eastAsia="Georgia" w:cs="Georgia"/>
          <w:i/>
          <w:iCs/>
          <w:sz w:val="22"/>
          <w:szCs w:val="22"/>
        </w:rPr>
        <w:t xml:space="preserve"> </w:t>
      </w:r>
      <w:r w:rsidR="00227CD2" w:rsidRPr="00F80778">
        <w:rPr>
          <w:rFonts w:eastAsia="Georgia" w:cs="Georgia"/>
          <w:i/>
          <w:iCs/>
          <w:sz w:val="22"/>
          <w:szCs w:val="22"/>
        </w:rPr>
        <w:t>Charges</w:t>
      </w:r>
    </w:p>
    <w:p w14:paraId="73C1CEF1" w14:textId="618A9E22" w:rsidR="007F07F6" w:rsidRPr="00F80778" w:rsidRDefault="007F07F6" w:rsidP="007F07F6">
      <w:pPr>
        <w:rPr>
          <w:rFonts w:eastAsia="Georgia" w:cs="Georgia"/>
          <w:sz w:val="22"/>
          <w:szCs w:val="22"/>
        </w:rPr>
      </w:pPr>
      <w:r w:rsidRPr="00F80778">
        <w:rPr>
          <w:rFonts w:eastAsia="Georgia" w:cs="Georgia"/>
          <w:sz w:val="22"/>
          <w:szCs w:val="22"/>
        </w:rPr>
        <w:t xml:space="preserve">Using the same method described for Outcome Area </w:t>
      </w:r>
      <w:r w:rsidR="00824D7F" w:rsidRPr="00F80778">
        <w:rPr>
          <w:rFonts w:eastAsia="Georgia" w:cs="Georgia"/>
          <w:sz w:val="22"/>
          <w:szCs w:val="22"/>
        </w:rPr>
        <w:t>3</w:t>
      </w:r>
      <w:r w:rsidRPr="00F80778">
        <w:rPr>
          <w:rFonts w:eastAsia="Georgia" w:cs="Georgia"/>
          <w:sz w:val="22"/>
          <w:szCs w:val="22"/>
        </w:rPr>
        <w:t xml:space="preserve">, we will sum </w:t>
      </w:r>
      <w:r w:rsidR="001C572E" w:rsidRPr="00F80778">
        <w:rPr>
          <w:rFonts w:eastAsia="Georgia" w:cs="Georgia"/>
          <w:sz w:val="22"/>
          <w:szCs w:val="22"/>
        </w:rPr>
        <w:t>all</w:t>
      </w:r>
      <w:r w:rsidRPr="00F80778">
        <w:rPr>
          <w:rFonts w:eastAsia="Georgia" w:cs="Georgia"/>
          <w:sz w:val="22"/>
          <w:szCs w:val="22"/>
        </w:rPr>
        <w:t xml:space="preserve"> costs associated with a hospital readmission</w:t>
      </w:r>
      <w:r w:rsidR="00227CD2" w:rsidRPr="00F80778">
        <w:rPr>
          <w:rFonts w:eastAsia="Georgia" w:cs="Georgia"/>
          <w:sz w:val="22"/>
          <w:szCs w:val="22"/>
        </w:rPr>
        <w:t xml:space="preserve"> </w:t>
      </w:r>
      <w:r w:rsidR="004F1F7D" w:rsidRPr="00F80778">
        <w:rPr>
          <w:rFonts w:eastAsia="Georgia" w:cs="Georgia"/>
          <w:sz w:val="22"/>
          <w:szCs w:val="22"/>
        </w:rPr>
        <w:t>based on hospital billing information</w:t>
      </w:r>
      <w:r w:rsidRPr="00F80778">
        <w:rPr>
          <w:rFonts w:eastAsia="Georgia" w:cs="Georgia"/>
          <w:sz w:val="22"/>
          <w:szCs w:val="22"/>
        </w:rPr>
        <w:t>.</w:t>
      </w:r>
      <w:r w:rsidR="00227CD2" w:rsidRPr="00F80778">
        <w:rPr>
          <w:rFonts w:eastAsia="Georgia" w:cs="Georgia"/>
          <w:sz w:val="22"/>
          <w:szCs w:val="22"/>
        </w:rPr>
        <w:t xml:space="preserve"> These estimates are critical in that they identify the financial sustainability of the HTP intervention. If the intervention reduces readmissions and their subsequent costs, we can compare the benefits to the underlying costs of the program.  </w:t>
      </w:r>
    </w:p>
    <w:p w14:paraId="759897C3" w14:textId="0079CC5D" w:rsidR="00AD31C6" w:rsidRPr="00F80778" w:rsidRDefault="00AD31C6" w:rsidP="00AD31C6">
      <w:pPr>
        <w:pStyle w:val="Heading1"/>
        <w:numPr>
          <w:ilvl w:val="0"/>
          <w:numId w:val="1"/>
        </w:numPr>
        <w:rPr>
          <w:sz w:val="22"/>
          <w:szCs w:val="22"/>
        </w:rPr>
      </w:pPr>
      <w:r w:rsidRPr="00F80778">
        <w:rPr>
          <w:sz w:val="22"/>
          <w:szCs w:val="22"/>
        </w:rPr>
        <w:t>Exploratory Subgroup Analysis</w:t>
      </w:r>
    </w:p>
    <w:p w14:paraId="403EF090" w14:textId="5460DC45" w:rsidR="000624F3" w:rsidRPr="00F80778" w:rsidRDefault="000624F3" w:rsidP="001C3149">
      <w:pPr>
        <w:ind w:firstLine="720"/>
        <w:rPr>
          <w:rFonts w:eastAsia="Georgia" w:cs="Georgia"/>
          <w:sz w:val="22"/>
          <w:szCs w:val="22"/>
        </w:rPr>
      </w:pPr>
      <w:r w:rsidRPr="00F80778">
        <w:rPr>
          <w:rFonts w:eastAsia="Georgia" w:cs="Georgia"/>
          <w:sz w:val="22"/>
          <w:szCs w:val="22"/>
        </w:rPr>
        <w:t>Although all eligible patients are at high risk of having a hospital readmission, there is tremendous heterogeneity within a condition in co-morbidities that impact readmission rates.  We therefore plan to examine whether results vary based on patient acuity. To do this,</w:t>
      </w:r>
      <w:r w:rsidR="00AA7C33" w:rsidRPr="00F80778">
        <w:rPr>
          <w:rFonts w:eastAsia="Georgia" w:cs="Georgia"/>
          <w:sz w:val="22"/>
          <w:szCs w:val="22"/>
        </w:rPr>
        <w:t xml:space="preserve"> we</w:t>
      </w:r>
      <w:r w:rsidRPr="00F80778">
        <w:rPr>
          <w:rFonts w:eastAsia="Georgia" w:cs="Georgia"/>
          <w:sz w:val="22"/>
          <w:szCs w:val="22"/>
        </w:rPr>
        <w:t xml:space="preserve"> </w:t>
      </w:r>
      <w:r w:rsidR="00C16B9D" w:rsidRPr="00F80778">
        <w:rPr>
          <w:rFonts w:eastAsia="Georgia" w:cs="Georgia"/>
          <w:sz w:val="22"/>
          <w:szCs w:val="22"/>
        </w:rPr>
        <w:t>will first</w:t>
      </w:r>
      <w:r w:rsidRPr="00F80778">
        <w:rPr>
          <w:rFonts w:eastAsia="Georgia" w:cs="Georgia"/>
          <w:sz w:val="22"/>
          <w:szCs w:val="22"/>
        </w:rPr>
        <w:t xml:space="preserve"> construct a Charlson Comorbidity Index (CCI) to measure patient acuity using a patient’s co-morbidities </w:t>
      </w:r>
      <w:r w:rsidR="008C0DDE" w:rsidRPr="00F80778">
        <w:rPr>
          <w:rFonts w:eastAsia="Georgia" w:cs="Georgia"/>
          <w:sz w:val="22"/>
          <w:szCs w:val="22"/>
        </w:rPr>
        <w:t xml:space="preserve">as </w:t>
      </w:r>
      <w:r w:rsidRPr="00F80778">
        <w:rPr>
          <w:rFonts w:eastAsia="Georgia" w:cs="Georgia"/>
          <w:sz w:val="22"/>
          <w:szCs w:val="22"/>
        </w:rPr>
        <w:t>measured by ICD-10 diagnosis codes recorded in a patient’s electronic health record (Charlson et al., 1987; Charlson et al., 1994).  The index is an integer value from 0 to 14 that is designed to predict one-year patient mortality.</w:t>
      </w:r>
      <w:r w:rsidRPr="00F80778">
        <w:rPr>
          <w:rFonts w:eastAsia="Georgia" w:cs="Georgia"/>
          <w:sz w:val="22"/>
          <w:szCs w:val="22"/>
          <w:vertAlign w:val="superscript"/>
        </w:rPr>
        <w:footnoteReference w:id="1"/>
      </w:r>
      <w:r w:rsidRPr="00F80778">
        <w:rPr>
          <w:rFonts w:eastAsia="Georgia" w:cs="Georgia"/>
          <w:sz w:val="22"/>
          <w:szCs w:val="22"/>
        </w:rPr>
        <w:t xml:space="preserve">  Our own previous work and an extensive list of papers in the medical literature demonstrate that the index is highly predictive of 30-day readmission rates as well.</w:t>
      </w:r>
      <w:r w:rsidRPr="00F80778">
        <w:rPr>
          <w:rFonts w:eastAsia="Georgia" w:cs="Georgia"/>
          <w:sz w:val="22"/>
          <w:szCs w:val="22"/>
          <w:vertAlign w:val="superscript"/>
        </w:rPr>
        <w:footnoteReference w:id="2"/>
      </w:r>
      <w:r w:rsidRPr="00F80778">
        <w:rPr>
          <w:rFonts w:eastAsia="Georgia" w:cs="Georgia"/>
          <w:sz w:val="22"/>
          <w:szCs w:val="22"/>
        </w:rPr>
        <w:t xml:space="preserve">  </w:t>
      </w:r>
      <w:r w:rsidR="008C0DDE" w:rsidRPr="00F80778">
        <w:rPr>
          <w:rFonts w:eastAsia="Georgia" w:cs="Georgia"/>
          <w:sz w:val="22"/>
          <w:szCs w:val="22"/>
        </w:rPr>
        <w:t>We will then consider sub</w:t>
      </w:r>
      <w:r w:rsidRPr="00F80778">
        <w:rPr>
          <w:rFonts w:eastAsia="Georgia" w:cs="Georgia"/>
          <w:sz w:val="22"/>
          <w:szCs w:val="22"/>
        </w:rPr>
        <w:t>groups based on the CCI</w:t>
      </w:r>
      <w:r w:rsidR="008C0DDE" w:rsidRPr="00F80778">
        <w:rPr>
          <w:rFonts w:eastAsia="Georgia" w:cs="Georgia"/>
          <w:sz w:val="22"/>
          <w:szCs w:val="22"/>
        </w:rPr>
        <w:t>,</w:t>
      </w:r>
      <w:r w:rsidRPr="00F80778">
        <w:rPr>
          <w:rFonts w:eastAsia="Georgia" w:cs="Georgia"/>
          <w:sz w:val="22"/>
          <w:szCs w:val="22"/>
        </w:rPr>
        <w:t xml:space="preserve"> and estimate separate models for each group to examine whether the HTP has different impacts for low-, medium-, and high-risk patients.  In our previous work, we grouped together patients with similar CCI scores (0 to 1, 2 to 3, and 4 or higher)</w:t>
      </w:r>
      <w:r w:rsidR="00206308" w:rsidRPr="00F80778">
        <w:rPr>
          <w:rFonts w:eastAsia="Georgia" w:cs="Georgia"/>
          <w:sz w:val="22"/>
          <w:szCs w:val="22"/>
        </w:rPr>
        <w:t>, but</w:t>
      </w:r>
      <w:r w:rsidR="008C0DDE" w:rsidRPr="00F80778">
        <w:rPr>
          <w:rFonts w:eastAsia="Georgia" w:cs="Georgia"/>
          <w:sz w:val="22"/>
          <w:szCs w:val="22"/>
        </w:rPr>
        <w:t xml:space="preserve"> we expect that given the high-risk population identified through the eligibility criteria listed above</w:t>
      </w:r>
      <w:r w:rsidR="00593197" w:rsidRPr="00F80778">
        <w:rPr>
          <w:rFonts w:eastAsia="Georgia" w:cs="Georgia"/>
          <w:sz w:val="22"/>
          <w:szCs w:val="22"/>
        </w:rPr>
        <w:t xml:space="preserve"> that</w:t>
      </w:r>
      <w:r w:rsidR="008C0DDE" w:rsidRPr="00F80778">
        <w:rPr>
          <w:rFonts w:eastAsia="Georgia" w:cs="Georgia"/>
          <w:sz w:val="22"/>
          <w:szCs w:val="22"/>
        </w:rPr>
        <w:t xml:space="preserve"> the distribution of CCI scores in </w:t>
      </w:r>
      <w:r w:rsidR="00C16B9D" w:rsidRPr="00F80778">
        <w:rPr>
          <w:rFonts w:eastAsia="Georgia" w:cs="Georgia"/>
          <w:sz w:val="22"/>
          <w:szCs w:val="22"/>
        </w:rPr>
        <w:t xml:space="preserve">our </w:t>
      </w:r>
      <w:r w:rsidR="00FE5130" w:rsidRPr="00F80778">
        <w:rPr>
          <w:rFonts w:eastAsia="Georgia" w:cs="Georgia"/>
          <w:sz w:val="22"/>
          <w:szCs w:val="22"/>
        </w:rPr>
        <w:t xml:space="preserve">patient </w:t>
      </w:r>
      <w:r w:rsidR="00C16B9D" w:rsidRPr="00F80778">
        <w:rPr>
          <w:rFonts w:eastAsia="Georgia" w:cs="Georgia"/>
          <w:sz w:val="22"/>
          <w:szCs w:val="22"/>
        </w:rPr>
        <w:t>sample</w:t>
      </w:r>
      <w:r w:rsidR="008C0DDE" w:rsidRPr="00F80778">
        <w:rPr>
          <w:rFonts w:eastAsia="Georgia" w:cs="Georgia"/>
          <w:sz w:val="22"/>
          <w:szCs w:val="22"/>
        </w:rPr>
        <w:t xml:space="preserve"> will be clustered around higher CCI scores</w:t>
      </w:r>
      <w:r w:rsidRPr="00F80778">
        <w:rPr>
          <w:rFonts w:eastAsia="Georgia" w:cs="Georgia"/>
          <w:sz w:val="22"/>
          <w:szCs w:val="22"/>
        </w:rPr>
        <w:t xml:space="preserve">.  </w:t>
      </w:r>
      <w:r w:rsidR="008C0DDE" w:rsidRPr="00F80778">
        <w:rPr>
          <w:rFonts w:eastAsia="Georgia" w:cs="Georgia"/>
          <w:sz w:val="22"/>
          <w:szCs w:val="22"/>
        </w:rPr>
        <w:t>In</w:t>
      </w:r>
      <w:r w:rsidRPr="00F80778">
        <w:rPr>
          <w:rFonts w:eastAsia="Georgia" w:cs="Georgia"/>
          <w:sz w:val="22"/>
          <w:szCs w:val="22"/>
        </w:rPr>
        <w:t xml:space="preserve"> our previous work, </w:t>
      </w:r>
      <w:r w:rsidR="008C0DDE" w:rsidRPr="00F80778">
        <w:rPr>
          <w:rFonts w:eastAsia="Georgia" w:cs="Georgia"/>
          <w:sz w:val="22"/>
          <w:szCs w:val="22"/>
        </w:rPr>
        <w:t xml:space="preserve">the </w:t>
      </w:r>
      <w:r w:rsidR="00593197" w:rsidRPr="00F80778">
        <w:rPr>
          <w:rFonts w:eastAsia="Georgia" w:cs="Georgia"/>
          <w:sz w:val="22"/>
          <w:szCs w:val="22"/>
        </w:rPr>
        <w:t xml:space="preserve">CCI </w:t>
      </w:r>
      <w:r w:rsidR="008C0DDE" w:rsidRPr="00F80778">
        <w:rPr>
          <w:rFonts w:eastAsia="Georgia" w:cs="Georgia"/>
          <w:sz w:val="22"/>
          <w:szCs w:val="22"/>
        </w:rPr>
        <w:t>groups were also</w:t>
      </w:r>
      <w:r w:rsidRPr="00F80778">
        <w:rPr>
          <w:rFonts w:eastAsia="Georgia" w:cs="Georgia"/>
          <w:sz w:val="22"/>
          <w:szCs w:val="22"/>
        </w:rPr>
        <w:t xml:space="preserve"> not even in size as the lowest risk group </w:t>
      </w:r>
      <w:r w:rsidR="00C348D5" w:rsidRPr="00F80778">
        <w:rPr>
          <w:rFonts w:eastAsia="Georgia" w:cs="Georgia"/>
          <w:sz w:val="22"/>
          <w:szCs w:val="22"/>
        </w:rPr>
        <w:t>was</w:t>
      </w:r>
      <w:r w:rsidRPr="00F80778">
        <w:rPr>
          <w:rFonts w:eastAsia="Georgia" w:cs="Georgia"/>
          <w:sz w:val="22"/>
          <w:szCs w:val="22"/>
        </w:rPr>
        <w:t xml:space="preserve"> about 2.5 times the size of the highest risk group.  However, the baseline risk of readmission </w:t>
      </w:r>
      <w:r w:rsidR="008C0DDE" w:rsidRPr="00F80778">
        <w:rPr>
          <w:rFonts w:eastAsia="Georgia" w:cs="Georgia"/>
          <w:sz w:val="22"/>
          <w:szCs w:val="22"/>
        </w:rPr>
        <w:t>was</w:t>
      </w:r>
      <w:r w:rsidRPr="00F80778">
        <w:rPr>
          <w:rFonts w:eastAsia="Georgia" w:cs="Georgia"/>
          <w:sz w:val="22"/>
          <w:szCs w:val="22"/>
        </w:rPr>
        <w:t xml:space="preserve"> twice as high in the highest risk group relative to the lowest risk group; so, although sample sizes were very different across risk groups, the statistical power was similar.</w:t>
      </w:r>
    </w:p>
    <w:p w14:paraId="7784D5F5" w14:textId="5654C498" w:rsidR="00AD31C6" w:rsidRPr="00F80778" w:rsidRDefault="000624F3" w:rsidP="00D94F1E">
      <w:pPr>
        <w:ind w:firstLine="720"/>
        <w:rPr>
          <w:rFonts w:eastAsia="Georgia" w:cs="Georgia"/>
          <w:sz w:val="22"/>
          <w:szCs w:val="22"/>
        </w:rPr>
      </w:pPr>
      <w:r w:rsidRPr="00F80778">
        <w:rPr>
          <w:rFonts w:eastAsia="Georgia" w:cs="Georgia"/>
          <w:sz w:val="22"/>
          <w:szCs w:val="22"/>
        </w:rPr>
        <w:t xml:space="preserve">In our previous work, we found that effects of the Chicago hospital transition program were driven by patients who were dually eligible for Medicare and Medicaid, as well as by black and Hispanic patients. We plan to conduct a similar analysis in West Virginia to examine whether the program has differential impacts on Medicaid, Medicare, and dually eligible patients.  Preliminary analysis suggests that about a quarter of the sample will be Medicaid enrollees, about a quarter is dually eligible for both Medicare and Medicaid, and half </w:t>
      </w:r>
      <w:r w:rsidRPr="00F80778">
        <w:rPr>
          <w:rFonts w:eastAsia="Georgia" w:cs="Georgia"/>
          <w:sz w:val="22"/>
          <w:szCs w:val="22"/>
        </w:rPr>
        <w:lastRenderedPageBreak/>
        <w:t>will be enrolled in Medicare only.  The black and Hispanic population is so small in Wheeling and Huntington that we will not have the statistical power to examine result heterogeneity by race or ethnicity.</w:t>
      </w:r>
    </w:p>
    <w:p w14:paraId="1EFD0136" w14:textId="77777777" w:rsidR="00334EC8" w:rsidRPr="00F80778" w:rsidRDefault="00334EC8">
      <w:pPr>
        <w:rPr>
          <w:b/>
          <w:sz w:val="22"/>
          <w:szCs w:val="22"/>
        </w:rPr>
      </w:pPr>
    </w:p>
    <w:p w14:paraId="6B24294A" w14:textId="77777777" w:rsidR="00334EC8" w:rsidRPr="00F80778" w:rsidRDefault="006E3820" w:rsidP="00AD31C6">
      <w:pPr>
        <w:pStyle w:val="Heading1"/>
        <w:rPr>
          <w:sz w:val="22"/>
          <w:szCs w:val="22"/>
        </w:rPr>
      </w:pPr>
      <w:r w:rsidRPr="00F80778">
        <w:rPr>
          <w:sz w:val="22"/>
          <w:szCs w:val="22"/>
        </w:rPr>
        <w:t xml:space="preserve">VII.     Data Analysis </w:t>
      </w:r>
    </w:p>
    <w:p w14:paraId="2F04C743" w14:textId="77777777" w:rsidR="00C80F32" w:rsidRPr="00F80778" w:rsidRDefault="00C80F32" w:rsidP="00C80F32">
      <w:pPr>
        <w:rPr>
          <w:rFonts w:eastAsia="Georgia" w:cs="Georgia"/>
          <w:i/>
          <w:sz w:val="22"/>
          <w:szCs w:val="22"/>
        </w:rPr>
      </w:pPr>
    </w:p>
    <w:p w14:paraId="2D986750" w14:textId="00A97650" w:rsidR="00B634D5" w:rsidRPr="00F80778" w:rsidRDefault="00C80F32" w:rsidP="00B634D5">
      <w:pPr>
        <w:rPr>
          <w:rFonts w:eastAsia="Georgia" w:cs="Georgia"/>
          <w:i/>
          <w:sz w:val="22"/>
          <w:szCs w:val="22"/>
        </w:rPr>
      </w:pPr>
      <w:r w:rsidRPr="00F80778">
        <w:rPr>
          <w:rFonts w:eastAsia="Georgia" w:cs="Georgia"/>
          <w:i/>
          <w:sz w:val="22"/>
          <w:szCs w:val="22"/>
        </w:rPr>
        <w:t xml:space="preserve">Describing the </w:t>
      </w:r>
      <w:r w:rsidR="00CE6764" w:rsidRPr="00F80778">
        <w:rPr>
          <w:rFonts w:eastAsia="Georgia" w:cs="Georgia"/>
          <w:i/>
          <w:sz w:val="22"/>
          <w:szCs w:val="22"/>
        </w:rPr>
        <w:t>P</w:t>
      </w:r>
      <w:r w:rsidRPr="00F80778">
        <w:rPr>
          <w:rFonts w:eastAsia="Georgia" w:cs="Georgia"/>
          <w:i/>
          <w:sz w:val="22"/>
          <w:szCs w:val="22"/>
        </w:rPr>
        <w:t xml:space="preserve">atients that </w:t>
      </w:r>
      <w:r w:rsidR="00CE6764" w:rsidRPr="00F80778">
        <w:rPr>
          <w:rFonts w:eastAsia="Georgia" w:cs="Georgia"/>
          <w:i/>
          <w:sz w:val="22"/>
          <w:szCs w:val="22"/>
        </w:rPr>
        <w:t>E</w:t>
      </w:r>
      <w:r w:rsidRPr="00F80778">
        <w:rPr>
          <w:rFonts w:eastAsia="Georgia" w:cs="Georgia"/>
          <w:i/>
          <w:sz w:val="22"/>
          <w:szCs w:val="22"/>
        </w:rPr>
        <w:t xml:space="preserve">nroll and the </w:t>
      </w:r>
      <w:r w:rsidR="00CE6764" w:rsidRPr="00F80778">
        <w:rPr>
          <w:rFonts w:eastAsia="Georgia" w:cs="Georgia"/>
          <w:i/>
          <w:sz w:val="22"/>
          <w:szCs w:val="22"/>
        </w:rPr>
        <w:t>S</w:t>
      </w:r>
      <w:r w:rsidRPr="00F80778">
        <w:rPr>
          <w:rFonts w:eastAsia="Georgia" w:cs="Georgia"/>
          <w:i/>
          <w:sz w:val="22"/>
          <w:szCs w:val="22"/>
        </w:rPr>
        <w:t xml:space="preserve">ervices they </w:t>
      </w:r>
      <w:r w:rsidR="00CE6764" w:rsidRPr="00F80778">
        <w:rPr>
          <w:rFonts w:eastAsia="Georgia" w:cs="Georgia"/>
          <w:i/>
          <w:sz w:val="22"/>
          <w:szCs w:val="22"/>
        </w:rPr>
        <w:t>R</w:t>
      </w:r>
      <w:r w:rsidRPr="00F80778">
        <w:rPr>
          <w:rFonts w:eastAsia="Georgia" w:cs="Georgia"/>
          <w:i/>
          <w:sz w:val="22"/>
          <w:szCs w:val="22"/>
        </w:rPr>
        <w:t>eceive</w:t>
      </w:r>
    </w:p>
    <w:p w14:paraId="4AC0238E" w14:textId="22EF1DF5" w:rsidR="00C80F32" w:rsidRPr="00F80778" w:rsidRDefault="00C80F32" w:rsidP="00C80F32">
      <w:pPr>
        <w:ind w:firstLine="720"/>
        <w:rPr>
          <w:rFonts w:eastAsia="Georgia" w:cs="Georgia"/>
          <w:sz w:val="22"/>
          <w:szCs w:val="22"/>
        </w:rPr>
      </w:pPr>
      <w:r w:rsidRPr="00F80778">
        <w:rPr>
          <w:rFonts w:eastAsia="Georgia" w:cs="Georgia"/>
          <w:sz w:val="22"/>
          <w:szCs w:val="22"/>
        </w:rPr>
        <w:t>We can examine the correlates of who consents to services through a simple probit model.  In this case, let TU</w:t>
      </w:r>
      <w:r w:rsidRPr="00F80778">
        <w:rPr>
          <w:rFonts w:eastAsia="Georgia" w:cs="Georgia"/>
          <w:sz w:val="22"/>
          <w:szCs w:val="22"/>
          <w:vertAlign w:val="subscript"/>
        </w:rPr>
        <w:t>iht</w:t>
      </w:r>
      <w:r w:rsidRPr="00F80778">
        <w:rPr>
          <w:rFonts w:eastAsia="Georgia" w:cs="Georgia"/>
          <w:sz w:val="22"/>
          <w:szCs w:val="22"/>
        </w:rPr>
        <w:t xml:space="preserve"> be a dummy variable for patient i from hospital h in month t that equals 1 if someone offered services agrees to participate in the HTP.  In a sample of people that were offered treatment, we will estimate a basic probit model that estimates the parameters for the following probability: </w:t>
      </w:r>
    </w:p>
    <w:p w14:paraId="4820E0F7" w14:textId="77777777" w:rsidR="00C80F32" w:rsidRPr="00F80778" w:rsidRDefault="00C80F32" w:rsidP="00C80F32">
      <w:pPr>
        <w:rPr>
          <w:rFonts w:eastAsia="Georgia" w:cs="Georgia"/>
          <w:sz w:val="22"/>
          <w:szCs w:val="22"/>
        </w:rPr>
      </w:pPr>
    </w:p>
    <w:p w14:paraId="30635087" w14:textId="77777777" w:rsidR="00C80F32" w:rsidRPr="00F80778" w:rsidRDefault="00C80F32" w:rsidP="00C80F32">
      <w:pPr>
        <w:rPr>
          <w:rFonts w:eastAsia="Georgia" w:cs="Georgia"/>
          <w:sz w:val="22"/>
          <w:szCs w:val="22"/>
        </w:rPr>
      </w:pPr>
      <w:r w:rsidRPr="00F80778">
        <w:rPr>
          <w:rFonts w:eastAsia="Georgia" w:cs="Georgia"/>
          <w:sz w:val="22"/>
          <w:szCs w:val="22"/>
        </w:rPr>
        <w:t>(1)</w:t>
      </w:r>
      <w:r w:rsidRPr="00F80778">
        <w:rPr>
          <w:rFonts w:eastAsia="Georgia" w:cs="Georgia"/>
          <w:sz w:val="22"/>
          <w:szCs w:val="22"/>
        </w:rPr>
        <w:tab/>
        <w:t>Prob(TU</w:t>
      </w:r>
      <w:r w:rsidRPr="00F80778">
        <w:rPr>
          <w:rFonts w:eastAsia="Georgia" w:cs="Georgia"/>
          <w:sz w:val="22"/>
          <w:szCs w:val="22"/>
          <w:vertAlign w:val="subscript"/>
        </w:rPr>
        <w:t>iht</w:t>
      </w:r>
      <w:r w:rsidRPr="00F80778">
        <w:rPr>
          <w:rFonts w:eastAsia="Georgia" w:cs="Georgia"/>
          <w:sz w:val="22"/>
          <w:szCs w:val="22"/>
        </w:rPr>
        <w:t xml:space="preserve"> = 1) = Φ( X</w:t>
      </w:r>
      <w:r w:rsidRPr="00F80778">
        <w:rPr>
          <w:rFonts w:eastAsia="Georgia" w:cs="Georgia"/>
          <w:sz w:val="22"/>
          <w:szCs w:val="22"/>
          <w:vertAlign w:val="subscript"/>
        </w:rPr>
        <w:t>iht</w:t>
      </w:r>
      <w:r w:rsidRPr="00F80778">
        <w:rPr>
          <w:rFonts w:eastAsia="Georgia" w:cs="Georgia"/>
          <w:sz w:val="22"/>
          <w:szCs w:val="22"/>
        </w:rPr>
        <w:t>β + μ</w:t>
      </w:r>
      <w:r w:rsidRPr="00F80778">
        <w:rPr>
          <w:rFonts w:eastAsia="Georgia" w:cs="Georgia"/>
          <w:sz w:val="22"/>
          <w:szCs w:val="22"/>
          <w:vertAlign w:val="subscript"/>
        </w:rPr>
        <w:t>h</w:t>
      </w:r>
      <w:r w:rsidRPr="00F80778">
        <w:rPr>
          <w:rFonts w:eastAsia="Georgia" w:cs="Georgia"/>
          <w:sz w:val="22"/>
          <w:szCs w:val="22"/>
        </w:rPr>
        <w:t xml:space="preserve"> + v</w:t>
      </w:r>
      <w:r w:rsidRPr="00F80778">
        <w:rPr>
          <w:rFonts w:eastAsia="Georgia" w:cs="Georgia"/>
          <w:sz w:val="22"/>
          <w:szCs w:val="22"/>
          <w:vertAlign w:val="subscript"/>
        </w:rPr>
        <w:t xml:space="preserve">t </w:t>
      </w:r>
      <w:r w:rsidRPr="00F80778">
        <w:rPr>
          <w:rFonts w:eastAsia="Georgia" w:cs="Georgia"/>
          <w:sz w:val="22"/>
          <w:szCs w:val="22"/>
        </w:rPr>
        <w:t xml:space="preserve"> + </w:t>
      </w:r>
      <w:r w:rsidRPr="00F80778">
        <w:rPr>
          <w:rFonts w:ascii="Cambria Math" w:eastAsia="Georgia" w:hAnsi="Cambria Math" w:cs="Cambria Math"/>
          <w:sz w:val="22"/>
          <w:szCs w:val="22"/>
        </w:rPr>
        <w:t>𝛾</w:t>
      </w:r>
      <w:r w:rsidRPr="00F80778">
        <w:rPr>
          <w:rFonts w:eastAsia="Georgia" w:cs="Georgia"/>
          <w:sz w:val="22"/>
          <w:szCs w:val="22"/>
          <w:vertAlign w:val="subscript"/>
        </w:rPr>
        <w:t>z</w:t>
      </w:r>
      <w:r w:rsidRPr="00F80778">
        <w:rPr>
          <w:rFonts w:eastAsia="Georgia" w:cs="Georgia"/>
          <w:sz w:val="22"/>
          <w:szCs w:val="22"/>
        </w:rPr>
        <w:t>)</w:t>
      </w:r>
    </w:p>
    <w:p w14:paraId="6D151AFD" w14:textId="77777777" w:rsidR="00C80F32" w:rsidRPr="00F80778" w:rsidRDefault="00C80F32" w:rsidP="00C80F32">
      <w:pPr>
        <w:rPr>
          <w:rFonts w:eastAsia="Georgia" w:cs="Georgia"/>
          <w:sz w:val="22"/>
          <w:szCs w:val="22"/>
        </w:rPr>
      </w:pPr>
    </w:p>
    <w:p w14:paraId="5DB954D8" w14:textId="77777777" w:rsidR="00C80F32" w:rsidRPr="00F80778" w:rsidRDefault="00C80F32" w:rsidP="00C80F32">
      <w:pPr>
        <w:rPr>
          <w:rFonts w:eastAsia="Georgia" w:cs="Georgia"/>
          <w:sz w:val="22"/>
          <w:szCs w:val="22"/>
        </w:rPr>
      </w:pPr>
      <w:r w:rsidRPr="00F80778">
        <w:rPr>
          <w:rFonts w:eastAsia="Georgia" w:cs="Georgia"/>
          <w:sz w:val="22"/>
          <w:szCs w:val="22"/>
        </w:rPr>
        <w:t>where X</w:t>
      </w:r>
      <w:r w:rsidRPr="00F80778">
        <w:rPr>
          <w:rFonts w:eastAsia="Georgia" w:cs="Georgia"/>
          <w:sz w:val="22"/>
          <w:szCs w:val="22"/>
          <w:vertAlign w:val="subscript"/>
        </w:rPr>
        <w:t xml:space="preserve">iht </w:t>
      </w:r>
      <w:r w:rsidRPr="00F80778">
        <w:rPr>
          <w:rFonts w:eastAsia="Georgia" w:cs="Georgia"/>
          <w:sz w:val="22"/>
          <w:szCs w:val="22"/>
        </w:rPr>
        <w:t>is a vector of individual characteristics, μ</w:t>
      </w:r>
      <w:r w:rsidRPr="00F80778">
        <w:rPr>
          <w:rFonts w:eastAsia="Georgia" w:cs="Georgia"/>
          <w:sz w:val="22"/>
          <w:szCs w:val="22"/>
          <w:vertAlign w:val="subscript"/>
        </w:rPr>
        <w:t>h</w:t>
      </w:r>
      <w:r w:rsidRPr="00F80778">
        <w:rPr>
          <w:rFonts w:eastAsia="Georgia" w:cs="Georgia"/>
          <w:sz w:val="22"/>
          <w:szCs w:val="22"/>
        </w:rPr>
        <w:t xml:space="preserve"> are hospital fixed effects, v</w:t>
      </w:r>
      <w:r w:rsidRPr="00F80778">
        <w:rPr>
          <w:rFonts w:eastAsia="Georgia" w:cs="Georgia"/>
          <w:sz w:val="22"/>
          <w:szCs w:val="22"/>
          <w:vertAlign w:val="subscript"/>
        </w:rPr>
        <w:t>t</w:t>
      </w:r>
      <w:r w:rsidRPr="00F80778">
        <w:rPr>
          <w:rFonts w:eastAsia="Georgia" w:cs="Georgia"/>
          <w:sz w:val="22"/>
          <w:szCs w:val="22"/>
        </w:rPr>
        <w:t xml:space="preserve"> are month fixed effects, </w:t>
      </w:r>
      <w:r w:rsidRPr="00F80778">
        <w:rPr>
          <w:rFonts w:ascii="Cambria Math" w:eastAsia="Georgia" w:hAnsi="Cambria Math" w:cs="Cambria Math"/>
          <w:sz w:val="22"/>
          <w:szCs w:val="22"/>
        </w:rPr>
        <w:t>𝛾</w:t>
      </w:r>
      <w:r w:rsidRPr="00F80778">
        <w:rPr>
          <w:rFonts w:eastAsia="Georgia" w:cs="Georgia"/>
          <w:sz w:val="22"/>
          <w:szCs w:val="22"/>
          <w:vertAlign w:val="subscript"/>
        </w:rPr>
        <w:t xml:space="preserve">z  </w:t>
      </w:r>
      <w:r w:rsidRPr="00F80778">
        <w:rPr>
          <w:rFonts w:eastAsia="Cardo" w:cs="Cardo"/>
          <w:sz w:val="22"/>
          <w:szCs w:val="22"/>
        </w:rPr>
        <w:t>are zip code of residence fixed effects, and Φ(</w:t>
      </w:r>
      <w:r w:rsidRPr="00F80778">
        <w:rPr>
          <w:rFonts w:ascii="Cambria Math" w:eastAsia="Cardo" w:hAnsi="Cambria Math" w:cs="Cambria Math"/>
          <w:sz w:val="22"/>
          <w:szCs w:val="22"/>
        </w:rPr>
        <w:t>⦁</w:t>
      </w:r>
      <w:r w:rsidRPr="00F80778">
        <w:rPr>
          <w:rFonts w:eastAsia="Cardo" w:cs="Cardo"/>
          <w:sz w:val="22"/>
          <w:szCs w:val="22"/>
        </w:rPr>
        <w:t xml:space="preserve">) is the standard normal CDF.  In the vector X, we will </w:t>
      </w:r>
      <w:r w:rsidRPr="00F80778">
        <w:rPr>
          <w:rFonts w:eastAsia="Georgia" w:cs="Georgia"/>
          <w:sz w:val="22"/>
          <w:szCs w:val="22"/>
        </w:rPr>
        <w:t xml:space="preserve">include variables such as high-order polynomials in age and indicator variables for sex, type of insurance (Medicare, Medicaid, or dual eligible), race, ethnicity, and patient acuity as measured by the Charlson Comorbidity Index (CCI). While we can control for race/ethnicity, there is little heterogeneity along these lines in West Virginia and this will also be true in our sample of patients.  </w:t>
      </w:r>
    </w:p>
    <w:p w14:paraId="29F8C2E7" w14:textId="00437BE5" w:rsidR="00C80F32" w:rsidRPr="00F80778" w:rsidRDefault="00C80F32" w:rsidP="00C80F32">
      <w:pPr>
        <w:ind w:firstLine="720"/>
        <w:rPr>
          <w:rFonts w:eastAsia="Georgia" w:cs="Georgia"/>
          <w:sz w:val="22"/>
          <w:szCs w:val="22"/>
        </w:rPr>
      </w:pPr>
      <w:r w:rsidRPr="00F80778">
        <w:rPr>
          <w:rFonts w:eastAsia="Georgia" w:cs="Georgia"/>
          <w:sz w:val="22"/>
          <w:szCs w:val="22"/>
        </w:rPr>
        <w:t xml:space="preserve">We want to examine a few questions with this model.  The first is whether patients with high medical needs are more likely to participate in the HTP.  This can be obtained by examining the coefficients on the CCI.  We also want to examine whether prior experience with CCWVa alters the chance of consenting to services.  </w:t>
      </w:r>
      <w:r w:rsidR="007F123E" w:rsidRPr="00F80778">
        <w:rPr>
          <w:rFonts w:eastAsia="Georgia" w:cs="Georgia"/>
          <w:sz w:val="22"/>
          <w:szCs w:val="22"/>
        </w:rPr>
        <w:t xml:space="preserve">Through its client management software, CCWVa will be able to link patients by </w:t>
      </w:r>
      <w:r w:rsidRPr="00F80778">
        <w:rPr>
          <w:rFonts w:eastAsia="Georgia" w:cs="Georgia"/>
          <w:sz w:val="22"/>
          <w:szCs w:val="22"/>
        </w:rPr>
        <w:t>name, date of birth, gender, and zip code of residence</w:t>
      </w:r>
      <w:r w:rsidR="007F123E" w:rsidRPr="00F80778">
        <w:rPr>
          <w:rFonts w:eastAsia="Georgia" w:cs="Georgia"/>
          <w:sz w:val="22"/>
          <w:szCs w:val="22"/>
        </w:rPr>
        <w:t xml:space="preserve"> to determine whether</w:t>
      </w:r>
      <w:r w:rsidRPr="00F80778">
        <w:rPr>
          <w:rFonts w:eastAsia="Georgia" w:cs="Georgia"/>
          <w:sz w:val="22"/>
          <w:szCs w:val="22"/>
        </w:rPr>
        <w:t xml:space="preserve"> patients assigned to treatment had previously received services through CCWVa.  It may be that prior experience with the social service agency encourages enrollment.  </w:t>
      </w:r>
    </w:p>
    <w:p w14:paraId="4C15C60D" w14:textId="77777777" w:rsidR="0049099D" w:rsidRPr="00F80778" w:rsidRDefault="0049099D" w:rsidP="0049099D">
      <w:pPr>
        <w:spacing w:before="120"/>
        <w:rPr>
          <w:i/>
          <w:sz w:val="22"/>
          <w:szCs w:val="22"/>
        </w:rPr>
      </w:pPr>
    </w:p>
    <w:p w14:paraId="7A5BAFB2" w14:textId="77777777" w:rsidR="0049099D" w:rsidRPr="00F80778" w:rsidRDefault="0049099D" w:rsidP="0049099D">
      <w:pPr>
        <w:pStyle w:val="BodyText"/>
        <w:ind w:left="0" w:right="217"/>
      </w:pPr>
      <w:r w:rsidRPr="00F80778">
        <w:rPr>
          <w:i/>
          <w:iCs/>
        </w:rPr>
        <w:t>Understanding the services provided to clients</w:t>
      </w:r>
      <w:r w:rsidRPr="00F80778">
        <w:t xml:space="preserve"> </w:t>
      </w:r>
    </w:p>
    <w:p w14:paraId="2A702ABD" w14:textId="21B01606" w:rsidR="0049099D" w:rsidRPr="00F80778" w:rsidRDefault="0049099D" w:rsidP="0049099D">
      <w:pPr>
        <w:rPr>
          <w:iCs/>
          <w:sz w:val="22"/>
          <w:szCs w:val="22"/>
        </w:rPr>
      </w:pPr>
      <w:r w:rsidRPr="00F80778">
        <w:rPr>
          <w:iCs/>
          <w:sz w:val="22"/>
          <w:szCs w:val="22"/>
        </w:rPr>
        <w:tab/>
        <w:t>For patients who enroll in HTP</w:t>
      </w:r>
      <w:r w:rsidR="00824D7F" w:rsidRPr="00F80778">
        <w:rPr>
          <w:iCs/>
          <w:sz w:val="22"/>
          <w:szCs w:val="22"/>
        </w:rPr>
        <w:t xml:space="preserve"> (</w:t>
      </w:r>
      <w:r w:rsidR="00824D7F" w:rsidRPr="00F80778">
        <w:rPr>
          <w:rFonts w:eastAsia="Georgia" w:cs="Georgia"/>
          <w:sz w:val="22"/>
          <w:szCs w:val="22"/>
        </w:rPr>
        <w:t>TU</w:t>
      </w:r>
      <w:r w:rsidR="00824D7F" w:rsidRPr="00F80778">
        <w:rPr>
          <w:rFonts w:eastAsia="Georgia" w:cs="Georgia"/>
          <w:sz w:val="22"/>
          <w:szCs w:val="22"/>
          <w:vertAlign w:val="subscript"/>
        </w:rPr>
        <w:t>iht</w:t>
      </w:r>
      <w:r w:rsidR="00824D7F" w:rsidRPr="00F80778">
        <w:rPr>
          <w:rFonts w:eastAsia="Georgia" w:cs="Georgia"/>
          <w:sz w:val="22"/>
          <w:szCs w:val="22"/>
        </w:rPr>
        <w:t xml:space="preserve"> = 1), </w:t>
      </w:r>
      <w:r w:rsidRPr="00F80778">
        <w:rPr>
          <w:iCs/>
          <w:sz w:val="22"/>
          <w:szCs w:val="22"/>
        </w:rPr>
        <w:t xml:space="preserve">we will conduct a descriptive analysis of services they received through CCWVa. Specifically, we will assess the frequency of services offered and utilized, as well as the average cost to the service provider for providing those services.  </w:t>
      </w:r>
    </w:p>
    <w:p w14:paraId="4759E8FE" w14:textId="77777777" w:rsidR="00C80F32" w:rsidRPr="00F80778" w:rsidRDefault="00C80F32" w:rsidP="00485139">
      <w:pPr>
        <w:rPr>
          <w:rFonts w:eastAsia="Georgia" w:cs="Georgia"/>
          <w:sz w:val="22"/>
          <w:szCs w:val="22"/>
        </w:rPr>
      </w:pPr>
    </w:p>
    <w:p w14:paraId="5F4C2047" w14:textId="62A0E4A1" w:rsidR="00C80F32" w:rsidRPr="00F80778" w:rsidRDefault="00C80F32" w:rsidP="00C80F32">
      <w:pPr>
        <w:rPr>
          <w:rFonts w:eastAsia="Georgia" w:cs="Georgia"/>
          <w:i/>
          <w:sz w:val="22"/>
          <w:szCs w:val="22"/>
        </w:rPr>
      </w:pPr>
      <w:r w:rsidRPr="00F80778">
        <w:rPr>
          <w:rFonts w:eastAsia="Georgia" w:cs="Georgia"/>
          <w:i/>
          <w:sz w:val="22"/>
          <w:szCs w:val="22"/>
        </w:rPr>
        <w:t>Impact of the HTP on</w:t>
      </w:r>
      <w:r w:rsidR="0065649A" w:rsidRPr="00F80778">
        <w:rPr>
          <w:rFonts w:eastAsia="Georgia" w:cs="Georgia"/>
          <w:i/>
          <w:sz w:val="22"/>
          <w:szCs w:val="22"/>
        </w:rPr>
        <w:t xml:space="preserve"> </w:t>
      </w:r>
      <w:r w:rsidR="00CE6764" w:rsidRPr="00F80778">
        <w:rPr>
          <w:rFonts w:eastAsia="Georgia" w:cs="Georgia"/>
          <w:i/>
          <w:sz w:val="22"/>
          <w:szCs w:val="22"/>
        </w:rPr>
        <w:t>H</w:t>
      </w:r>
      <w:r w:rsidR="0065649A" w:rsidRPr="00F80778">
        <w:rPr>
          <w:rFonts w:eastAsia="Georgia" w:cs="Georgia"/>
          <w:i/>
          <w:sz w:val="22"/>
          <w:szCs w:val="22"/>
        </w:rPr>
        <w:t>ospital</w:t>
      </w:r>
      <w:r w:rsidRPr="00F80778">
        <w:rPr>
          <w:rFonts w:eastAsia="Georgia" w:cs="Georgia"/>
          <w:i/>
          <w:sz w:val="22"/>
          <w:szCs w:val="22"/>
        </w:rPr>
        <w:t xml:space="preserve"> </w:t>
      </w:r>
      <w:r w:rsidR="00CE6764" w:rsidRPr="00F80778">
        <w:rPr>
          <w:rFonts w:eastAsia="Georgia" w:cs="Georgia"/>
          <w:i/>
          <w:sz w:val="22"/>
          <w:szCs w:val="22"/>
        </w:rPr>
        <w:t>R</w:t>
      </w:r>
      <w:r w:rsidRPr="00F80778">
        <w:rPr>
          <w:rFonts w:eastAsia="Georgia" w:cs="Georgia"/>
          <w:i/>
          <w:sz w:val="22"/>
          <w:szCs w:val="22"/>
        </w:rPr>
        <w:t xml:space="preserve">eadmissions and </w:t>
      </w:r>
      <w:r w:rsidR="00CE6764" w:rsidRPr="00F80778">
        <w:rPr>
          <w:rFonts w:eastAsia="Georgia" w:cs="Georgia"/>
          <w:i/>
          <w:sz w:val="22"/>
          <w:szCs w:val="22"/>
        </w:rPr>
        <w:t>C</w:t>
      </w:r>
      <w:r w:rsidRPr="00F80778">
        <w:rPr>
          <w:rFonts w:eastAsia="Georgia" w:cs="Georgia"/>
          <w:i/>
          <w:sz w:val="22"/>
          <w:szCs w:val="22"/>
        </w:rPr>
        <w:t>osts</w:t>
      </w:r>
    </w:p>
    <w:p w14:paraId="067F32FE" w14:textId="77777777" w:rsidR="00C80F32" w:rsidRPr="00F80778" w:rsidRDefault="00C80F32" w:rsidP="00C80F32">
      <w:pPr>
        <w:rPr>
          <w:rFonts w:eastAsia="Georgia" w:cs="Georgia"/>
          <w:sz w:val="22"/>
          <w:szCs w:val="22"/>
        </w:rPr>
      </w:pPr>
      <w:r w:rsidRPr="00F80778">
        <w:rPr>
          <w:rFonts w:eastAsia="Georgia" w:cs="Georgia"/>
          <w:b/>
          <w:sz w:val="22"/>
          <w:szCs w:val="22"/>
        </w:rPr>
        <w:tab/>
      </w:r>
      <w:r w:rsidRPr="00F80778">
        <w:rPr>
          <w:rFonts w:eastAsia="Georgia" w:cs="Georgia"/>
          <w:sz w:val="22"/>
          <w:szCs w:val="22"/>
        </w:rPr>
        <w:t>The key outcome in our analysis will be readmission rates 7, 14, 30, 60, 90, and 180 days after hospital discharge.  As take-up will not be 100%, we plan to estimate models that measure both the intention to treat (ITT) and the treatment on the treated (TOT).  Let y</w:t>
      </w:r>
      <w:r w:rsidRPr="00F80778">
        <w:rPr>
          <w:rFonts w:eastAsia="Georgia" w:cs="Georgia"/>
          <w:sz w:val="22"/>
          <w:szCs w:val="22"/>
          <w:vertAlign w:val="subscript"/>
        </w:rPr>
        <w:t>iht</w:t>
      </w:r>
      <w:r w:rsidRPr="00F80778">
        <w:rPr>
          <w:rFonts w:eastAsia="Georgia" w:cs="Georgia"/>
          <w:sz w:val="22"/>
          <w:szCs w:val="22"/>
        </w:rPr>
        <w:t xml:space="preserve"> be a dummy variable that equals 1 if patient i from hospital h that was discharged in month t is readmitted to the hospital for any reason within a specified number of days since discharge.  The ITT equation of interest is of the form  </w:t>
      </w:r>
    </w:p>
    <w:p w14:paraId="58D3DCAA" w14:textId="77777777" w:rsidR="00C80F32" w:rsidRPr="00F80778" w:rsidRDefault="00C80F32" w:rsidP="00C80F32">
      <w:pPr>
        <w:rPr>
          <w:rFonts w:eastAsia="Georgia" w:cs="Georgia"/>
          <w:sz w:val="22"/>
          <w:szCs w:val="22"/>
        </w:rPr>
      </w:pPr>
    </w:p>
    <w:p w14:paraId="52C54DE8" w14:textId="77777777" w:rsidR="00C80F32" w:rsidRPr="00F80778" w:rsidRDefault="00C80F32" w:rsidP="00C80F32">
      <w:pPr>
        <w:rPr>
          <w:rFonts w:eastAsia="Georgia" w:cs="Georgia"/>
          <w:sz w:val="22"/>
          <w:szCs w:val="22"/>
          <w:vertAlign w:val="subscript"/>
        </w:rPr>
      </w:pPr>
      <w:r w:rsidRPr="00F80778">
        <w:rPr>
          <w:rFonts w:eastAsia="Georgia" w:cs="Georgia"/>
          <w:sz w:val="22"/>
          <w:szCs w:val="22"/>
        </w:rPr>
        <w:t>(2)</w:t>
      </w:r>
      <w:r w:rsidRPr="00F80778">
        <w:rPr>
          <w:rFonts w:eastAsia="Georgia" w:cs="Georgia"/>
          <w:sz w:val="22"/>
          <w:szCs w:val="22"/>
        </w:rPr>
        <w:tab/>
      </w:r>
      <w:r w:rsidRPr="00F80778">
        <w:rPr>
          <w:rFonts w:eastAsia="Georgia" w:cs="Georgia"/>
          <w:sz w:val="22"/>
          <w:szCs w:val="22"/>
        </w:rPr>
        <w:tab/>
        <w:t>y</w:t>
      </w:r>
      <w:r w:rsidRPr="00F80778">
        <w:rPr>
          <w:rFonts w:eastAsia="Georgia" w:cs="Georgia"/>
          <w:sz w:val="22"/>
          <w:szCs w:val="22"/>
          <w:vertAlign w:val="subscript"/>
        </w:rPr>
        <w:t xml:space="preserve">iht </w:t>
      </w:r>
      <w:r w:rsidRPr="00F80778">
        <w:rPr>
          <w:rFonts w:eastAsia="Georgia" w:cs="Georgia"/>
          <w:sz w:val="22"/>
          <w:szCs w:val="22"/>
        </w:rPr>
        <w:t>= X</w:t>
      </w:r>
      <w:r w:rsidRPr="00F80778">
        <w:rPr>
          <w:rFonts w:eastAsia="Georgia" w:cs="Georgia"/>
          <w:sz w:val="22"/>
          <w:szCs w:val="22"/>
          <w:vertAlign w:val="subscript"/>
        </w:rPr>
        <w:t>iht</w:t>
      </w:r>
      <w:r w:rsidRPr="00F80778">
        <w:rPr>
          <w:rFonts w:eastAsia="Georgia" w:cs="Georgia"/>
          <w:sz w:val="22"/>
          <w:szCs w:val="22"/>
        </w:rPr>
        <w:t>β</w:t>
      </w:r>
      <w:r w:rsidRPr="00F80778">
        <w:rPr>
          <w:rFonts w:eastAsia="Georgia" w:cs="Georgia"/>
          <w:sz w:val="22"/>
          <w:szCs w:val="22"/>
          <w:vertAlign w:val="subscript"/>
        </w:rPr>
        <w:t>1</w:t>
      </w:r>
      <w:r w:rsidRPr="00F80778">
        <w:rPr>
          <w:rFonts w:eastAsia="Georgia" w:cs="Georgia"/>
          <w:sz w:val="22"/>
          <w:szCs w:val="22"/>
        </w:rPr>
        <w:t xml:space="preserve"> + T</w:t>
      </w:r>
      <w:r w:rsidRPr="00F80778">
        <w:rPr>
          <w:rFonts w:eastAsia="Georgia" w:cs="Georgia"/>
          <w:sz w:val="22"/>
          <w:szCs w:val="22"/>
          <w:vertAlign w:val="subscript"/>
        </w:rPr>
        <w:t>iht</w:t>
      </w:r>
      <w:r w:rsidRPr="00F80778">
        <w:rPr>
          <w:rFonts w:eastAsia="Georgia" w:cs="Georgia"/>
          <w:sz w:val="22"/>
          <w:szCs w:val="22"/>
        </w:rPr>
        <w:t>α</w:t>
      </w:r>
      <w:r w:rsidRPr="00F80778">
        <w:rPr>
          <w:rFonts w:eastAsia="Georgia" w:cs="Georgia"/>
          <w:sz w:val="22"/>
          <w:szCs w:val="22"/>
          <w:vertAlign w:val="subscript"/>
        </w:rPr>
        <w:t>1</w:t>
      </w:r>
      <w:r w:rsidRPr="00F80778">
        <w:rPr>
          <w:rFonts w:eastAsia="Georgia" w:cs="Georgia"/>
          <w:sz w:val="22"/>
          <w:szCs w:val="22"/>
        </w:rPr>
        <w:t xml:space="preserve"> + μ</w:t>
      </w:r>
      <w:r w:rsidRPr="00F80778">
        <w:rPr>
          <w:rFonts w:eastAsia="Georgia" w:cs="Georgia"/>
          <w:sz w:val="22"/>
          <w:szCs w:val="22"/>
          <w:vertAlign w:val="subscript"/>
        </w:rPr>
        <w:t>1h</w:t>
      </w:r>
      <w:r w:rsidRPr="00F80778">
        <w:rPr>
          <w:rFonts w:eastAsia="Georgia" w:cs="Georgia"/>
          <w:sz w:val="22"/>
          <w:szCs w:val="22"/>
        </w:rPr>
        <w:t xml:space="preserve"> + λ</w:t>
      </w:r>
      <w:r w:rsidRPr="00F80778">
        <w:rPr>
          <w:rFonts w:eastAsia="Georgia" w:cs="Georgia"/>
          <w:sz w:val="22"/>
          <w:szCs w:val="22"/>
          <w:vertAlign w:val="subscript"/>
        </w:rPr>
        <w:t>1t</w:t>
      </w:r>
      <w:r w:rsidRPr="00F80778">
        <w:rPr>
          <w:rFonts w:eastAsia="Georgia" w:cs="Georgia"/>
          <w:sz w:val="22"/>
          <w:szCs w:val="22"/>
        </w:rPr>
        <w:t xml:space="preserve"> + </w:t>
      </w:r>
      <w:r w:rsidRPr="00F80778">
        <w:rPr>
          <w:rFonts w:ascii="Cambria Math" w:eastAsia="Georgia" w:hAnsi="Cambria Math" w:cs="Cambria Math"/>
          <w:sz w:val="22"/>
          <w:szCs w:val="22"/>
        </w:rPr>
        <w:t>𝛾</w:t>
      </w:r>
      <w:r w:rsidRPr="00F80778">
        <w:rPr>
          <w:rFonts w:eastAsia="Georgia" w:cs="Georgia"/>
          <w:sz w:val="22"/>
          <w:szCs w:val="22"/>
          <w:vertAlign w:val="subscript"/>
        </w:rPr>
        <w:t>1z</w:t>
      </w:r>
      <w:r w:rsidRPr="00F80778">
        <w:rPr>
          <w:rFonts w:eastAsia="Georgia" w:cs="Georgia"/>
          <w:sz w:val="22"/>
          <w:szCs w:val="22"/>
        </w:rPr>
        <w:t xml:space="preserve"> + ε</w:t>
      </w:r>
      <w:r w:rsidRPr="00F80778">
        <w:rPr>
          <w:rFonts w:eastAsia="Georgia" w:cs="Georgia"/>
          <w:sz w:val="22"/>
          <w:szCs w:val="22"/>
          <w:vertAlign w:val="subscript"/>
        </w:rPr>
        <w:t>1iht</w:t>
      </w:r>
    </w:p>
    <w:p w14:paraId="764AA98D" w14:textId="77777777" w:rsidR="00C80F32" w:rsidRPr="00F80778" w:rsidRDefault="00C80F32" w:rsidP="00C80F32">
      <w:pPr>
        <w:rPr>
          <w:rFonts w:eastAsia="Georgia" w:cs="Georgia"/>
          <w:sz w:val="22"/>
          <w:szCs w:val="22"/>
        </w:rPr>
      </w:pPr>
    </w:p>
    <w:p w14:paraId="2957721F" w14:textId="77777777" w:rsidR="00C80F32" w:rsidRPr="00F80778" w:rsidRDefault="00C80F32" w:rsidP="00C80F32">
      <w:pPr>
        <w:rPr>
          <w:rFonts w:eastAsia="Georgia" w:cs="Georgia"/>
          <w:sz w:val="22"/>
          <w:szCs w:val="22"/>
        </w:rPr>
      </w:pPr>
      <w:r w:rsidRPr="00F80778">
        <w:rPr>
          <w:rFonts w:eastAsia="Georgia" w:cs="Georgia"/>
          <w:sz w:val="22"/>
          <w:szCs w:val="22"/>
        </w:rPr>
        <w:t>where X</w:t>
      </w:r>
      <w:r w:rsidRPr="00F80778">
        <w:rPr>
          <w:rFonts w:eastAsia="Georgia" w:cs="Georgia"/>
          <w:sz w:val="22"/>
          <w:szCs w:val="22"/>
          <w:vertAlign w:val="subscript"/>
        </w:rPr>
        <w:t xml:space="preserve">iht </w:t>
      </w:r>
      <w:r w:rsidRPr="00F80778">
        <w:rPr>
          <w:rFonts w:eastAsia="Georgia" w:cs="Georgia"/>
          <w:sz w:val="22"/>
          <w:szCs w:val="22"/>
        </w:rPr>
        <w:t>is a vector of individual characteristics including high-order polynomials in age and indicator variables for sex, type of insurance (Medicare, Medicaid, or dual eligible), race, ethnicity, and patient acuity as measured by the CCI.  We will control for hospital fixed effects (μ</w:t>
      </w:r>
      <w:r w:rsidRPr="00F80778">
        <w:rPr>
          <w:rFonts w:eastAsia="Georgia" w:cs="Georgia"/>
          <w:sz w:val="22"/>
          <w:szCs w:val="22"/>
          <w:vertAlign w:val="subscript"/>
        </w:rPr>
        <w:t>1h</w:t>
      </w:r>
      <w:r w:rsidRPr="00F80778">
        <w:rPr>
          <w:rFonts w:eastAsia="Georgia" w:cs="Georgia"/>
          <w:sz w:val="22"/>
          <w:szCs w:val="22"/>
        </w:rPr>
        <w:t xml:space="preserve">), month of hospital admission fixed </w:t>
      </w:r>
      <w:r w:rsidRPr="00F80778">
        <w:rPr>
          <w:rFonts w:eastAsia="Georgia" w:cs="Georgia"/>
          <w:sz w:val="22"/>
          <w:szCs w:val="22"/>
        </w:rPr>
        <w:lastRenderedPageBreak/>
        <w:t>effects (λ</w:t>
      </w:r>
      <w:r w:rsidRPr="00F80778">
        <w:rPr>
          <w:rFonts w:eastAsia="Georgia" w:cs="Georgia"/>
          <w:sz w:val="22"/>
          <w:szCs w:val="22"/>
          <w:vertAlign w:val="subscript"/>
        </w:rPr>
        <w:t>1t</w:t>
      </w:r>
      <w:r w:rsidRPr="00F80778">
        <w:rPr>
          <w:rFonts w:eastAsia="Georgia" w:cs="Georgia"/>
          <w:sz w:val="22"/>
          <w:szCs w:val="22"/>
        </w:rPr>
        <w:t>), and zip code of residence fixed effects (</w:t>
      </w:r>
      <w:r w:rsidRPr="00F80778">
        <w:rPr>
          <w:rFonts w:ascii="Cambria Math" w:eastAsia="Georgia" w:hAnsi="Cambria Math" w:cs="Cambria Math"/>
          <w:sz w:val="22"/>
          <w:szCs w:val="22"/>
        </w:rPr>
        <w:t>𝛾</w:t>
      </w:r>
      <w:r w:rsidRPr="00F80778">
        <w:rPr>
          <w:rFonts w:eastAsia="Georgia" w:cs="Georgia"/>
          <w:sz w:val="22"/>
          <w:szCs w:val="22"/>
          <w:vertAlign w:val="subscript"/>
        </w:rPr>
        <w:t>1z</w:t>
      </w:r>
      <w:r w:rsidRPr="00F80778">
        <w:rPr>
          <w:rFonts w:eastAsia="Georgia" w:cs="Georgia"/>
          <w:sz w:val="22"/>
          <w:szCs w:val="22"/>
        </w:rPr>
        <w:t>).  The month effects are unique indicators for each month (May 2023, June 2023, etc.), that will control for the seasonal pattern in readmissions and the fact that randomization is coming in two-person pairs.  The variable T</w:t>
      </w:r>
      <w:r w:rsidRPr="00F80778">
        <w:rPr>
          <w:rFonts w:eastAsia="Georgia" w:cs="Georgia"/>
          <w:sz w:val="22"/>
          <w:szCs w:val="22"/>
          <w:vertAlign w:val="subscript"/>
        </w:rPr>
        <w:t>iht</w:t>
      </w:r>
      <w:r w:rsidRPr="00F80778">
        <w:rPr>
          <w:rFonts w:eastAsia="Georgia" w:cs="Georgia"/>
          <w:sz w:val="22"/>
          <w:szCs w:val="22"/>
        </w:rPr>
        <w:t xml:space="preserve"> is a dummy variable that equals 1 if the patient is assigned to treatment; therefore α</w:t>
      </w:r>
      <w:r w:rsidRPr="00F80778">
        <w:rPr>
          <w:rFonts w:eastAsia="Georgia" w:cs="Georgia"/>
          <w:sz w:val="22"/>
          <w:szCs w:val="22"/>
          <w:vertAlign w:val="subscript"/>
        </w:rPr>
        <w:t>1</w:t>
      </w:r>
      <w:r w:rsidRPr="00F80778">
        <w:rPr>
          <w:rFonts w:eastAsia="Georgia" w:cs="Georgia"/>
          <w:sz w:val="22"/>
          <w:szCs w:val="22"/>
        </w:rPr>
        <w:t xml:space="preserve"> represents the ITT estimate and estimates the impact of being assigned to treatment.  Perhaps the most important estimate is the TOT value, which estimates the impact of participation in the HTP on readmissions.  To obtain this, let TU</w:t>
      </w:r>
      <w:r w:rsidRPr="00F80778">
        <w:rPr>
          <w:rFonts w:eastAsia="Georgia" w:cs="Georgia"/>
          <w:sz w:val="22"/>
          <w:szCs w:val="22"/>
          <w:vertAlign w:val="subscript"/>
        </w:rPr>
        <w:t>iht</w:t>
      </w:r>
      <w:r w:rsidRPr="00F80778">
        <w:rPr>
          <w:rFonts w:eastAsia="Georgia" w:cs="Georgia"/>
          <w:sz w:val="22"/>
          <w:szCs w:val="22"/>
        </w:rPr>
        <w:t xml:space="preserve"> be a dummy that equals 1 if someone offered treatment takes up the HTP. </w:t>
      </w:r>
    </w:p>
    <w:p w14:paraId="1AC1D852" w14:textId="77777777" w:rsidR="00C80F32" w:rsidRPr="00F80778" w:rsidRDefault="00C80F32" w:rsidP="00C80F32">
      <w:pPr>
        <w:ind w:firstLine="720"/>
        <w:rPr>
          <w:rFonts w:eastAsia="Georgia" w:cs="Georgia"/>
          <w:sz w:val="22"/>
          <w:szCs w:val="22"/>
        </w:rPr>
      </w:pPr>
      <w:r w:rsidRPr="00F80778">
        <w:rPr>
          <w:rFonts w:eastAsia="Georgia" w:cs="Georgia"/>
          <w:sz w:val="22"/>
          <w:szCs w:val="22"/>
        </w:rPr>
        <w:t xml:space="preserve">Consider the first-stage relationship between assignment to treatment and take-up as described by equation (3): </w:t>
      </w:r>
    </w:p>
    <w:p w14:paraId="19947917" w14:textId="77777777" w:rsidR="00C80F32" w:rsidRPr="00F80778" w:rsidRDefault="00C80F32" w:rsidP="00C80F32">
      <w:pPr>
        <w:rPr>
          <w:rFonts w:eastAsia="Georgia" w:cs="Georgia"/>
          <w:sz w:val="22"/>
          <w:szCs w:val="22"/>
        </w:rPr>
      </w:pPr>
    </w:p>
    <w:p w14:paraId="6FF61CC7" w14:textId="77777777" w:rsidR="00C80F32" w:rsidRPr="00F80778" w:rsidRDefault="00C80F32" w:rsidP="00C80F32">
      <w:pPr>
        <w:rPr>
          <w:rFonts w:eastAsia="Georgia" w:cs="Georgia"/>
          <w:sz w:val="22"/>
          <w:szCs w:val="22"/>
          <w:vertAlign w:val="subscript"/>
        </w:rPr>
      </w:pPr>
      <w:r w:rsidRPr="00F80778">
        <w:rPr>
          <w:rFonts w:eastAsia="Georgia" w:cs="Georgia"/>
          <w:sz w:val="22"/>
          <w:szCs w:val="22"/>
        </w:rPr>
        <w:t>(3)</w:t>
      </w:r>
      <w:r w:rsidRPr="00F80778">
        <w:rPr>
          <w:rFonts w:eastAsia="Georgia" w:cs="Georgia"/>
          <w:sz w:val="22"/>
          <w:szCs w:val="22"/>
        </w:rPr>
        <w:tab/>
      </w:r>
      <w:r w:rsidRPr="00F80778">
        <w:rPr>
          <w:rFonts w:eastAsia="Georgia" w:cs="Georgia"/>
          <w:sz w:val="22"/>
          <w:szCs w:val="22"/>
        </w:rPr>
        <w:tab/>
        <w:t>TU</w:t>
      </w:r>
      <w:r w:rsidRPr="00F80778">
        <w:rPr>
          <w:rFonts w:eastAsia="Georgia" w:cs="Georgia"/>
          <w:sz w:val="22"/>
          <w:szCs w:val="22"/>
          <w:vertAlign w:val="subscript"/>
        </w:rPr>
        <w:t xml:space="preserve">iht </w:t>
      </w:r>
      <w:r w:rsidRPr="00F80778">
        <w:rPr>
          <w:rFonts w:eastAsia="Georgia" w:cs="Georgia"/>
          <w:sz w:val="22"/>
          <w:szCs w:val="22"/>
        </w:rPr>
        <w:t>= X</w:t>
      </w:r>
      <w:r w:rsidRPr="00F80778">
        <w:rPr>
          <w:rFonts w:eastAsia="Georgia" w:cs="Georgia"/>
          <w:sz w:val="22"/>
          <w:szCs w:val="22"/>
          <w:vertAlign w:val="subscript"/>
        </w:rPr>
        <w:t>iht</w:t>
      </w:r>
      <w:r w:rsidRPr="00F80778">
        <w:rPr>
          <w:rFonts w:eastAsia="Georgia" w:cs="Georgia"/>
          <w:sz w:val="22"/>
          <w:szCs w:val="22"/>
        </w:rPr>
        <w:t>β</w:t>
      </w:r>
      <w:r w:rsidRPr="00F80778">
        <w:rPr>
          <w:rFonts w:eastAsia="Georgia" w:cs="Georgia"/>
          <w:sz w:val="22"/>
          <w:szCs w:val="22"/>
          <w:vertAlign w:val="subscript"/>
        </w:rPr>
        <w:t>2</w:t>
      </w:r>
      <w:r w:rsidRPr="00F80778">
        <w:rPr>
          <w:rFonts w:eastAsia="Georgia" w:cs="Georgia"/>
          <w:sz w:val="22"/>
          <w:szCs w:val="22"/>
        </w:rPr>
        <w:t xml:space="preserve"> + T</w:t>
      </w:r>
      <w:r w:rsidRPr="00F80778">
        <w:rPr>
          <w:rFonts w:eastAsia="Georgia" w:cs="Georgia"/>
          <w:sz w:val="22"/>
          <w:szCs w:val="22"/>
          <w:vertAlign w:val="subscript"/>
        </w:rPr>
        <w:t>iht</w:t>
      </w:r>
      <w:r w:rsidRPr="00F80778">
        <w:rPr>
          <w:rFonts w:eastAsia="Georgia" w:cs="Georgia"/>
          <w:sz w:val="22"/>
          <w:szCs w:val="22"/>
        </w:rPr>
        <w:t>α</w:t>
      </w:r>
      <w:r w:rsidRPr="00F80778">
        <w:rPr>
          <w:rFonts w:eastAsia="Georgia" w:cs="Georgia"/>
          <w:sz w:val="22"/>
          <w:szCs w:val="22"/>
          <w:vertAlign w:val="subscript"/>
        </w:rPr>
        <w:t>2</w:t>
      </w:r>
      <w:r w:rsidRPr="00F80778">
        <w:rPr>
          <w:rFonts w:eastAsia="Georgia" w:cs="Georgia"/>
          <w:sz w:val="22"/>
          <w:szCs w:val="22"/>
        </w:rPr>
        <w:t xml:space="preserve"> + μ</w:t>
      </w:r>
      <w:r w:rsidRPr="00F80778">
        <w:rPr>
          <w:rFonts w:eastAsia="Georgia" w:cs="Georgia"/>
          <w:sz w:val="22"/>
          <w:szCs w:val="22"/>
          <w:vertAlign w:val="subscript"/>
        </w:rPr>
        <w:t>2h</w:t>
      </w:r>
      <w:r w:rsidRPr="00F80778">
        <w:rPr>
          <w:rFonts w:eastAsia="Georgia" w:cs="Georgia"/>
          <w:sz w:val="22"/>
          <w:szCs w:val="22"/>
        </w:rPr>
        <w:t xml:space="preserve"> + λ</w:t>
      </w:r>
      <w:r w:rsidRPr="00F80778">
        <w:rPr>
          <w:rFonts w:eastAsia="Georgia" w:cs="Georgia"/>
          <w:sz w:val="22"/>
          <w:szCs w:val="22"/>
          <w:vertAlign w:val="subscript"/>
        </w:rPr>
        <w:t>2t</w:t>
      </w:r>
      <w:r w:rsidRPr="00F80778">
        <w:rPr>
          <w:rFonts w:eastAsia="Georgia" w:cs="Georgia"/>
          <w:sz w:val="22"/>
          <w:szCs w:val="22"/>
        </w:rPr>
        <w:t xml:space="preserve"> + </w:t>
      </w:r>
      <w:r w:rsidRPr="00F80778">
        <w:rPr>
          <w:rFonts w:ascii="Cambria Math" w:eastAsia="Georgia" w:hAnsi="Cambria Math" w:cs="Cambria Math"/>
          <w:sz w:val="22"/>
          <w:szCs w:val="22"/>
        </w:rPr>
        <w:t>𝛾</w:t>
      </w:r>
      <w:r w:rsidRPr="00F80778">
        <w:rPr>
          <w:rFonts w:eastAsia="Georgia" w:cs="Georgia"/>
          <w:sz w:val="22"/>
          <w:szCs w:val="22"/>
          <w:vertAlign w:val="subscript"/>
        </w:rPr>
        <w:t xml:space="preserve">2z </w:t>
      </w:r>
      <w:r w:rsidRPr="00F80778">
        <w:rPr>
          <w:rFonts w:eastAsia="Georgia" w:cs="Georgia"/>
          <w:sz w:val="22"/>
          <w:szCs w:val="22"/>
        </w:rPr>
        <w:t>+ ε</w:t>
      </w:r>
      <w:r w:rsidRPr="00F80778">
        <w:rPr>
          <w:rFonts w:eastAsia="Georgia" w:cs="Georgia"/>
          <w:sz w:val="22"/>
          <w:szCs w:val="22"/>
          <w:vertAlign w:val="subscript"/>
        </w:rPr>
        <w:t>2iht</w:t>
      </w:r>
    </w:p>
    <w:p w14:paraId="4FBAEBB0" w14:textId="77777777" w:rsidR="00C80F32" w:rsidRPr="00F80778" w:rsidRDefault="00C80F32" w:rsidP="00C80F32">
      <w:pPr>
        <w:rPr>
          <w:rFonts w:eastAsia="Georgia" w:cs="Georgia"/>
          <w:sz w:val="22"/>
          <w:szCs w:val="22"/>
        </w:rPr>
      </w:pPr>
    </w:p>
    <w:p w14:paraId="50F0A045" w14:textId="77777777" w:rsidR="00C80F32" w:rsidRPr="00F80778" w:rsidRDefault="00C80F32" w:rsidP="00C80F32">
      <w:pPr>
        <w:rPr>
          <w:rFonts w:eastAsia="Georgia" w:cs="Georgia"/>
          <w:sz w:val="22"/>
          <w:szCs w:val="22"/>
        </w:rPr>
      </w:pPr>
      <w:r w:rsidRPr="00F80778">
        <w:rPr>
          <w:rFonts w:eastAsia="Georgia" w:cs="Georgia"/>
          <w:sz w:val="22"/>
          <w:szCs w:val="22"/>
        </w:rPr>
        <w:t>where α</w:t>
      </w:r>
      <w:r w:rsidRPr="00F80778">
        <w:rPr>
          <w:rFonts w:eastAsia="Georgia" w:cs="Georgia"/>
          <w:sz w:val="22"/>
          <w:szCs w:val="22"/>
          <w:vertAlign w:val="subscript"/>
        </w:rPr>
        <w:t>2</w:t>
      </w:r>
      <w:r w:rsidRPr="00F80778">
        <w:rPr>
          <w:rFonts w:eastAsia="Georgia" w:cs="Georgia"/>
          <w:sz w:val="22"/>
          <w:szCs w:val="22"/>
        </w:rPr>
        <w:t xml:space="preserve"> represents the first-stage relationship between assignment and take-up.  The TOT parameter would then be α</w:t>
      </w:r>
      <w:r w:rsidRPr="00F80778">
        <w:rPr>
          <w:rFonts w:eastAsia="Georgia" w:cs="Georgia"/>
          <w:sz w:val="22"/>
          <w:szCs w:val="22"/>
          <w:vertAlign w:val="subscript"/>
        </w:rPr>
        <w:t xml:space="preserve">TOT </w:t>
      </w:r>
      <w:r w:rsidRPr="00F80778">
        <w:rPr>
          <w:rFonts w:eastAsia="Georgia" w:cs="Georgia"/>
          <w:sz w:val="22"/>
          <w:szCs w:val="22"/>
        </w:rPr>
        <w:t>= α</w:t>
      </w:r>
      <w:r w:rsidRPr="00F80778">
        <w:rPr>
          <w:rFonts w:eastAsia="Georgia" w:cs="Georgia"/>
          <w:sz w:val="22"/>
          <w:szCs w:val="22"/>
          <w:vertAlign w:val="subscript"/>
        </w:rPr>
        <w:t>1</w:t>
      </w:r>
      <w:r w:rsidRPr="00F80778">
        <w:rPr>
          <w:rFonts w:eastAsia="Georgia" w:cs="Georgia"/>
          <w:sz w:val="22"/>
          <w:szCs w:val="22"/>
        </w:rPr>
        <w:t>/α</w:t>
      </w:r>
      <w:r w:rsidRPr="00F80778">
        <w:rPr>
          <w:rFonts w:eastAsia="Georgia" w:cs="Georgia"/>
          <w:sz w:val="22"/>
          <w:szCs w:val="22"/>
          <w:vertAlign w:val="subscript"/>
        </w:rPr>
        <w:t>2</w:t>
      </w:r>
      <w:r w:rsidRPr="00F80778">
        <w:rPr>
          <w:rFonts w:eastAsia="Georgia" w:cs="Georgia"/>
          <w:sz w:val="22"/>
          <w:szCs w:val="22"/>
        </w:rPr>
        <w:t xml:space="preserve"> which is nothing more that the 2SLS coefficient from a model where y</w:t>
      </w:r>
      <w:r w:rsidRPr="00F80778">
        <w:rPr>
          <w:rFonts w:eastAsia="Georgia" w:cs="Georgia"/>
          <w:sz w:val="22"/>
          <w:szCs w:val="22"/>
          <w:vertAlign w:val="subscript"/>
        </w:rPr>
        <w:t>ih</w:t>
      </w:r>
      <w:r w:rsidRPr="00F80778">
        <w:rPr>
          <w:rFonts w:eastAsia="Georgia" w:cs="Georgia"/>
          <w:sz w:val="22"/>
          <w:szCs w:val="22"/>
        </w:rPr>
        <w:t xml:space="preserve"> is the outcome of interest, TU</w:t>
      </w:r>
      <w:r w:rsidRPr="00F80778">
        <w:rPr>
          <w:rFonts w:eastAsia="Georgia" w:cs="Georgia"/>
          <w:sz w:val="22"/>
          <w:szCs w:val="22"/>
          <w:vertAlign w:val="subscript"/>
        </w:rPr>
        <w:t>iht</w:t>
      </w:r>
      <w:r w:rsidRPr="00F80778">
        <w:rPr>
          <w:rFonts w:eastAsia="Georgia" w:cs="Georgia"/>
          <w:sz w:val="22"/>
          <w:szCs w:val="22"/>
        </w:rPr>
        <w:t xml:space="preserve"> is an endogenous covariate, and assignment to treatment T</w:t>
      </w:r>
      <w:r w:rsidRPr="00F80778">
        <w:rPr>
          <w:rFonts w:eastAsia="Georgia" w:cs="Georgia"/>
          <w:sz w:val="22"/>
          <w:szCs w:val="22"/>
          <w:vertAlign w:val="subscript"/>
        </w:rPr>
        <w:t>iht</w:t>
      </w:r>
      <w:r w:rsidRPr="00F80778">
        <w:rPr>
          <w:rFonts w:eastAsia="Georgia" w:cs="Georgia"/>
          <w:sz w:val="22"/>
          <w:szCs w:val="22"/>
        </w:rPr>
        <w:t xml:space="preserve">, is an instrument for this variable, and the other controls are those in equations (2) and (3).  </w:t>
      </w:r>
    </w:p>
    <w:p w14:paraId="1A208ED8" w14:textId="76722128" w:rsidR="0065649A" w:rsidRPr="00F80778" w:rsidRDefault="00C80F32" w:rsidP="00C80F32">
      <w:pPr>
        <w:rPr>
          <w:rFonts w:eastAsia="Georgia" w:cs="Georgia"/>
          <w:sz w:val="22"/>
          <w:szCs w:val="22"/>
        </w:rPr>
      </w:pPr>
      <w:r w:rsidRPr="00F80778">
        <w:rPr>
          <w:rFonts w:eastAsia="Georgia" w:cs="Georgia"/>
          <w:sz w:val="22"/>
          <w:szCs w:val="22"/>
        </w:rPr>
        <w:tab/>
        <w:t>In all models, we will allow for an arbitrary correlation in errors by hospital and month.  We anticipate the correlation in this dimension because each hospital has a unique patient base and practice patterns that are likely to generate correlation in patient outcomes.  Second, we anticipate that errors are correlated within small time periods because of seasonal variation and because patients are being randomly assigned in two-person pairs, this allows for correlations in errors within these small windows of time.</w:t>
      </w:r>
    </w:p>
    <w:p w14:paraId="7681C92F" w14:textId="634F6CDF" w:rsidR="00C80F32" w:rsidRPr="00F80778" w:rsidRDefault="00C80F32" w:rsidP="00C80F32">
      <w:pPr>
        <w:rPr>
          <w:rFonts w:eastAsia="Georgia" w:cs="Georgia"/>
          <w:sz w:val="22"/>
          <w:szCs w:val="22"/>
        </w:rPr>
      </w:pPr>
      <w:r w:rsidRPr="00F80778">
        <w:rPr>
          <w:rFonts w:eastAsia="Georgia" w:cs="Georgia"/>
          <w:sz w:val="22"/>
          <w:szCs w:val="22"/>
        </w:rPr>
        <w:tab/>
        <w:t xml:space="preserve">The text above outlines the models for the key outcome, which is </w:t>
      </w:r>
      <w:r w:rsidR="0065649A" w:rsidRPr="00F80778">
        <w:rPr>
          <w:rFonts w:eastAsia="Georgia" w:cs="Georgia"/>
          <w:sz w:val="22"/>
          <w:szCs w:val="22"/>
        </w:rPr>
        <w:t>whether or not a patient was readmitted to the hospital</w:t>
      </w:r>
      <w:r w:rsidRPr="00F80778">
        <w:rPr>
          <w:rFonts w:eastAsia="Georgia" w:cs="Georgia"/>
          <w:sz w:val="22"/>
          <w:szCs w:val="22"/>
        </w:rPr>
        <w:t>.  We are also concerned about the costs of readmissions, which is a secondary outcome.  In this case, the basic statistical models will be the same, but we will change the outcome of interest</w:t>
      </w:r>
      <w:r w:rsidR="007F07F6" w:rsidRPr="00F80778">
        <w:rPr>
          <w:rFonts w:eastAsia="Georgia" w:cs="Georgia"/>
          <w:sz w:val="22"/>
          <w:szCs w:val="22"/>
        </w:rPr>
        <w:t xml:space="preserve"> to total costs associated with a readmission (and zero if a readmission does not occur). </w:t>
      </w:r>
    </w:p>
    <w:p w14:paraId="021A2660" w14:textId="77777777" w:rsidR="000624F3" w:rsidRPr="00F80778" w:rsidRDefault="000624F3">
      <w:pPr>
        <w:rPr>
          <w:iCs/>
          <w:sz w:val="22"/>
          <w:szCs w:val="22"/>
        </w:rPr>
      </w:pPr>
    </w:p>
    <w:p w14:paraId="6103561D" w14:textId="7B70AD22" w:rsidR="0065649A" w:rsidRPr="00F80778" w:rsidRDefault="0065649A" w:rsidP="0065649A">
      <w:pPr>
        <w:rPr>
          <w:rFonts w:eastAsia="Georgia" w:cs="Georgia"/>
          <w:i/>
          <w:sz w:val="22"/>
          <w:szCs w:val="22"/>
        </w:rPr>
      </w:pPr>
      <w:r w:rsidRPr="00F80778">
        <w:rPr>
          <w:rFonts w:eastAsia="Georgia" w:cs="Georgia"/>
          <w:i/>
          <w:sz w:val="22"/>
          <w:szCs w:val="22"/>
        </w:rPr>
        <w:t xml:space="preserve">Statistical </w:t>
      </w:r>
      <w:r w:rsidR="00CE6764" w:rsidRPr="00F80778">
        <w:rPr>
          <w:rFonts w:eastAsia="Georgia" w:cs="Georgia"/>
          <w:i/>
          <w:sz w:val="22"/>
          <w:szCs w:val="22"/>
        </w:rPr>
        <w:t>P</w:t>
      </w:r>
      <w:r w:rsidRPr="00F80778">
        <w:rPr>
          <w:rFonts w:eastAsia="Georgia" w:cs="Georgia"/>
          <w:i/>
          <w:sz w:val="22"/>
          <w:szCs w:val="22"/>
        </w:rPr>
        <w:t>ower</w:t>
      </w:r>
    </w:p>
    <w:p w14:paraId="580B7265" w14:textId="00850375" w:rsidR="0065649A" w:rsidRPr="00F80778" w:rsidRDefault="0065649A" w:rsidP="0065649A">
      <w:pPr>
        <w:rPr>
          <w:rFonts w:eastAsia="Georgia" w:cs="Georgia"/>
          <w:sz w:val="22"/>
          <w:szCs w:val="22"/>
        </w:rPr>
      </w:pPr>
      <w:r w:rsidRPr="00F80778">
        <w:rPr>
          <w:rFonts w:eastAsia="Georgia" w:cs="Georgia"/>
          <w:b/>
          <w:sz w:val="22"/>
          <w:szCs w:val="22"/>
        </w:rPr>
        <w:tab/>
      </w:r>
      <w:r w:rsidRPr="00F80778">
        <w:rPr>
          <w:rFonts w:eastAsia="Georgia" w:cs="Georgia"/>
          <w:sz w:val="22"/>
          <w:szCs w:val="22"/>
        </w:rPr>
        <w:t xml:space="preserve">Over a two-year period, we anticipate enrolling 4,800 individuals in the experiment, with half being assigned to the treatment group and an expected take-up rate of 50%.  Based on data provided by the hospitals about their readmission rates for the eligible population, we expect the baseline readmission rate for the sample to be 22%.  With power of 0.80 and an alpha of 0.05, we will be able to detect a 3.2 percentage point decline in an intention to treat, which implies a 6.4 percentage point decline in the treatment on the treated model.  These projections are in line with the estimates found in Evans et al. (2021) in their evaluation of the </w:t>
      </w:r>
      <w:r w:rsidR="00CD0E87" w:rsidRPr="00F80778">
        <w:rPr>
          <w:rFonts w:eastAsia="Georgia" w:cs="Georgia"/>
          <w:sz w:val="22"/>
          <w:szCs w:val="22"/>
        </w:rPr>
        <w:t>transition</w:t>
      </w:r>
      <w:r w:rsidRPr="00F80778">
        <w:rPr>
          <w:rFonts w:eastAsia="Georgia" w:cs="Georgia"/>
          <w:sz w:val="22"/>
          <w:szCs w:val="22"/>
        </w:rPr>
        <w:t xml:space="preserve"> program run by </w:t>
      </w:r>
      <w:r w:rsidR="00CD0E87" w:rsidRPr="00F80778">
        <w:rPr>
          <w:rFonts w:eastAsia="Georgia" w:cs="Georgia"/>
          <w:sz w:val="22"/>
          <w:szCs w:val="22"/>
        </w:rPr>
        <w:t>Catholic Charities Chicago</w:t>
      </w:r>
      <w:r w:rsidRPr="00F80778">
        <w:rPr>
          <w:rFonts w:eastAsia="Georgia" w:cs="Georgia"/>
          <w:sz w:val="22"/>
          <w:szCs w:val="22"/>
        </w:rPr>
        <w:t>.</w:t>
      </w:r>
    </w:p>
    <w:p w14:paraId="07E2067B" w14:textId="77777777" w:rsidR="00F0560D" w:rsidRPr="00F80778" w:rsidRDefault="00F0560D" w:rsidP="0065649A">
      <w:pPr>
        <w:rPr>
          <w:rFonts w:eastAsia="Georgia" w:cs="Georgia"/>
          <w:sz w:val="22"/>
          <w:szCs w:val="22"/>
        </w:rPr>
      </w:pPr>
    </w:p>
    <w:p w14:paraId="7A2953C0" w14:textId="77777777" w:rsidR="00CE6764" w:rsidRPr="00F80778" w:rsidRDefault="00CE6764" w:rsidP="00CE6764">
      <w:pPr>
        <w:rPr>
          <w:i/>
          <w:sz w:val="22"/>
          <w:szCs w:val="22"/>
        </w:rPr>
      </w:pPr>
      <w:bookmarkStart w:id="4" w:name="_qzqv5kj1wroq" w:colFirst="0" w:colLast="0"/>
      <w:bookmarkStart w:id="5" w:name="_nff7aja9al7y" w:colFirst="0" w:colLast="0"/>
      <w:bookmarkEnd w:id="4"/>
      <w:bookmarkEnd w:id="5"/>
      <w:r w:rsidRPr="00F80778">
        <w:rPr>
          <w:i/>
          <w:sz w:val="22"/>
          <w:szCs w:val="22"/>
        </w:rPr>
        <w:t>Multiple Hypothesis Testing</w:t>
      </w:r>
    </w:p>
    <w:p w14:paraId="1E7EE1A4" w14:textId="30F47755" w:rsidR="00CE6764" w:rsidRPr="00F80778" w:rsidRDefault="00CE6764" w:rsidP="00CE6764">
      <w:pPr>
        <w:rPr>
          <w:sz w:val="22"/>
          <w:szCs w:val="22"/>
        </w:rPr>
      </w:pPr>
      <w:r w:rsidRPr="00F80778">
        <w:rPr>
          <w:sz w:val="22"/>
          <w:szCs w:val="22"/>
        </w:rPr>
        <w:t xml:space="preserve">The outcomes described above all provide distinct information about outcomes related to patient health, spending, and program utilization. We will report p-values for all outcomes included in the analyses described above, which will provide all </w:t>
      </w:r>
      <w:r w:rsidR="006F1E92" w:rsidRPr="00F80778">
        <w:rPr>
          <w:sz w:val="22"/>
          <w:szCs w:val="22"/>
        </w:rPr>
        <w:t xml:space="preserve">the </w:t>
      </w:r>
      <w:r w:rsidRPr="00F80778">
        <w:rPr>
          <w:sz w:val="22"/>
          <w:szCs w:val="22"/>
        </w:rPr>
        <w:t>information necessary to make multiple hypothesis testing corrections if desired.</w:t>
      </w:r>
    </w:p>
    <w:p w14:paraId="04A311D8" w14:textId="77777777" w:rsidR="00CE6764" w:rsidRPr="00F80778" w:rsidRDefault="00CE6764" w:rsidP="00CE6764">
      <w:pPr>
        <w:rPr>
          <w:sz w:val="22"/>
          <w:szCs w:val="22"/>
        </w:rPr>
      </w:pPr>
    </w:p>
    <w:p w14:paraId="62DF2DBF" w14:textId="16301A6B" w:rsidR="00CE6764" w:rsidRDefault="00CE6764">
      <w:pPr>
        <w:pStyle w:val="Heading1"/>
        <w:spacing w:before="0"/>
        <w:rPr>
          <w:sz w:val="22"/>
          <w:szCs w:val="22"/>
        </w:rPr>
      </w:pPr>
    </w:p>
    <w:p w14:paraId="4E724B1E" w14:textId="6470F933" w:rsidR="00F80778" w:rsidRDefault="00F80778" w:rsidP="00F80778"/>
    <w:p w14:paraId="5D15020D" w14:textId="77777777" w:rsidR="00F80778" w:rsidRPr="00F80778" w:rsidRDefault="00F80778" w:rsidP="00F80778"/>
    <w:p w14:paraId="068DF544" w14:textId="7EF046F5" w:rsidR="00334EC8" w:rsidRPr="00F80778" w:rsidRDefault="006E3820">
      <w:pPr>
        <w:pStyle w:val="Heading1"/>
        <w:spacing w:before="0"/>
        <w:rPr>
          <w:sz w:val="22"/>
          <w:szCs w:val="22"/>
        </w:rPr>
      </w:pPr>
      <w:r w:rsidRPr="00F80778">
        <w:rPr>
          <w:sz w:val="22"/>
          <w:szCs w:val="22"/>
        </w:rPr>
        <w:lastRenderedPageBreak/>
        <w:t>References</w:t>
      </w:r>
    </w:p>
    <w:p w14:paraId="0F06EDCD" w14:textId="77777777" w:rsidR="00334EC8" w:rsidRPr="00F80778" w:rsidRDefault="00334EC8">
      <w:pPr>
        <w:widowControl w:val="0"/>
        <w:spacing w:line="240" w:lineRule="auto"/>
        <w:ind w:right="502"/>
        <w:rPr>
          <w:sz w:val="22"/>
          <w:szCs w:val="22"/>
        </w:rPr>
      </w:pPr>
    </w:p>
    <w:p w14:paraId="5D6D5D16" w14:textId="77777777" w:rsidR="002B1402" w:rsidRPr="00F80778" w:rsidRDefault="002B1402" w:rsidP="002B1402">
      <w:pPr>
        <w:rPr>
          <w:rFonts w:eastAsia="Georgia" w:cs="Georgia"/>
          <w:sz w:val="22"/>
          <w:szCs w:val="22"/>
        </w:rPr>
      </w:pPr>
      <w:r w:rsidRPr="00F80778">
        <w:rPr>
          <w:rFonts w:eastAsia="Georgia" w:cs="Georgia"/>
          <w:sz w:val="22"/>
          <w:szCs w:val="22"/>
        </w:rPr>
        <w:t xml:space="preserve">Arora, S., Lahewala, S., Virk, H. U. H., Setareh-Shenas, S., Patel, P., Kumar, V., … &amp; Gopalan, R. (2017). Etiologies, trends, and predictors of 30-day readmissions in patients with diastolic heart failure. </w:t>
      </w:r>
      <w:r w:rsidRPr="00F80778">
        <w:rPr>
          <w:rFonts w:eastAsia="Georgia" w:cs="Georgia"/>
          <w:i/>
          <w:sz w:val="22"/>
          <w:szCs w:val="22"/>
        </w:rPr>
        <w:t>The American Journal of Cardiology</w:t>
      </w:r>
      <w:r w:rsidRPr="00F80778">
        <w:rPr>
          <w:rFonts w:eastAsia="Georgia" w:cs="Georgia"/>
          <w:sz w:val="22"/>
          <w:szCs w:val="22"/>
        </w:rPr>
        <w:t xml:space="preserve">, </w:t>
      </w:r>
      <w:r w:rsidRPr="00F80778">
        <w:rPr>
          <w:rFonts w:eastAsia="Georgia" w:cs="Georgia"/>
          <w:i/>
          <w:sz w:val="22"/>
          <w:szCs w:val="22"/>
        </w:rPr>
        <w:t>120</w:t>
      </w:r>
      <w:r w:rsidRPr="00F80778">
        <w:rPr>
          <w:rFonts w:eastAsia="Georgia" w:cs="Georgia"/>
          <w:sz w:val="22"/>
          <w:szCs w:val="22"/>
        </w:rPr>
        <w:t>(4), 616-624.</w:t>
      </w:r>
    </w:p>
    <w:p w14:paraId="4798F713" w14:textId="77777777" w:rsidR="002B1402" w:rsidRPr="00F80778" w:rsidRDefault="002B1402" w:rsidP="002B1402">
      <w:pPr>
        <w:rPr>
          <w:rFonts w:eastAsia="Georgia" w:cs="Georgia"/>
          <w:sz w:val="22"/>
          <w:szCs w:val="22"/>
        </w:rPr>
      </w:pPr>
    </w:p>
    <w:p w14:paraId="7719C410" w14:textId="77777777" w:rsidR="002B1402" w:rsidRPr="00F80778" w:rsidRDefault="002B1402" w:rsidP="002B1402">
      <w:pPr>
        <w:rPr>
          <w:rFonts w:eastAsia="Georgia" w:cs="Georgia"/>
          <w:sz w:val="22"/>
          <w:szCs w:val="22"/>
        </w:rPr>
      </w:pPr>
      <w:r w:rsidRPr="00F80778">
        <w:rPr>
          <w:rFonts w:eastAsia="Georgia" w:cs="Georgia"/>
          <w:sz w:val="22"/>
          <w:szCs w:val="22"/>
        </w:rPr>
        <w:t xml:space="preserve">Buhr, R. G., Jackson, N. J., Kominski, G. F., Dubinett, S. M., Ong, M. K., &amp; Mangione, C. M. (2019). Comorbidity and thirty-day hospital readmission odds in chronic obstructive pulmonary disease: a comparison of the Charlson and Elixhauser comorbidity indices. </w:t>
      </w:r>
      <w:r w:rsidRPr="00F80778">
        <w:rPr>
          <w:rFonts w:eastAsia="Georgia" w:cs="Georgia"/>
          <w:i/>
          <w:sz w:val="22"/>
          <w:szCs w:val="22"/>
        </w:rPr>
        <w:t>BMC Health Services Research</w:t>
      </w:r>
      <w:r w:rsidRPr="00F80778">
        <w:rPr>
          <w:rFonts w:eastAsia="Georgia" w:cs="Georgia"/>
          <w:sz w:val="22"/>
          <w:szCs w:val="22"/>
        </w:rPr>
        <w:t xml:space="preserve">, </w:t>
      </w:r>
      <w:r w:rsidRPr="00F80778">
        <w:rPr>
          <w:rFonts w:eastAsia="Georgia" w:cs="Georgia"/>
          <w:i/>
          <w:sz w:val="22"/>
          <w:szCs w:val="22"/>
        </w:rPr>
        <w:t>19</w:t>
      </w:r>
      <w:r w:rsidRPr="00F80778">
        <w:rPr>
          <w:rFonts w:eastAsia="Georgia" w:cs="Georgia"/>
          <w:sz w:val="22"/>
          <w:szCs w:val="22"/>
        </w:rPr>
        <w:t>(1), 1-12.</w:t>
      </w:r>
    </w:p>
    <w:p w14:paraId="1F65DBE9" w14:textId="77777777" w:rsidR="002B1402" w:rsidRPr="00F80778" w:rsidRDefault="002B1402" w:rsidP="002B1402">
      <w:pPr>
        <w:rPr>
          <w:rFonts w:eastAsia="Georgia" w:cs="Georgia"/>
          <w:sz w:val="22"/>
          <w:szCs w:val="22"/>
        </w:rPr>
      </w:pPr>
    </w:p>
    <w:p w14:paraId="21B23750" w14:textId="77777777" w:rsidR="002B1402" w:rsidRPr="00F80778" w:rsidRDefault="002B1402" w:rsidP="002B1402">
      <w:pPr>
        <w:rPr>
          <w:rFonts w:eastAsia="Georgia" w:cs="Georgia"/>
          <w:sz w:val="22"/>
          <w:szCs w:val="22"/>
        </w:rPr>
      </w:pPr>
      <w:r w:rsidRPr="00F80778">
        <w:rPr>
          <w:rFonts w:eastAsia="Georgia" w:cs="Georgia"/>
          <w:sz w:val="22"/>
          <w:szCs w:val="22"/>
        </w:rPr>
        <w:t xml:space="preserve">Charlson, M. E., Pompei, P., Ales, K. L., &amp; MacKenzie, C. R. (1987). A new method of classifying prognostic comorbidity in longitudinal studies: development and validation. </w:t>
      </w:r>
      <w:r w:rsidRPr="00F80778">
        <w:rPr>
          <w:rFonts w:eastAsia="Georgia" w:cs="Georgia"/>
          <w:i/>
          <w:sz w:val="22"/>
          <w:szCs w:val="22"/>
        </w:rPr>
        <w:t>Journal of Chronic Diseases</w:t>
      </w:r>
      <w:r w:rsidRPr="00F80778">
        <w:rPr>
          <w:rFonts w:eastAsia="Georgia" w:cs="Georgia"/>
          <w:sz w:val="22"/>
          <w:szCs w:val="22"/>
        </w:rPr>
        <w:t xml:space="preserve">, </w:t>
      </w:r>
      <w:r w:rsidRPr="00F80778">
        <w:rPr>
          <w:rFonts w:eastAsia="Georgia" w:cs="Georgia"/>
          <w:i/>
          <w:sz w:val="22"/>
          <w:szCs w:val="22"/>
        </w:rPr>
        <w:t>40</w:t>
      </w:r>
      <w:r w:rsidRPr="00F80778">
        <w:rPr>
          <w:rFonts w:eastAsia="Georgia" w:cs="Georgia"/>
          <w:sz w:val="22"/>
          <w:szCs w:val="22"/>
        </w:rPr>
        <w:t>(5), 373-383.</w:t>
      </w:r>
    </w:p>
    <w:p w14:paraId="4D00BE58" w14:textId="77777777" w:rsidR="002B1402" w:rsidRPr="00F80778" w:rsidRDefault="002B1402" w:rsidP="002B1402">
      <w:pPr>
        <w:rPr>
          <w:rFonts w:eastAsia="Georgia" w:cs="Georgia"/>
          <w:sz w:val="22"/>
          <w:szCs w:val="22"/>
        </w:rPr>
      </w:pPr>
    </w:p>
    <w:p w14:paraId="30931E58" w14:textId="77777777" w:rsidR="002B1402" w:rsidRPr="00F80778" w:rsidRDefault="002B1402" w:rsidP="002B1402">
      <w:pPr>
        <w:rPr>
          <w:rFonts w:eastAsia="Georgia" w:cs="Georgia"/>
          <w:sz w:val="22"/>
          <w:szCs w:val="22"/>
        </w:rPr>
      </w:pPr>
      <w:r w:rsidRPr="00F80778">
        <w:rPr>
          <w:rFonts w:eastAsia="Georgia" w:cs="Georgia"/>
          <w:sz w:val="22"/>
          <w:szCs w:val="22"/>
        </w:rPr>
        <w:t xml:space="preserve">Charlson, M., Szatrowski, T. P., Peterson, J., &amp; Gold, J. (1994). Validation of a combined comorbidity index. </w:t>
      </w:r>
      <w:r w:rsidRPr="00F80778">
        <w:rPr>
          <w:rFonts w:eastAsia="Georgia" w:cs="Georgia"/>
          <w:i/>
          <w:sz w:val="22"/>
          <w:szCs w:val="22"/>
        </w:rPr>
        <w:t>Journal of Clinical Epidemiology</w:t>
      </w:r>
      <w:r w:rsidRPr="00F80778">
        <w:rPr>
          <w:rFonts w:eastAsia="Georgia" w:cs="Georgia"/>
          <w:sz w:val="22"/>
          <w:szCs w:val="22"/>
        </w:rPr>
        <w:t xml:space="preserve">, </w:t>
      </w:r>
      <w:r w:rsidRPr="00F80778">
        <w:rPr>
          <w:rFonts w:eastAsia="Georgia" w:cs="Georgia"/>
          <w:i/>
          <w:sz w:val="22"/>
          <w:szCs w:val="22"/>
        </w:rPr>
        <w:t>47</w:t>
      </w:r>
      <w:r w:rsidRPr="00F80778">
        <w:rPr>
          <w:rFonts w:eastAsia="Georgia" w:cs="Georgia"/>
          <w:sz w:val="22"/>
          <w:szCs w:val="22"/>
        </w:rPr>
        <w:t>(11), 1245-1251.</w:t>
      </w:r>
    </w:p>
    <w:p w14:paraId="68D809FA" w14:textId="77777777" w:rsidR="002B1402" w:rsidRPr="00F80778" w:rsidRDefault="002B1402" w:rsidP="002B1402">
      <w:pPr>
        <w:spacing w:before="240" w:after="240"/>
        <w:rPr>
          <w:rFonts w:eastAsia="Georgia" w:cs="Georgia"/>
          <w:sz w:val="22"/>
          <w:szCs w:val="22"/>
        </w:rPr>
      </w:pPr>
      <w:r w:rsidRPr="00F80778">
        <w:rPr>
          <w:rFonts w:eastAsia="Georgia" w:cs="Georgia"/>
          <w:sz w:val="22"/>
          <w:szCs w:val="22"/>
        </w:rPr>
        <w:t xml:space="preserve">Evans, W.N., Kroeger, S., Munnich, E., Ortuzar, G., and Wagner, K.  (2021). “Reducing Readmission by Addressing the Social Determinants of Health.”  </w:t>
      </w:r>
      <w:r w:rsidRPr="00F80778">
        <w:rPr>
          <w:rFonts w:eastAsia="Georgia" w:cs="Georgia"/>
          <w:i/>
          <w:sz w:val="22"/>
          <w:szCs w:val="22"/>
        </w:rPr>
        <w:t>American Journal of Health Economics,</w:t>
      </w:r>
      <w:r w:rsidRPr="00F80778">
        <w:rPr>
          <w:rFonts w:eastAsia="Georgia" w:cs="Georgia"/>
          <w:i/>
          <w:iCs/>
          <w:sz w:val="22"/>
          <w:szCs w:val="22"/>
        </w:rPr>
        <w:t xml:space="preserve"> 7</w:t>
      </w:r>
      <w:r w:rsidRPr="00F80778">
        <w:rPr>
          <w:rFonts w:eastAsia="Georgia" w:cs="Georgia"/>
          <w:sz w:val="22"/>
          <w:szCs w:val="22"/>
        </w:rPr>
        <w:t>(1): 1-40.</w:t>
      </w:r>
    </w:p>
    <w:p w14:paraId="00540F3D" w14:textId="77777777" w:rsidR="002B1402" w:rsidRPr="00F80778" w:rsidRDefault="002B1402" w:rsidP="002B1402">
      <w:pPr>
        <w:spacing w:before="240" w:after="240"/>
        <w:rPr>
          <w:rFonts w:eastAsia="Georgia" w:cs="Georgia"/>
          <w:sz w:val="22"/>
          <w:szCs w:val="22"/>
        </w:rPr>
      </w:pPr>
      <w:r w:rsidRPr="00F80778">
        <w:rPr>
          <w:rFonts w:eastAsia="Georgia" w:cs="Georgia"/>
          <w:color w:val="222222"/>
          <w:sz w:val="22"/>
          <w:szCs w:val="22"/>
        </w:rPr>
        <w:t xml:space="preserve">Flythe, Jennifer E., Johnathan Hilbert, Abhijit V. Kshirsagar, and Constance A. Gilet. </w:t>
      </w:r>
      <w:r w:rsidRPr="00F80778">
        <w:rPr>
          <w:rFonts w:eastAsia="Georgia" w:cs="Georgia"/>
          <w:sz w:val="22"/>
          <w:szCs w:val="22"/>
        </w:rPr>
        <w:t xml:space="preserve">(2017).  </w:t>
      </w:r>
      <w:r w:rsidRPr="00F80778">
        <w:rPr>
          <w:rFonts w:eastAsia="Georgia" w:cs="Georgia"/>
          <w:color w:val="222222"/>
          <w:sz w:val="22"/>
          <w:szCs w:val="22"/>
        </w:rPr>
        <w:t xml:space="preserve">Psychosocial factors and 30-day hospital readmission among individuals receiving maintenance dialysis: a prospective study. </w:t>
      </w:r>
      <w:r w:rsidRPr="00F80778">
        <w:rPr>
          <w:rFonts w:eastAsia="Georgia" w:cs="Georgia"/>
          <w:i/>
          <w:sz w:val="22"/>
          <w:szCs w:val="22"/>
        </w:rPr>
        <w:t>American Journal of Nephrology,</w:t>
      </w:r>
      <w:r w:rsidRPr="00F80778">
        <w:rPr>
          <w:rFonts w:eastAsia="Georgia" w:cs="Georgia"/>
          <w:sz w:val="22"/>
          <w:szCs w:val="22"/>
        </w:rPr>
        <w:t xml:space="preserve"> </w:t>
      </w:r>
      <w:r w:rsidRPr="00F80778">
        <w:rPr>
          <w:rFonts w:eastAsia="Georgia" w:cs="Georgia"/>
          <w:i/>
          <w:iCs/>
          <w:sz w:val="22"/>
          <w:szCs w:val="22"/>
        </w:rPr>
        <w:t>45</w:t>
      </w:r>
      <w:r w:rsidRPr="00F80778">
        <w:rPr>
          <w:rFonts w:eastAsia="Georgia" w:cs="Georgia"/>
          <w:sz w:val="22"/>
          <w:szCs w:val="22"/>
        </w:rPr>
        <w:t>(5), 400-408.</w:t>
      </w:r>
    </w:p>
    <w:p w14:paraId="33D93535" w14:textId="77777777" w:rsidR="002B1402" w:rsidRPr="00F80778" w:rsidRDefault="002B1402" w:rsidP="002B1402">
      <w:pPr>
        <w:rPr>
          <w:rFonts w:eastAsia="Georgia" w:cs="Georgia"/>
          <w:sz w:val="22"/>
          <w:szCs w:val="22"/>
        </w:rPr>
      </w:pPr>
      <w:r w:rsidRPr="00F80778">
        <w:rPr>
          <w:rFonts w:eastAsia="Georgia" w:cs="Georgia"/>
          <w:sz w:val="22"/>
          <w:szCs w:val="22"/>
        </w:rPr>
        <w:t>Frenkel, W. J., Jongerius, E. J., Mandjes</w:t>
      </w:r>
      <w:r w:rsidRPr="00F80778">
        <w:rPr>
          <w:rFonts w:ascii="Cambria Math" w:eastAsia="Georgia" w:hAnsi="Cambria Math" w:cs="Cambria Math"/>
          <w:sz w:val="22"/>
          <w:szCs w:val="22"/>
        </w:rPr>
        <w:t>‐</w:t>
      </w:r>
      <w:r w:rsidRPr="00F80778">
        <w:rPr>
          <w:rFonts w:eastAsia="Georgia" w:cs="Georgia"/>
          <w:sz w:val="22"/>
          <w:szCs w:val="22"/>
        </w:rPr>
        <w:t xml:space="preserve">van Uitert, M. J., van Munster, B. C., &amp; de Rooij, S. E. (2014). Validation of the Charlson Comorbidity Index in acutely hospitalized elderly adults: a prospective cohort study. </w:t>
      </w:r>
      <w:r w:rsidRPr="00F80778">
        <w:rPr>
          <w:rFonts w:eastAsia="Georgia" w:cs="Georgia"/>
          <w:i/>
          <w:sz w:val="22"/>
          <w:szCs w:val="22"/>
        </w:rPr>
        <w:t>Journal of the American Geriatrics Society</w:t>
      </w:r>
      <w:r w:rsidRPr="00F80778">
        <w:rPr>
          <w:rFonts w:eastAsia="Georgia" w:cs="Georgia"/>
          <w:sz w:val="22"/>
          <w:szCs w:val="22"/>
        </w:rPr>
        <w:t>, 62(2), 342-346.</w:t>
      </w:r>
    </w:p>
    <w:p w14:paraId="2EDB05E0" w14:textId="77777777" w:rsidR="002B1402" w:rsidRPr="00F80778" w:rsidRDefault="002B1402" w:rsidP="002B1402">
      <w:pPr>
        <w:rPr>
          <w:rFonts w:eastAsia="Georgia" w:cs="Georgia"/>
          <w:sz w:val="22"/>
          <w:szCs w:val="22"/>
        </w:rPr>
      </w:pPr>
    </w:p>
    <w:p w14:paraId="237D3F83" w14:textId="77777777" w:rsidR="002B1402" w:rsidRPr="00F80778" w:rsidRDefault="002B1402" w:rsidP="002B1402">
      <w:pPr>
        <w:rPr>
          <w:rFonts w:eastAsia="Georgia" w:cs="Georgia"/>
          <w:sz w:val="22"/>
          <w:szCs w:val="22"/>
        </w:rPr>
      </w:pPr>
      <w:r w:rsidRPr="00F80778">
        <w:rPr>
          <w:rFonts w:eastAsia="Georgia" w:cs="Georgia"/>
          <w:sz w:val="22"/>
          <w:szCs w:val="22"/>
        </w:rPr>
        <w:t xml:space="preserve">Gadre, S. K., Shah, M., Mireles-Cabodevila, E., Patel, B., &amp; Duggal, A. (2019). Epidemiology and predictors of 30-day readmission in patients with sepsis. </w:t>
      </w:r>
      <w:r w:rsidRPr="00F80778">
        <w:rPr>
          <w:rFonts w:eastAsia="Georgia" w:cs="Georgia"/>
          <w:i/>
          <w:sz w:val="22"/>
          <w:szCs w:val="22"/>
        </w:rPr>
        <w:t>Chest</w:t>
      </w:r>
      <w:r w:rsidRPr="00F80778">
        <w:rPr>
          <w:rFonts w:eastAsia="Georgia" w:cs="Georgia"/>
          <w:sz w:val="22"/>
          <w:szCs w:val="22"/>
        </w:rPr>
        <w:t xml:space="preserve">, </w:t>
      </w:r>
      <w:r w:rsidRPr="00F80778">
        <w:rPr>
          <w:rFonts w:eastAsia="Georgia" w:cs="Georgia"/>
          <w:i/>
          <w:sz w:val="22"/>
          <w:szCs w:val="22"/>
        </w:rPr>
        <w:t>155</w:t>
      </w:r>
      <w:r w:rsidRPr="00F80778">
        <w:rPr>
          <w:rFonts w:eastAsia="Georgia" w:cs="Georgia"/>
          <w:sz w:val="22"/>
          <w:szCs w:val="22"/>
        </w:rPr>
        <w:t>(3), 483-490.</w:t>
      </w:r>
    </w:p>
    <w:p w14:paraId="251D2999" w14:textId="77777777" w:rsidR="002B1402" w:rsidRPr="00F80778" w:rsidRDefault="002B1402" w:rsidP="002B1402">
      <w:pPr>
        <w:rPr>
          <w:rFonts w:cs="Arial"/>
          <w:color w:val="222222"/>
          <w:sz w:val="22"/>
          <w:szCs w:val="22"/>
          <w:shd w:val="clear" w:color="auto" w:fill="FFFFFF"/>
        </w:rPr>
      </w:pPr>
    </w:p>
    <w:p w14:paraId="6AD19CD5" w14:textId="77777777" w:rsidR="002B1402" w:rsidRPr="00F80778" w:rsidRDefault="002B1402" w:rsidP="002B1402">
      <w:pPr>
        <w:rPr>
          <w:rFonts w:eastAsia="Georgia" w:cs="Georgia"/>
          <w:sz w:val="22"/>
          <w:szCs w:val="22"/>
        </w:rPr>
      </w:pPr>
      <w:r w:rsidRPr="00F80778">
        <w:rPr>
          <w:rFonts w:eastAsia="Georgia" w:cs="Georgia"/>
          <w:sz w:val="22"/>
          <w:szCs w:val="22"/>
        </w:rPr>
        <w:t xml:space="preserve">Gangu, K., Bobba, A., Chela, H. K., Avula, S., Basida, S., &amp; Yadav, N. (2022). In-hospital mortality rate and predictors of 30-day readmission in patients with heart failure exacerbation and atrial fibrillation: a cross-sectional study. </w:t>
      </w:r>
      <w:r w:rsidRPr="00F80778">
        <w:rPr>
          <w:rFonts w:eastAsia="Georgia" w:cs="Georgia"/>
          <w:i/>
          <w:sz w:val="22"/>
          <w:szCs w:val="22"/>
        </w:rPr>
        <w:t>International Journal of Heart Failure</w:t>
      </w:r>
      <w:r w:rsidRPr="00F80778">
        <w:rPr>
          <w:rFonts w:eastAsia="Georgia" w:cs="Georgia"/>
          <w:i/>
          <w:iCs/>
          <w:sz w:val="22"/>
          <w:szCs w:val="22"/>
        </w:rPr>
        <w:t>, 4</w:t>
      </w:r>
      <w:r w:rsidRPr="00F80778">
        <w:rPr>
          <w:rFonts w:eastAsia="Georgia" w:cs="Georgia"/>
          <w:sz w:val="22"/>
          <w:szCs w:val="22"/>
        </w:rPr>
        <w:t>(3), 145-153.</w:t>
      </w:r>
    </w:p>
    <w:p w14:paraId="26E62D68" w14:textId="77777777" w:rsidR="002B1402" w:rsidRPr="00F80778" w:rsidRDefault="002B1402" w:rsidP="002B1402">
      <w:pPr>
        <w:spacing w:before="240" w:after="240"/>
        <w:rPr>
          <w:rFonts w:eastAsia="Georgia" w:cs="Georgia"/>
          <w:color w:val="222222"/>
          <w:sz w:val="22"/>
          <w:szCs w:val="22"/>
        </w:rPr>
      </w:pPr>
      <w:r w:rsidRPr="00F80778">
        <w:rPr>
          <w:rFonts w:eastAsia="Georgia" w:cs="Georgia"/>
          <w:color w:val="222222"/>
          <w:sz w:val="22"/>
          <w:szCs w:val="22"/>
        </w:rPr>
        <w:t xml:space="preserve">Lin, T. K., Hsu, B. C., Li, Y. D., Chen, C. H., Lin, J. W., Chien, C. Y., &amp; Weng, C. Y..  (2022).  The impact of sources of perceived social support on readmissions in patients with heart failure. </w:t>
      </w:r>
      <w:r w:rsidRPr="00F80778">
        <w:rPr>
          <w:rFonts w:eastAsia="Georgia" w:cs="Georgia"/>
          <w:i/>
          <w:color w:val="222222"/>
          <w:sz w:val="22"/>
          <w:szCs w:val="22"/>
        </w:rPr>
        <w:t>Journal of Psychosomatic Research,</w:t>
      </w:r>
      <w:r w:rsidRPr="00F80778">
        <w:rPr>
          <w:rFonts w:eastAsia="Georgia" w:cs="Georgia"/>
          <w:color w:val="222222"/>
          <w:sz w:val="22"/>
          <w:szCs w:val="22"/>
        </w:rPr>
        <w:t xml:space="preserve"> </w:t>
      </w:r>
      <w:r w:rsidRPr="00F80778">
        <w:rPr>
          <w:rFonts w:eastAsia="Georgia" w:cs="Georgia"/>
          <w:i/>
          <w:iCs/>
          <w:color w:val="222222"/>
          <w:sz w:val="22"/>
          <w:szCs w:val="22"/>
        </w:rPr>
        <w:t>154</w:t>
      </w:r>
      <w:r w:rsidRPr="00F80778">
        <w:rPr>
          <w:rFonts w:eastAsia="Georgia" w:cs="Georgia"/>
          <w:color w:val="222222"/>
          <w:sz w:val="22"/>
          <w:szCs w:val="22"/>
        </w:rPr>
        <w:t>, 110723.</w:t>
      </w:r>
    </w:p>
    <w:p w14:paraId="1E6F0174" w14:textId="77777777" w:rsidR="002B1402" w:rsidRPr="00F80778" w:rsidRDefault="002B1402" w:rsidP="002B1402">
      <w:pPr>
        <w:rPr>
          <w:rFonts w:eastAsia="Georgia" w:cs="Georgia"/>
          <w:sz w:val="22"/>
          <w:szCs w:val="22"/>
        </w:rPr>
      </w:pPr>
      <w:r w:rsidRPr="00F80778">
        <w:rPr>
          <w:rFonts w:eastAsia="Georgia" w:cs="Georgia"/>
          <w:sz w:val="22"/>
          <w:szCs w:val="22"/>
        </w:rPr>
        <w:t xml:space="preserve">Quan, H., Li, B., Couris, C. M., Fushimi, K., Graham, P., Hider, P., ... &amp; Sundararajan, V. (2011). Updating and validating the Charlson comorbidity index and score for risk adjustment in hospital discharge abstracts using data from 6 countries. </w:t>
      </w:r>
      <w:r w:rsidRPr="00F80778">
        <w:rPr>
          <w:rFonts w:eastAsia="Georgia" w:cs="Georgia"/>
          <w:i/>
          <w:sz w:val="22"/>
          <w:szCs w:val="22"/>
        </w:rPr>
        <w:t>American Journal of Epidemiology</w:t>
      </w:r>
      <w:r w:rsidRPr="00F80778">
        <w:rPr>
          <w:rFonts w:eastAsia="Georgia" w:cs="Georgia"/>
          <w:sz w:val="22"/>
          <w:szCs w:val="22"/>
        </w:rPr>
        <w:t xml:space="preserve">, </w:t>
      </w:r>
      <w:r w:rsidRPr="00F80778">
        <w:rPr>
          <w:rFonts w:eastAsia="Georgia" w:cs="Georgia"/>
          <w:i/>
          <w:sz w:val="22"/>
          <w:szCs w:val="22"/>
        </w:rPr>
        <w:t>173</w:t>
      </w:r>
      <w:r w:rsidRPr="00F80778">
        <w:rPr>
          <w:rFonts w:eastAsia="Georgia" w:cs="Georgia"/>
          <w:sz w:val="22"/>
          <w:szCs w:val="22"/>
        </w:rPr>
        <w:t>(6), 676-682.</w:t>
      </w:r>
    </w:p>
    <w:p w14:paraId="0792E0DB" w14:textId="77777777" w:rsidR="002B1402" w:rsidRPr="00F80778" w:rsidRDefault="002B1402" w:rsidP="002B1402">
      <w:pPr>
        <w:spacing w:before="240" w:after="240"/>
        <w:rPr>
          <w:rFonts w:eastAsia="Georgia" w:cs="Georgia"/>
          <w:sz w:val="22"/>
          <w:szCs w:val="22"/>
        </w:rPr>
      </w:pPr>
      <w:r w:rsidRPr="00F80778">
        <w:rPr>
          <w:rFonts w:eastAsia="Georgia" w:cs="Georgia"/>
          <w:color w:val="222222"/>
          <w:sz w:val="22"/>
          <w:szCs w:val="22"/>
        </w:rPr>
        <w:t xml:space="preserve">Schultz, B. E., Corbett, C. F., Hughes, R. G., &amp; Bell, N. (2022). Scoping review: social support impacts Hospital readmission rates. </w:t>
      </w:r>
      <w:r w:rsidRPr="00F80778">
        <w:rPr>
          <w:rFonts w:eastAsia="Georgia" w:cs="Georgia"/>
          <w:i/>
          <w:iCs/>
          <w:color w:val="222222"/>
          <w:sz w:val="22"/>
          <w:szCs w:val="22"/>
        </w:rPr>
        <w:t>Journal of Clinical Nursing</w:t>
      </w:r>
      <w:r w:rsidRPr="00F80778">
        <w:rPr>
          <w:rFonts w:eastAsia="Georgia" w:cs="Georgia"/>
          <w:color w:val="222222"/>
          <w:sz w:val="22"/>
          <w:szCs w:val="22"/>
        </w:rPr>
        <w:t xml:space="preserve">, </w:t>
      </w:r>
      <w:r w:rsidRPr="00F80778">
        <w:rPr>
          <w:rFonts w:eastAsia="Georgia" w:cs="Georgia"/>
          <w:i/>
          <w:iCs/>
          <w:color w:val="222222"/>
          <w:sz w:val="22"/>
          <w:szCs w:val="22"/>
        </w:rPr>
        <w:t>31</w:t>
      </w:r>
      <w:r w:rsidRPr="00F80778">
        <w:rPr>
          <w:rFonts w:eastAsia="Georgia" w:cs="Georgia"/>
          <w:color w:val="222222"/>
          <w:sz w:val="22"/>
          <w:szCs w:val="22"/>
        </w:rPr>
        <w:t>(19-20), 2691-2705.</w:t>
      </w:r>
    </w:p>
    <w:p w14:paraId="3B9D57BF" w14:textId="08D3F4FA" w:rsidR="002B1402" w:rsidRPr="00F80778" w:rsidRDefault="002B1402" w:rsidP="002B1402">
      <w:pPr>
        <w:rPr>
          <w:rFonts w:eastAsia="Georgia" w:cs="Georgia"/>
          <w:sz w:val="22"/>
          <w:szCs w:val="22"/>
        </w:rPr>
      </w:pPr>
      <w:r w:rsidRPr="00F80778">
        <w:rPr>
          <w:rFonts w:eastAsia="Georgia" w:cs="Georgia"/>
          <w:sz w:val="22"/>
          <w:szCs w:val="22"/>
        </w:rPr>
        <w:lastRenderedPageBreak/>
        <w:t xml:space="preserve">Sundararajan, V., Henderson, T., Perry, C., Muggivan, A., Quan, H., &amp; Ghali, W. A. (2004). New ICD-10 version of the Charlson comorbidity index predicted in-hospital mortality. </w:t>
      </w:r>
      <w:r w:rsidRPr="00F80778">
        <w:rPr>
          <w:rFonts w:eastAsia="Georgia" w:cs="Georgia"/>
          <w:i/>
          <w:sz w:val="22"/>
          <w:szCs w:val="22"/>
        </w:rPr>
        <w:t>Journal of Clinical Rpidemiology</w:t>
      </w:r>
      <w:r w:rsidRPr="00F80778">
        <w:rPr>
          <w:rFonts w:eastAsia="Georgia" w:cs="Georgia"/>
          <w:sz w:val="22"/>
          <w:szCs w:val="22"/>
        </w:rPr>
        <w:t xml:space="preserve">, </w:t>
      </w:r>
      <w:r w:rsidRPr="00F80778">
        <w:rPr>
          <w:rFonts w:eastAsia="Georgia" w:cs="Georgia"/>
          <w:i/>
          <w:sz w:val="22"/>
          <w:szCs w:val="22"/>
        </w:rPr>
        <w:t>57</w:t>
      </w:r>
      <w:r w:rsidRPr="00F80778">
        <w:rPr>
          <w:rFonts w:eastAsia="Georgia" w:cs="Georgia"/>
          <w:sz w:val="22"/>
          <w:szCs w:val="22"/>
        </w:rPr>
        <w:t>(12), 1288-1294.</w:t>
      </w:r>
    </w:p>
    <w:p w14:paraId="1E3C1773" w14:textId="77777777" w:rsidR="002B1402" w:rsidRPr="00F80778" w:rsidRDefault="002B1402" w:rsidP="002B1402">
      <w:pPr>
        <w:rPr>
          <w:rFonts w:eastAsia="Georgia" w:cs="Georgia"/>
          <w:b/>
          <w:sz w:val="22"/>
          <w:szCs w:val="22"/>
          <w:u w:val="single"/>
        </w:rPr>
      </w:pPr>
    </w:p>
    <w:p w14:paraId="025C612F" w14:textId="77777777" w:rsidR="002B1402" w:rsidRPr="00C23237" w:rsidRDefault="002B1402" w:rsidP="002B1402">
      <w:pPr>
        <w:rPr>
          <w:rFonts w:eastAsia="Georgia" w:cs="Georgia"/>
          <w:sz w:val="22"/>
          <w:szCs w:val="22"/>
        </w:rPr>
      </w:pPr>
      <w:r w:rsidRPr="00F80778">
        <w:rPr>
          <w:rFonts w:eastAsia="Georgia" w:cs="Georgia"/>
          <w:sz w:val="22"/>
          <w:szCs w:val="22"/>
        </w:rPr>
        <w:t xml:space="preserve">Weiss, A.J., and Jiang, H. J. 2021. “Overview of Clinical Conditions with Frequent and Costly Hospital Readmissions by Payer, 2018.” </w:t>
      </w:r>
      <w:r w:rsidRPr="00F80778">
        <w:rPr>
          <w:rFonts w:eastAsia="Georgia" w:cs="Georgia"/>
          <w:color w:val="1B1B1B"/>
          <w:sz w:val="22"/>
          <w:szCs w:val="22"/>
        </w:rPr>
        <w:t xml:space="preserve">HCUP Statistical Brief #278. July 2021. Agency for Healthcare Research and Quality, Rockville, MD </w:t>
      </w:r>
      <w:hyperlink r:id="rId7">
        <w:r w:rsidRPr="00F80778">
          <w:rPr>
            <w:rFonts w:eastAsia="Georgia" w:cs="Georgia"/>
            <w:color w:val="005B94"/>
            <w:sz w:val="22"/>
            <w:szCs w:val="22"/>
            <w:u w:val="single"/>
          </w:rPr>
          <w:t>www.hcup-us.ahrq.gov/reports/statbriefs/sb278-Conditions-Frequent-Readmissions-By-Payer-2018.pdf</w:t>
        </w:r>
      </w:hyperlink>
      <w:r w:rsidRPr="00F80778">
        <w:rPr>
          <w:rFonts w:eastAsia="Georgia" w:cs="Georgia"/>
          <w:color w:val="1B1B1B"/>
          <w:sz w:val="22"/>
          <w:szCs w:val="22"/>
        </w:rPr>
        <w:t>.</w:t>
      </w:r>
    </w:p>
    <w:p w14:paraId="448CFDAD" w14:textId="689041A8" w:rsidR="00334EC8" w:rsidRPr="00C23237" w:rsidRDefault="00334EC8" w:rsidP="002B1402">
      <w:pPr>
        <w:widowControl w:val="0"/>
        <w:spacing w:line="240" w:lineRule="auto"/>
        <w:rPr>
          <w:sz w:val="22"/>
          <w:szCs w:val="22"/>
        </w:rPr>
      </w:pPr>
    </w:p>
    <w:sectPr w:rsidR="00334EC8" w:rsidRPr="00C23237">
      <w:footerReference w:type="default" r:id="rId8"/>
      <w:pgSz w:w="12240" w:h="15840"/>
      <w:pgMar w:top="1440" w:right="1440" w:bottom="1440" w:left="1440" w:header="720" w:footer="720"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11EEDC" w16cex:dateUtc="2023-05-19T16: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036EE4" w16cid:durableId="2811EED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E6E59" w14:textId="77777777" w:rsidR="00B81154" w:rsidRDefault="00B81154">
      <w:pPr>
        <w:spacing w:line="240" w:lineRule="auto"/>
      </w:pPr>
      <w:r>
        <w:separator/>
      </w:r>
    </w:p>
  </w:endnote>
  <w:endnote w:type="continuationSeparator" w:id="0">
    <w:p w14:paraId="5E598C8D" w14:textId="77777777" w:rsidR="00B81154" w:rsidRDefault="00B811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rdo">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93896" w14:textId="3E9BC913" w:rsidR="00334EC8" w:rsidRDefault="006E3820">
    <w:pPr>
      <w:jc w:val="right"/>
      <w:rPr>
        <w:color w:val="3C4043"/>
        <w:sz w:val="22"/>
        <w:szCs w:val="22"/>
      </w:rPr>
    </w:pPr>
    <w:r>
      <w:rPr>
        <w:color w:val="3C4043"/>
        <w:sz w:val="22"/>
        <w:szCs w:val="22"/>
      </w:rPr>
      <w:fldChar w:fldCharType="begin"/>
    </w:r>
    <w:r>
      <w:rPr>
        <w:color w:val="3C4043"/>
        <w:sz w:val="22"/>
        <w:szCs w:val="22"/>
      </w:rPr>
      <w:instrText>PAGE</w:instrText>
    </w:r>
    <w:r>
      <w:rPr>
        <w:color w:val="3C4043"/>
        <w:sz w:val="22"/>
        <w:szCs w:val="22"/>
      </w:rPr>
      <w:fldChar w:fldCharType="separate"/>
    </w:r>
    <w:r w:rsidR="00F80778">
      <w:rPr>
        <w:noProof/>
        <w:color w:val="3C4043"/>
        <w:sz w:val="22"/>
        <w:szCs w:val="22"/>
      </w:rPr>
      <w:t>1</w:t>
    </w:r>
    <w:r>
      <w:rPr>
        <w:color w:val="3C4043"/>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42141" w14:textId="77777777" w:rsidR="00B81154" w:rsidRDefault="00B81154">
      <w:pPr>
        <w:spacing w:line="240" w:lineRule="auto"/>
      </w:pPr>
      <w:r>
        <w:separator/>
      </w:r>
    </w:p>
  </w:footnote>
  <w:footnote w:type="continuationSeparator" w:id="0">
    <w:p w14:paraId="7C6AC2E0" w14:textId="77777777" w:rsidR="00B81154" w:rsidRDefault="00B81154">
      <w:pPr>
        <w:spacing w:line="240" w:lineRule="auto"/>
      </w:pPr>
      <w:r>
        <w:continuationSeparator/>
      </w:r>
    </w:p>
  </w:footnote>
  <w:footnote w:id="1">
    <w:p w14:paraId="5F043B2E" w14:textId="77777777" w:rsidR="000624F3" w:rsidRPr="004118D6" w:rsidRDefault="000624F3" w:rsidP="000624F3">
      <w:pPr>
        <w:rPr>
          <w:rFonts w:eastAsia="Georgia" w:cs="Georgia"/>
          <w:sz w:val="20"/>
          <w:szCs w:val="20"/>
        </w:rPr>
      </w:pPr>
      <w:r w:rsidRPr="004118D6">
        <w:rPr>
          <w:sz w:val="20"/>
          <w:szCs w:val="20"/>
          <w:vertAlign w:val="superscript"/>
        </w:rPr>
        <w:footnoteRef/>
      </w:r>
      <w:r w:rsidRPr="004118D6">
        <w:rPr>
          <w:rFonts w:eastAsia="Georgia" w:cs="Georgia"/>
          <w:sz w:val="20"/>
          <w:szCs w:val="20"/>
        </w:rPr>
        <w:t xml:space="preserve"> The Charlson Comorbidity Index has been validated as an effective way of measuring the likelihood of mortality. See Frenkel et al. (2014), Quan et al. (2011), and Sundararajan (2004).</w:t>
      </w:r>
    </w:p>
  </w:footnote>
  <w:footnote w:id="2">
    <w:p w14:paraId="405F4048" w14:textId="77777777" w:rsidR="000624F3" w:rsidRPr="004118D6" w:rsidRDefault="000624F3" w:rsidP="000624F3">
      <w:pPr>
        <w:rPr>
          <w:rFonts w:eastAsia="Georgia" w:cs="Georgia"/>
          <w:sz w:val="20"/>
          <w:szCs w:val="20"/>
        </w:rPr>
      </w:pPr>
      <w:r w:rsidRPr="004118D6">
        <w:rPr>
          <w:sz w:val="20"/>
          <w:szCs w:val="20"/>
          <w:vertAlign w:val="superscript"/>
        </w:rPr>
        <w:footnoteRef/>
      </w:r>
      <w:r w:rsidRPr="004118D6">
        <w:rPr>
          <w:rFonts w:eastAsia="Georgia" w:cs="Georgia"/>
          <w:sz w:val="20"/>
          <w:szCs w:val="20"/>
        </w:rPr>
        <w:t xml:space="preserve"> See Arora et al. (2017), Buhr et al. (2019), Gadre et al. (2019), and Gangu et al. (2022) for a few examples.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34A68"/>
    <w:multiLevelType w:val="multilevel"/>
    <w:tmpl w:val="531827B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76420E"/>
    <w:multiLevelType w:val="hybridMultilevel"/>
    <w:tmpl w:val="C3D2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EB32CF"/>
    <w:multiLevelType w:val="multilevel"/>
    <w:tmpl w:val="CE04FFCC"/>
    <w:lvl w:ilvl="0">
      <w:numFmt w:val="bullet"/>
      <w:lvlText w:val="●"/>
      <w:lvlJc w:val="left"/>
      <w:pPr>
        <w:ind w:left="960" w:hanging="360"/>
      </w:pPr>
      <w:rPr>
        <w:rFonts w:ascii="Arial" w:eastAsia="Arial" w:hAnsi="Arial" w:cs="Arial"/>
        <w:b w:val="0"/>
        <w:i w:val="0"/>
        <w:sz w:val="22"/>
        <w:szCs w:val="22"/>
      </w:rPr>
    </w:lvl>
    <w:lvl w:ilvl="1">
      <w:numFmt w:val="bullet"/>
      <w:lvlText w:val="•"/>
      <w:lvlJc w:val="left"/>
      <w:pPr>
        <w:ind w:left="1834" w:hanging="360"/>
      </w:pPr>
    </w:lvl>
    <w:lvl w:ilvl="2">
      <w:numFmt w:val="bullet"/>
      <w:lvlText w:val="•"/>
      <w:lvlJc w:val="left"/>
      <w:pPr>
        <w:ind w:left="2708" w:hanging="360"/>
      </w:pPr>
    </w:lvl>
    <w:lvl w:ilvl="3">
      <w:numFmt w:val="bullet"/>
      <w:lvlText w:val="•"/>
      <w:lvlJc w:val="left"/>
      <w:pPr>
        <w:ind w:left="3582" w:hanging="360"/>
      </w:pPr>
    </w:lvl>
    <w:lvl w:ilvl="4">
      <w:numFmt w:val="bullet"/>
      <w:lvlText w:val="•"/>
      <w:lvlJc w:val="left"/>
      <w:pPr>
        <w:ind w:left="4456" w:hanging="360"/>
      </w:pPr>
    </w:lvl>
    <w:lvl w:ilvl="5">
      <w:numFmt w:val="bullet"/>
      <w:lvlText w:val="•"/>
      <w:lvlJc w:val="left"/>
      <w:pPr>
        <w:ind w:left="5330" w:hanging="360"/>
      </w:pPr>
    </w:lvl>
    <w:lvl w:ilvl="6">
      <w:numFmt w:val="bullet"/>
      <w:lvlText w:val="•"/>
      <w:lvlJc w:val="left"/>
      <w:pPr>
        <w:ind w:left="6204" w:hanging="360"/>
      </w:pPr>
    </w:lvl>
    <w:lvl w:ilvl="7">
      <w:numFmt w:val="bullet"/>
      <w:lvlText w:val="•"/>
      <w:lvlJc w:val="left"/>
      <w:pPr>
        <w:ind w:left="7078" w:hanging="360"/>
      </w:pPr>
    </w:lvl>
    <w:lvl w:ilvl="8">
      <w:numFmt w:val="bullet"/>
      <w:lvlText w:val="•"/>
      <w:lvlJc w:val="left"/>
      <w:pPr>
        <w:ind w:left="7952" w:hanging="360"/>
      </w:pPr>
    </w:lvl>
  </w:abstractNum>
  <w:abstractNum w:abstractNumId="3" w15:restartNumberingAfterBreak="0">
    <w:nsid w:val="41191C27"/>
    <w:multiLevelType w:val="multilevel"/>
    <w:tmpl w:val="92F093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7522D0"/>
    <w:multiLevelType w:val="multilevel"/>
    <w:tmpl w:val="71C4F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237EC4"/>
    <w:multiLevelType w:val="hybridMultilevel"/>
    <w:tmpl w:val="119A9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EF59C2"/>
    <w:multiLevelType w:val="multilevel"/>
    <w:tmpl w:val="669E1B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0C21829"/>
    <w:multiLevelType w:val="hybridMultilevel"/>
    <w:tmpl w:val="271E1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6"/>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EC8"/>
    <w:rsid w:val="00044BD4"/>
    <w:rsid w:val="00050A11"/>
    <w:rsid w:val="00054A95"/>
    <w:rsid w:val="000624F3"/>
    <w:rsid w:val="000928DA"/>
    <w:rsid w:val="000B351F"/>
    <w:rsid w:val="000D3365"/>
    <w:rsid w:val="000D423D"/>
    <w:rsid w:val="000F07F4"/>
    <w:rsid w:val="0013711E"/>
    <w:rsid w:val="0014290D"/>
    <w:rsid w:val="001A0105"/>
    <w:rsid w:val="001A0D75"/>
    <w:rsid w:val="001C1F55"/>
    <w:rsid w:val="001C3149"/>
    <w:rsid w:val="001C572E"/>
    <w:rsid w:val="00206308"/>
    <w:rsid w:val="00227CD2"/>
    <w:rsid w:val="0024330A"/>
    <w:rsid w:val="002841F9"/>
    <w:rsid w:val="00293225"/>
    <w:rsid w:val="00293DAA"/>
    <w:rsid w:val="002A3D88"/>
    <w:rsid w:val="002B1402"/>
    <w:rsid w:val="002C16D3"/>
    <w:rsid w:val="002E0582"/>
    <w:rsid w:val="002E51A6"/>
    <w:rsid w:val="0030733D"/>
    <w:rsid w:val="003118AA"/>
    <w:rsid w:val="003173E8"/>
    <w:rsid w:val="0033352E"/>
    <w:rsid w:val="00334EC8"/>
    <w:rsid w:val="00372A65"/>
    <w:rsid w:val="00375CE4"/>
    <w:rsid w:val="00383FFD"/>
    <w:rsid w:val="00393009"/>
    <w:rsid w:val="003C77E5"/>
    <w:rsid w:val="004118D6"/>
    <w:rsid w:val="00412A56"/>
    <w:rsid w:val="00436876"/>
    <w:rsid w:val="0045057F"/>
    <w:rsid w:val="00477940"/>
    <w:rsid w:val="004849CD"/>
    <w:rsid w:val="00485139"/>
    <w:rsid w:val="00486DDD"/>
    <w:rsid w:val="0049099D"/>
    <w:rsid w:val="0049470E"/>
    <w:rsid w:val="004A6DAB"/>
    <w:rsid w:val="004F1F7D"/>
    <w:rsid w:val="004F4880"/>
    <w:rsid w:val="00523E46"/>
    <w:rsid w:val="0055476A"/>
    <w:rsid w:val="00593197"/>
    <w:rsid w:val="00593953"/>
    <w:rsid w:val="005B7BB0"/>
    <w:rsid w:val="005C6ACE"/>
    <w:rsid w:val="0061211E"/>
    <w:rsid w:val="0065649A"/>
    <w:rsid w:val="00667411"/>
    <w:rsid w:val="00670868"/>
    <w:rsid w:val="006749D5"/>
    <w:rsid w:val="00680B06"/>
    <w:rsid w:val="00692084"/>
    <w:rsid w:val="006A4D16"/>
    <w:rsid w:val="006B7FFC"/>
    <w:rsid w:val="006E3820"/>
    <w:rsid w:val="006E3D96"/>
    <w:rsid w:val="006F1E92"/>
    <w:rsid w:val="006F40A0"/>
    <w:rsid w:val="007018EF"/>
    <w:rsid w:val="00703063"/>
    <w:rsid w:val="007273B8"/>
    <w:rsid w:val="007332E1"/>
    <w:rsid w:val="007C6446"/>
    <w:rsid w:val="007E3548"/>
    <w:rsid w:val="007F07F6"/>
    <w:rsid w:val="007F123E"/>
    <w:rsid w:val="007F6D3C"/>
    <w:rsid w:val="00801126"/>
    <w:rsid w:val="00824D7F"/>
    <w:rsid w:val="00837944"/>
    <w:rsid w:val="00865FF3"/>
    <w:rsid w:val="00884D7B"/>
    <w:rsid w:val="00897CC1"/>
    <w:rsid w:val="008C0DDE"/>
    <w:rsid w:val="008E28E6"/>
    <w:rsid w:val="008E6C80"/>
    <w:rsid w:val="009204C8"/>
    <w:rsid w:val="0095397F"/>
    <w:rsid w:val="0096788A"/>
    <w:rsid w:val="009728A7"/>
    <w:rsid w:val="009C12EE"/>
    <w:rsid w:val="009C3193"/>
    <w:rsid w:val="009C415C"/>
    <w:rsid w:val="009D7F86"/>
    <w:rsid w:val="00A23561"/>
    <w:rsid w:val="00A65264"/>
    <w:rsid w:val="00A66AA8"/>
    <w:rsid w:val="00A84505"/>
    <w:rsid w:val="00A95E8E"/>
    <w:rsid w:val="00AA7C33"/>
    <w:rsid w:val="00AD2E21"/>
    <w:rsid w:val="00AD31C6"/>
    <w:rsid w:val="00AD3F9B"/>
    <w:rsid w:val="00B00958"/>
    <w:rsid w:val="00B12469"/>
    <w:rsid w:val="00B30460"/>
    <w:rsid w:val="00B57A02"/>
    <w:rsid w:val="00B6319F"/>
    <w:rsid w:val="00B634D5"/>
    <w:rsid w:val="00B81154"/>
    <w:rsid w:val="00BC1E1E"/>
    <w:rsid w:val="00BF0B1E"/>
    <w:rsid w:val="00C16B9D"/>
    <w:rsid w:val="00C23237"/>
    <w:rsid w:val="00C348D5"/>
    <w:rsid w:val="00C535DF"/>
    <w:rsid w:val="00C80F32"/>
    <w:rsid w:val="00C84AF6"/>
    <w:rsid w:val="00CD0E87"/>
    <w:rsid w:val="00CE1E8B"/>
    <w:rsid w:val="00CE33F8"/>
    <w:rsid w:val="00CE4B33"/>
    <w:rsid w:val="00CE6764"/>
    <w:rsid w:val="00D02E34"/>
    <w:rsid w:val="00D20D34"/>
    <w:rsid w:val="00D2385A"/>
    <w:rsid w:val="00D41D2E"/>
    <w:rsid w:val="00D46857"/>
    <w:rsid w:val="00D61FF7"/>
    <w:rsid w:val="00D642C1"/>
    <w:rsid w:val="00D94F1E"/>
    <w:rsid w:val="00DB3146"/>
    <w:rsid w:val="00DC7834"/>
    <w:rsid w:val="00DE5628"/>
    <w:rsid w:val="00E272AA"/>
    <w:rsid w:val="00E313C1"/>
    <w:rsid w:val="00E71C9B"/>
    <w:rsid w:val="00E835EE"/>
    <w:rsid w:val="00EA3629"/>
    <w:rsid w:val="00EF5515"/>
    <w:rsid w:val="00F0560D"/>
    <w:rsid w:val="00F35C79"/>
    <w:rsid w:val="00F360A0"/>
    <w:rsid w:val="00F51411"/>
    <w:rsid w:val="00F57813"/>
    <w:rsid w:val="00F80778"/>
    <w:rsid w:val="00F93BB9"/>
    <w:rsid w:val="00FB39BD"/>
    <w:rsid w:val="00FC4310"/>
    <w:rsid w:val="00FD2B2D"/>
    <w:rsid w:val="00FE5130"/>
    <w:rsid w:val="00FF3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931C0"/>
  <w15:docId w15:val="{FF9FDF17-C0AE-3A4A-A780-A015EDFC4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aramond" w:eastAsia="Garamond" w:hAnsi="Garamond" w:cs="Garamond"/>
        <w:sz w:val="24"/>
        <w:szCs w:val="24"/>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293DAA"/>
    <w:rPr>
      <w:sz w:val="16"/>
      <w:szCs w:val="16"/>
    </w:rPr>
  </w:style>
  <w:style w:type="paragraph" w:styleId="CommentText">
    <w:name w:val="annotation text"/>
    <w:basedOn w:val="Normal"/>
    <w:link w:val="CommentTextChar"/>
    <w:uiPriority w:val="99"/>
    <w:unhideWhenUsed/>
    <w:rsid w:val="00293DAA"/>
    <w:pPr>
      <w:spacing w:line="240" w:lineRule="auto"/>
    </w:pPr>
    <w:rPr>
      <w:sz w:val="20"/>
      <w:szCs w:val="20"/>
    </w:rPr>
  </w:style>
  <w:style w:type="character" w:customStyle="1" w:styleId="CommentTextChar">
    <w:name w:val="Comment Text Char"/>
    <w:basedOn w:val="DefaultParagraphFont"/>
    <w:link w:val="CommentText"/>
    <w:uiPriority w:val="99"/>
    <w:rsid w:val="00293DAA"/>
    <w:rPr>
      <w:sz w:val="20"/>
      <w:szCs w:val="20"/>
    </w:rPr>
  </w:style>
  <w:style w:type="paragraph" w:styleId="CommentSubject">
    <w:name w:val="annotation subject"/>
    <w:basedOn w:val="CommentText"/>
    <w:next w:val="CommentText"/>
    <w:link w:val="CommentSubjectChar"/>
    <w:uiPriority w:val="99"/>
    <w:semiHidden/>
    <w:unhideWhenUsed/>
    <w:rsid w:val="00293DAA"/>
    <w:rPr>
      <w:b/>
      <w:bCs/>
    </w:rPr>
  </w:style>
  <w:style w:type="character" w:customStyle="1" w:styleId="CommentSubjectChar">
    <w:name w:val="Comment Subject Char"/>
    <w:basedOn w:val="CommentTextChar"/>
    <w:link w:val="CommentSubject"/>
    <w:uiPriority w:val="99"/>
    <w:semiHidden/>
    <w:rsid w:val="00293DAA"/>
    <w:rPr>
      <w:b/>
      <w:bCs/>
      <w:sz w:val="20"/>
      <w:szCs w:val="20"/>
    </w:rPr>
  </w:style>
  <w:style w:type="paragraph" w:styleId="ListParagraph">
    <w:name w:val="List Paragraph"/>
    <w:basedOn w:val="Normal"/>
    <w:uiPriority w:val="34"/>
    <w:qFormat/>
    <w:rsid w:val="00FD2B2D"/>
    <w:pPr>
      <w:ind w:left="720"/>
      <w:contextualSpacing/>
    </w:pPr>
  </w:style>
  <w:style w:type="paragraph" w:styleId="BodyText">
    <w:name w:val="Body Text"/>
    <w:basedOn w:val="Normal"/>
    <w:link w:val="BodyTextChar"/>
    <w:uiPriority w:val="1"/>
    <w:qFormat/>
    <w:rsid w:val="00EF5515"/>
    <w:pPr>
      <w:widowControl w:val="0"/>
      <w:autoSpaceDE w:val="0"/>
      <w:autoSpaceDN w:val="0"/>
      <w:spacing w:line="240" w:lineRule="auto"/>
      <w:ind w:left="100"/>
    </w:pPr>
    <w:rPr>
      <w:sz w:val="22"/>
      <w:szCs w:val="22"/>
      <w:lang w:val="en-US"/>
    </w:rPr>
  </w:style>
  <w:style w:type="character" w:customStyle="1" w:styleId="BodyTextChar">
    <w:name w:val="Body Text Char"/>
    <w:basedOn w:val="DefaultParagraphFont"/>
    <w:link w:val="BodyText"/>
    <w:uiPriority w:val="1"/>
    <w:rsid w:val="00EF5515"/>
    <w:rPr>
      <w:sz w:val="22"/>
      <w:szCs w:val="22"/>
      <w:lang w:val="en-US"/>
    </w:rPr>
  </w:style>
  <w:style w:type="paragraph" w:styleId="NormalWeb">
    <w:name w:val="Normal (Web)"/>
    <w:basedOn w:val="Normal"/>
    <w:uiPriority w:val="99"/>
    <w:semiHidden/>
    <w:unhideWhenUsed/>
    <w:rsid w:val="002841F9"/>
    <w:pPr>
      <w:spacing w:before="100" w:beforeAutospacing="1" w:after="100" w:afterAutospacing="1" w:line="240" w:lineRule="auto"/>
    </w:pPr>
    <w:rPr>
      <w:rFonts w:ascii="Times New Roman" w:eastAsia="Times New Roman" w:hAnsi="Times New Roman" w:cs="Times New Roman"/>
      <w:lang w:val="en-US"/>
    </w:rPr>
  </w:style>
  <w:style w:type="paragraph" w:styleId="Revision">
    <w:name w:val="Revision"/>
    <w:hidden/>
    <w:uiPriority w:val="99"/>
    <w:semiHidden/>
    <w:rsid w:val="00DB3146"/>
    <w:pPr>
      <w:spacing w:line="240" w:lineRule="auto"/>
    </w:pPr>
  </w:style>
  <w:style w:type="paragraph" w:styleId="BalloonText">
    <w:name w:val="Balloon Text"/>
    <w:basedOn w:val="Normal"/>
    <w:link w:val="BalloonTextChar"/>
    <w:uiPriority w:val="99"/>
    <w:semiHidden/>
    <w:unhideWhenUsed/>
    <w:rsid w:val="007F6D3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6D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28519">
      <w:bodyDiv w:val="1"/>
      <w:marLeft w:val="0"/>
      <w:marRight w:val="0"/>
      <w:marTop w:val="0"/>
      <w:marBottom w:val="0"/>
      <w:divBdr>
        <w:top w:val="none" w:sz="0" w:space="0" w:color="auto"/>
        <w:left w:val="none" w:sz="0" w:space="0" w:color="auto"/>
        <w:bottom w:val="none" w:sz="0" w:space="0" w:color="auto"/>
        <w:right w:val="none" w:sz="0" w:space="0" w:color="auto"/>
      </w:divBdr>
    </w:div>
    <w:div w:id="407701768">
      <w:bodyDiv w:val="1"/>
      <w:marLeft w:val="0"/>
      <w:marRight w:val="0"/>
      <w:marTop w:val="0"/>
      <w:marBottom w:val="0"/>
      <w:divBdr>
        <w:top w:val="none" w:sz="0" w:space="0" w:color="auto"/>
        <w:left w:val="none" w:sz="0" w:space="0" w:color="auto"/>
        <w:bottom w:val="none" w:sz="0" w:space="0" w:color="auto"/>
        <w:right w:val="none" w:sz="0" w:space="0" w:color="auto"/>
      </w:divBdr>
    </w:div>
    <w:div w:id="10855652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hcup-us.ahrq.gov/reports/statbriefs/sb278-Conditions-Frequent-Readmissions-By-Payer-2018.pdf"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3491</Words>
  <Characters>19902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Evans</dc:creator>
  <cp:lastModifiedBy>Brendan Perry</cp:lastModifiedBy>
  <cp:revision>4</cp:revision>
  <dcterms:created xsi:type="dcterms:W3CDTF">2023-05-25T14:38:00Z</dcterms:created>
  <dcterms:modified xsi:type="dcterms:W3CDTF">2023-05-27T11:52:00Z</dcterms:modified>
</cp:coreProperties>
</file>