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9BFA8" w14:textId="77777777" w:rsidR="001B0F67" w:rsidRDefault="001B0F67" w:rsidP="009816C4">
      <w:pPr>
        <w:spacing w:after="0" w:line="240" w:lineRule="auto"/>
        <w:jc w:val="center"/>
        <w:rPr>
          <w:rFonts w:eastAsiaTheme="minorEastAsia" w:cstheme="minorHAnsi"/>
          <w:bCs/>
          <w:sz w:val="40"/>
          <w:szCs w:val="40"/>
        </w:rPr>
      </w:pPr>
    </w:p>
    <w:p w14:paraId="0334E5B1" w14:textId="571F8BD8" w:rsidR="009816C4" w:rsidRDefault="00C62D56" w:rsidP="00F64852">
      <w:pPr>
        <w:spacing w:after="0" w:line="240" w:lineRule="auto"/>
        <w:jc w:val="center"/>
        <w:rPr>
          <w:rFonts w:eastAsiaTheme="minorEastAsia" w:cstheme="minorHAnsi"/>
          <w:bCs/>
          <w:sz w:val="40"/>
          <w:szCs w:val="40"/>
        </w:rPr>
      </w:pPr>
      <w:r>
        <w:rPr>
          <w:rFonts w:eastAsiaTheme="minorEastAsia" w:cstheme="minorHAnsi"/>
          <w:bCs/>
          <w:sz w:val="40"/>
          <w:szCs w:val="40"/>
        </w:rPr>
        <w:t>Impact e</w:t>
      </w:r>
      <w:r w:rsidRPr="009816C4">
        <w:rPr>
          <w:rFonts w:eastAsiaTheme="minorEastAsia" w:cstheme="minorHAnsi"/>
          <w:bCs/>
          <w:sz w:val="40"/>
          <w:szCs w:val="40"/>
        </w:rPr>
        <w:t xml:space="preserve">valuation design </w:t>
      </w:r>
      <w:r>
        <w:rPr>
          <w:rFonts w:eastAsiaTheme="minorEastAsia" w:cstheme="minorHAnsi"/>
          <w:bCs/>
          <w:sz w:val="40"/>
          <w:szCs w:val="40"/>
        </w:rPr>
        <w:t>for t</w:t>
      </w:r>
      <w:r w:rsidR="00F31DDC" w:rsidRPr="009816C4">
        <w:rPr>
          <w:rFonts w:eastAsiaTheme="minorEastAsia" w:cstheme="minorHAnsi"/>
          <w:bCs/>
          <w:sz w:val="40"/>
          <w:szCs w:val="40"/>
        </w:rPr>
        <w:t>he</w:t>
      </w:r>
      <w:r w:rsidR="002352C7" w:rsidRPr="009816C4">
        <w:rPr>
          <w:rFonts w:eastAsiaTheme="minorEastAsia" w:cstheme="minorHAnsi"/>
          <w:bCs/>
          <w:sz w:val="40"/>
          <w:szCs w:val="40"/>
        </w:rPr>
        <w:t xml:space="preserve"> Utah Reemployment Services and Eligibility Assessment</w:t>
      </w:r>
      <w:r w:rsidR="00F64852">
        <w:rPr>
          <w:rFonts w:eastAsiaTheme="minorEastAsia" w:cstheme="minorHAnsi"/>
          <w:bCs/>
          <w:sz w:val="40"/>
          <w:szCs w:val="40"/>
        </w:rPr>
        <w:t xml:space="preserve"> (RESEA)</w:t>
      </w:r>
      <w:r w:rsidR="002352C7" w:rsidRPr="009816C4">
        <w:rPr>
          <w:rFonts w:eastAsiaTheme="minorEastAsia" w:cstheme="minorHAnsi"/>
          <w:bCs/>
          <w:sz w:val="40"/>
          <w:szCs w:val="40"/>
        </w:rPr>
        <w:t xml:space="preserve"> </w:t>
      </w:r>
      <w:r w:rsidR="00F31DDC" w:rsidRPr="009816C4">
        <w:rPr>
          <w:rFonts w:eastAsiaTheme="minorEastAsia" w:cstheme="minorHAnsi"/>
          <w:bCs/>
          <w:sz w:val="40"/>
          <w:szCs w:val="40"/>
        </w:rPr>
        <w:t>p</w:t>
      </w:r>
      <w:r w:rsidR="002352C7" w:rsidRPr="009816C4">
        <w:rPr>
          <w:rFonts w:eastAsiaTheme="minorEastAsia" w:cstheme="minorHAnsi"/>
          <w:bCs/>
          <w:sz w:val="40"/>
          <w:szCs w:val="40"/>
        </w:rPr>
        <w:t>rogram</w:t>
      </w:r>
    </w:p>
    <w:p w14:paraId="633C41D1" w14:textId="68DA5CE8" w:rsidR="009816C4" w:rsidRDefault="009816C4" w:rsidP="009816C4">
      <w:pPr>
        <w:spacing w:after="0" w:line="240" w:lineRule="auto"/>
        <w:jc w:val="center"/>
        <w:rPr>
          <w:rFonts w:eastAsiaTheme="minorEastAsia" w:cstheme="minorHAnsi"/>
          <w:bCs/>
          <w:sz w:val="32"/>
          <w:szCs w:val="32"/>
        </w:rPr>
      </w:pPr>
    </w:p>
    <w:p w14:paraId="1C2B180F" w14:textId="77777777" w:rsidR="001B0F67" w:rsidRDefault="001B0F67" w:rsidP="009816C4">
      <w:pPr>
        <w:spacing w:after="0" w:line="240" w:lineRule="auto"/>
        <w:jc w:val="center"/>
        <w:rPr>
          <w:rFonts w:eastAsiaTheme="minorEastAsia" w:cstheme="minorHAnsi"/>
          <w:bCs/>
          <w:sz w:val="32"/>
          <w:szCs w:val="32"/>
        </w:rPr>
      </w:pPr>
    </w:p>
    <w:p w14:paraId="66EFC6DA" w14:textId="77777777" w:rsidR="009816C4" w:rsidRDefault="009816C4" w:rsidP="009816C4">
      <w:pPr>
        <w:spacing w:after="0" w:line="240" w:lineRule="auto"/>
        <w:jc w:val="center"/>
        <w:rPr>
          <w:rFonts w:eastAsiaTheme="minorEastAsia" w:cstheme="minorHAnsi"/>
          <w:bCs/>
          <w:sz w:val="32"/>
          <w:szCs w:val="32"/>
        </w:rPr>
      </w:pPr>
    </w:p>
    <w:p w14:paraId="6FAA0470" w14:textId="6A5DDA02" w:rsidR="009816C4" w:rsidRDefault="184D4D65" w:rsidP="2582C4C3">
      <w:pPr>
        <w:spacing w:after="0" w:line="240" w:lineRule="auto"/>
        <w:jc w:val="center"/>
        <w:rPr>
          <w:rFonts w:eastAsiaTheme="minorEastAsia"/>
          <w:sz w:val="32"/>
          <w:szCs w:val="32"/>
        </w:rPr>
      </w:pPr>
      <w:r w:rsidRPr="184D4D65">
        <w:rPr>
          <w:rFonts w:eastAsiaTheme="minorEastAsia"/>
          <w:sz w:val="32"/>
          <w:szCs w:val="32"/>
        </w:rPr>
        <w:t xml:space="preserve">Prepared by David S. </w:t>
      </w:r>
      <w:proofErr w:type="spellStart"/>
      <w:r w:rsidRPr="184D4D65">
        <w:rPr>
          <w:rFonts w:eastAsiaTheme="minorEastAsia"/>
          <w:sz w:val="32"/>
          <w:szCs w:val="32"/>
        </w:rPr>
        <w:t>Curtis</w:t>
      </w:r>
      <w:r w:rsidR="001B0F67">
        <w:rPr>
          <w:rFonts w:eastAsiaTheme="minorEastAsia"/>
          <w:sz w:val="32"/>
          <w:szCs w:val="32"/>
          <w:vertAlign w:val="superscript"/>
        </w:rPr>
        <w:t>a</w:t>
      </w:r>
      <w:proofErr w:type="spellEnd"/>
      <w:r w:rsidRPr="184D4D65">
        <w:rPr>
          <w:rFonts w:eastAsiaTheme="minorEastAsia"/>
          <w:sz w:val="32"/>
          <w:szCs w:val="32"/>
        </w:rPr>
        <w:t>, Su Hyun Shin</w:t>
      </w:r>
      <w:r w:rsidR="001B0F67">
        <w:rPr>
          <w:rFonts w:eastAsiaTheme="minorEastAsia"/>
          <w:sz w:val="32"/>
          <w:szCs w:val="32"/>
          <w:vertAlign w:val="superscript"/>
        </w:rPr>
        <w:t>a</w:t>
      </w:r>
      <w:r w:rsidRPr="184D4D65">
        <w:rPr>
          <w:rFonts w:eastAsiaTheme="minorEastAsia"/>
          <w:sz w:val="32"/>
          <w:szCs w:val="32"/>
        </w:rPr>
        <w:t xml:space="preserve">, and Tessa </w:t>
      </w:r>
      <w:proofErr w:type="spellStart"/>
      <w:r w:rsidRPr="184D4D65">
        <w:rPr>
          <w:rFonts w:eastAsiaTheme="minorEastAsia"/>
          <w:sz w:val="32"/>
          <w:szCs w:val="32"/>
        </w:rPr>
        <w:t>Washburn</w:t>
      </w:r>
      <w:r w:rsidR="001B0F67">
        <w:rPr>
          <w:rFonts w:eastAsiaTheme="minorEastAsia"/>
          <w:sz w:val="32"/>
          <w:szCs w:val="32"/>
          <w:vertAlign w:val="superscript"/>
        </w:rPr>
        <w:t>a</w:t>
      </w:r>
      <w:proofErr w:type="spellEnd"/>
    </w:p>
    <w:p w14:paraId="04EC52B5" w14:textId="5BA1A5A0" w:rsidR="009816C4" w:rsidRDefault="001B0F67" w:rsidP="009816C4">
      <w:pPr>
        <w:spacing w:after="0" w:line="240" w:lineRule="auto"/>
        <w:jc w:val="center"/>
        <w:rPr>
          <w:rFonts w:eastAsiaTheme="minorEastAsia" w:cstheme="minorHAnsi"/>
          <w:bCs/>
          <w:sz w:val="32"/>
          <w:szCs w:val="32"/>
        </w:rPr>
      </w:pPr>
      <w:r>
        <w:rPr>
          <w:rFonts w:eastAsiaTheme="minorEastAsia" w:cstheme="minorHAnsi"/>
          <w:bCs/>
          <w:sz w:val="32"/>
          <w:szCs w:val="32"/>
        </w:rPr>
        <w:t xml:space="preserve"> </w:t>
      </w:r>
    </w:p>
    <w:p w14:paraId="517A8743" w14:textId="78D56E37" w:rsidR="009816C4" w:rsidRPr="001B0F67" w:rsidRDefault="001B0F67" w:rsidP="009816C4">
      <w:pPr>
        <w:spacing w:after="0" w:line="240" w:lineRule="auto"/>
        <w:jc w:val="center"/>
        <w:rPr>
          <w:rFonts w:eastAsiaTheme="minorEastAsia" w:cstheme="minorHAnsi"/>
          <w:bCs/>
          <w:sz w:val="32"/>
          <w:szCs w:val="32"/>
        </w:rPr>
      </w:pPr>
      <w:r>
        <w:rPr>
          <w:rFonts w:eastAsiaTheme="minorEastAsia"/>
          <w:sz w:val="32"/>
          <w:szCs w:val="32"/>
          <w:vertAlign w:val="superscript"/>
        </w:rPr>
        <w:t xml:space="preserve">a </w:t>
      </w:r>
      <w:r>
        <w:rPr>
          <w:rFonts w:eastAsiaTheme="minorEastAsia"/>
          <w:sz w:val="32"/>
          <w:szCs w:val="32"/>
        </w:rPr>
        <w:t>Department of Family and Consumer Studies, University of Utah</w:t>
      </w:r>
    </w:p>
    <w:p w14:paraId="58CA0A26" w14:textId="76FE0F6E" w:rsidR="0093173D" w:rsidRDefault="0093173D" w:rsidP="4CA35C14">
      <w:pPr>
        <w:spacing w:after="0" w:line="240" w:lineRule="auto"/>
        <w:rPr>
          <w:rFonts w:eastAsiaTheme="minorEastAsia"/>
          <w:sz w:val="32"/>
          <w:szCs w:val="32"/>
        </w:rPr>
      </w:pPr>
    </w:p>
    <w:p w14:paraId="7B474F4E" w14:textId="3A828B36" w:rsidR="009816C4" w:rsidRDefault="009816C4" w:rsidP="009816C4">
      <w:pPr>
        <w:rPr>
          <w:rFonts w:eastAsiaTheme="minorEastAsia" w:cstheme="minorHAnsi"/>
          <w:bCs/>
          <w:sz w:val="32"/>
          <w:szCs w:val="32"/>
        </w:rPr>
      </w:pPr>
    </w:p>
    <w:p w14:paraId="3D23575B" w14:textId="0FDB1581" w:rsidR="00D81801" w:rsidRDefault="00D81801">
      <w:pPr>
        <w:rPr>
          <w:rFonts w:eastAsiaTheme="minorEastAsia" w:cstheme="minorHAnsi"/>
          <w:bCs/>
          <w:sz w:val="32"/>
          <w:szCs w:val="32"/>
        </w:rPr>
      </w:pPr>
      <w:r>
        <w:rPr>
          <w:rFonts w:eastAsiaTheme="minorEastAsia" w:cstheme="minorHAnsi"/>
          <w:bCs/>
          <w:sz w:val="32"/>
          <w:szCs w:val="32"/>
        </w:rPr>
        <w:br w:type="page"/>
      </w:r>
    </w:p>
    <w:p w14:paraId="66E4488B" w14:textId="3976F6F2" w:rsidR="00AD558E" w:rsidRPr="001B0F67" w:rsidRDefault="2582C4C3" w:rsidP="001168AA">
      <w:pPr>
        <w:pStyle w:val="Heading1"/>
        <w:spacing w:before="0" w:line="240" w:lineRule="auto"/>
        <w:rPr>
          <w:rStyle w:val="markedcontent"/>
        </w:rPr>
      </w:pPr>
      <w:r w:rsidRPr="2582C4C3">
        <w:rPr>
          <w:rStyle w:val="markedcontent"/>
        </w:rPr>
        <w:lastRenderedPageBreak/>
        <w:t xml:space="preserve">1. </w:t>
      </w:r>
      <w:r w:rsidRPr="001B0F67">
        <w:rPr>
          <w:rStyle w:val="markedcontent"/>
        </w:rPr>
        <w:t>Background</w:t>
      </w:r>
    </w:p>
    <w:p w14:paraId="50713D83" w14:textId="1B1E7C08" w:rsidR="40CE383C" w:rsidRPr="00C55523" w:rsidRDefault="40CE383C" w:rsidP="002352C7">
      <w:pPr>
        <w:spacing w:after="0" w:line="240" w:lineRule="auto"/>
        <w:rPr>
          <w:rFonts w:eastAsiaTheme="minorEastAsia" w:cstheme="minorHAnsi"/>
        </w:rPr>
      </w:pPr>
    </w:p>
    <w:p w14:paraId="418D8752" w14:textId="1898BC97" w:rsidR="001161F0" w:rsidRDefault="001161F0" w:rsidP="00BFA30F">
      <w:pPr>
        <w:spacing w:after="0" w:line="240" w:lineRule="auto"/>
        <w:rPr>
          <w:rFonts w:eastAsiaTheme="minorEastAsia"/>
        </w:rPr>
      </w:pPr>
      <w:r>
        <w:rPr>
          <w:rFonts w:eastAsiaTheme="minorEastAsia"/>
        </w:rPr>
        <w:t xml:space="preserve">The </w:t>
      </w:r>
      <w:r w:rsidR="67F9B7BC" w:rsidRPr="67F9B7BC">
        <w:rPr>
          <w:rFonts w:eastAsiaTheme="minorEastAsia"/>
        </w:rPr>
        <w:t xml:space="preserve">Unemployment Insurance (UI) program </w:t>
      </w:r>
      <w:r>
        <w:rPr>
          <w:rFonts w:eastAsiaTheme="minorEastAsia"/>
        </w:rPr>
        <w:t>was</w:t>
      </w:r>
      <w:r w:rsidR="67F9B7BC" w:rsidRPr="67F9B7BC">
        <w:rPr>
          <w:rFonts w:eastAsiaTheme="minorEastAsia"/>
        </w:rPr>
        <w:t xml:space="preserve"> established as part of the Social Security Act (SSA) of 1935 to provide partial income replacement for involuntarily unemployed workers who meet eligibility requirements. During the past </w:t>
      </w:r>
      <w:r>
        <w:rPr>
          <w:rFonts w:eastAsiaTheme="minorEastAsia"/>
        </w:rPr>
        <w:t>90</w:t>
      </w:r>
      <w:r w:rsidR="67F9B7BC" w:rsidRPr="67F9B7BC">
        <w:rPr>
          <w:rFonts w:eastAsiaTheme="minorEastAsia"/>
        </w:rPr>
        <w:t xml:space="preserve"> years, numerous federal reemployment programs and mandates to provide reemployment services have been in effect. The Reemployment Eligibility Assessment (REA) grant program is a recent example that was administered by the US Department of Labor (DOL) to state workforce agencies who, in turn, </w:t>
      </w:r>
      <w:r w:rsidR="004B248D">
        <w:rPr>
          <w:rFonts w:eastAsiaTheme="minorEastAsia"/>
        </w:rPr>
        <w:t>implemented</w:t>
      </w:r>
      <w:r w:rsidR="00987AE3" w:rsidRPr="67F9B7BC">
        <w:rPr>
          <w:rFonts w:eastAsiaTheme="minorEastAsia"/>
        </w:rPr>
        <w:t xml:space="preserve"> </w:t>
      </w:r>
      <w:r w:rsidR="67F9B7BC" w:rsidRPr="67F9B7BC">
        <w:rPr>
          <w:rFonts w:eastAsiaTheme="minorEastAsia"/>
        </w:rPr>
        <w:t xml:space="preserve">the REA program </w:t>
      </w:r>
      <w:r w:rsidR="00987AE3">
        <w:rPr>
          <w:rFonts w:eastAsiaTheme="minorEastAsia"/>
        </w:rPr>
        <w:t>to</w:t>
      </w:r>
      <w:r w:rsidR="00987AE3" w:rsidRPr="67F9B7BC">
        <w:rPr>
          <w:rFonts w:eastAsiaTheme="minorEastAsia"/>
        </w:rPr>
        <w:t xml:space="preserve"> </w:t>
      </w:r>
      <w:r w:rsidR="67F9B7BC" w:rsidRPr="67F9B7BC">
        <w:rPr>
          <w:rFonts w:eastAsiaTheme="minorEastAsia"/>
        </w:rPr>
        <w:t>their UI claimants. States had latitude in operating REA programs as long as federal requirements were met, resulting in highly varied REA programs (</w:t>
      </w:r>
      <w:proofErr w:type="spellStart"/>
      <w:r w:rsidR="67F9B7BC" w:rsidRPr="67F9B7BC">
        <w:rPr>
          <w:rFonts w:eastAsiaTheme="minorEastAsia"/>
        </w:rPr>
        <w:t>Klerman</w:t>
      </w:r>
      <w:proofErr w:type="spellEnd"/>
      <w:r w:rsidR="67F9B7BC" w:rsidRPr="67F9B7BC">
        <w:rPr>
          <w:rFonts w:eastAsiaTheme="minorEastAsia"/>
        </w:rPr>
        <w:t xml:space="preserve"> et al., 2019; </w:t>
      </w:r>
      <w:proofErr w:type="spellStart"/>
      <w:r w:rsidR="67F9B7BC" w:rsidRPr="67F9B7BC">
        <w:rPr>
          <w:rFonts w:eastAsiaTheme="minorEastAsia"/>
        </w:rPr>
        <w:t>Minzner</w:t>
      </w:r>
      <w:proofErr w:type="spellEnd"/>
      <w:r w:rsidR="67F9B7BC" w:rsidRPr="67F9B7BC">
        <w:rPr>
          <w:rFonts w:eastAsiaTheme="minorEastAsia"/>
        </w:rPr>
        <w:t xml:space="preserve"> et al., 2017). Evaluations of the REA program consistently found significant reductions in UI duration but more modest impacts on employment and earnings (</w:t>
      </w:r>
      <w:proofErr w:type="spellStart"/>
      <w:r w:rsidR="67F9B7BC" w:rsidRPr="67F9B7BC">
        <w:rPr>
          <w:rFonts w:eastAsia="Calibri"/>
          <w:color w:val="000000" w:themeColor="text1"/>
        </w:rPr>
        <w:t>Michaelides</w:t>
      </w:r>
      <w:proofErr w:type="spellEnd"/>
      <w:r w:rsidR="67F9B7BC" w:rsidRPr="67F9B7BC">
        <w:rPr>
          <w:rFonts w:eastAsia="Calibri"/>
          <w:color w:val="000000" w:themeColor="text1"/>
        </w:rPr>
        <w:t xml:space="preserve"> et al., 2012; </w:t>
      </w:r>
      <w:r w:rsidR="00123993">
        <w:rPr>
          <w:rFonts w:eastAsia="Calibri"/>
          <w:color w:val="000000" w:themeColor="text1"/>
        </w:rPr>
        <w:t>DOL</w:t>
      </w:r>
      <w:r w:rsidR="67F9B7BC" w:rsidRPr="67F9B7BC">
        <w:rPr>
          <w:rFonts w:eastAsia="Calibri"/>
          <w:color w:val="000000" w:themeColor="text1"/>
        </w:rPr>
        <w:t xml:space="preserve"> &amp;</w:t>
      </w:r>
      <w:r w:rsidR="67F9B7BC" w:rsidRPr="67F9B7BC">
        <w:rPr>
          <w:rFonts w:ascii="Calibri" w:eastAsia="Calibri" w:hAnsi="Calibri" w:cs="Calibri"/>
        </w:rPr>
        <w:t xml:space="preserve"> Employment and Training Administration [ETA]</w:t>
      </w:r>
      <w:r w:rsidR="67F9B7BC" w:rsidRPr="67F9B7BC">
        <w:rPr>
          <w:rFonts w:eastAsiaTheme="minorEastAsia"/>
        </w:rPr>
        <w:t xml:space="preserve">, 2021). </w:t>
      </w:r>
    </w:p>
    <w:p w14:paraId="5D9E7883" w14:textId="77777777" w:rsidR="001161F0" w:rsidRDefault="001161F0" w:rsidP="00BFA30F">
      <w:pPr>
        <w:spacing w:after="0" w:line="240" w:lineRule="auto"/>
        <w:rPr>
          <w:rFonts w:eastAsiaTheme="minorEastAsia"/>
        </w:rPr>
      </w:pPr>
    </w:p>
    <w:p w14:paraId="1E289C84" w14:textId="08AF8B61" w:rsidR="001161F0" w:rsidRDefault="67F9B7BC" w:rsidP="00BFA30F">
      <w:pPr>
        <w:spacing w:after="0" w:line="240" w:lineRule="auto"/>
        <w:rPr>
          <w:rFonts w:eastAsiaTheme="minorEastAsia"/>
        </w:rPr>
      </w:pPr>
      <w:r w:rsidRPr="67F9B7BC">
        <w:rPr>
          <w:rFonts w:eastAsiaTheme="minorEastAsia"/>
        </w:rPr>
        <w:t>DOL announced the new Reemployment Services and Eligibility Assessment (RESEA) program in 2015, and RESEA was permanently authorized in 2018 in an amendment to the SSA (see Section 306). The RESEA program adopts many elements from the REA program but allows for greater flexibility in the use of funds for reemployment services</w:t>
      </w:r>
      <w:r w:rsidR="004B248D">
        <w:rPr>
          <w:rFonts w:eastAsiaTheme="minorEastAsia"/>
        </w:rPr>
        <w:t xml:space="preserve">, </w:t>
      </w:r>
      <w:r w:rsidR="002D316D">
        <w:rPr>
          <w:rFonts w:eastAsiaTheme="minorEastAsia"/>
        </w:rPr>
        <w:t>so long as such</w:t>
      </w:r>
      <w:r w:rsidR="004B248D">
        <w:rPr>
          <w:rFonts w:eastAsiaTheme="minorEastAsia"/>
        </w:rPr>
        <w:t xml:space="preserve"> services </w:t>
      </w:r>
      <w:r w:rsidR="002D316D">
        <w:rPr>
          <w:rFonts w:eastAsiaTheme="minorEastAsia"/>
        </w:rPr>
        <w:t>are</w:t>
      </w:r>
      <w:r w:rsidR="004B248D">
        <w:rPr>
          <w:rFonts w:eastAsiaTheme="minorEastAsia"/>
        </w:rPr>
        <w:t xml:space="preserve"> evidence-based or actively undergoing evaluation</w:t>
      </w:r>
      <w:r w:rsidRPr="67F9B7BC">
        <w:rPr>
          <w:rFonts w:eastAsiaTheme="minorEastAsia"/>
        </w:rPr>
        <w:t xml:space="preserve">. RESEA, </w:t>
      </w:r>
      <w:r w:rsidR="002C284D">
        <w:rPr>
          <w:rFonts w:eastAsiaTheme="minorEastAsia"/>
        </w:rPr>
        <w:t xml:space="preserve">as </w:t>
      </w:r>
      <w:r w:rsidRPr="67F9B7BC">
        <w:rPr>
          <w:rFonts w:eastAsiaTheme="minorEastAsia"/>
        </w:rPr>
        <w:t>described in Unemployment Insurance Program Letter (UIPL) No. 13-15 (2015), also require</w:t>
      </w:r>
      <w:r w:rsidR="00A07017">
        <w:rPr>
          <w:rFonts w:eastAsiaTheme="minorEastAsia"/>
        </w:rPr>
        <w:t>d</w:t>
      </w:r>
      <w:r w:rsidRPr="67F9B7BC">
        <w:rPr>
          <w:rFonts w:eastAsiaTheme="minorEastAsia"/>
        </w:rPr>
        <w:t xml:space="preserve"> a new method for targeting UI claimants, such that selection prioritize</w:t>
      </w:r>
      <w:r w:rsidR="001161F0">
        <w:rPr>
          <w:rFonts w:eastAsiaTheme="minorEastAsia"/>
        </w:rPr>
        <w:t>d</w:t>
      </w:r>
      <w:r w:rsidRPr="67F9B7BC">
        <w:rPr>
          <w:rFonts w:eastAsiaTheme="minorEastAsia"/>
        </w:rPr>
        <w:t xml:space="preserve"> claimants with a high likelihood to exhaust benefits or </w:t>
      </w:r>
      <w:r w:rsidR="000042AD">
        <w:rPr>
          <w:rFonts w:eastAsiaTheme="minorEastAsia"/>
        </w:rPr>
        <w:t xml:space="preserve">transitioning </w:t>
      </w:r>
      <w:r w:rsidRPr="67F9B7BC">
        <w:rPr>
          <w:rFonts w:eastAsiaTheme="minorEastAsia"/>
        </w:rPr>
        <w:t>veterans receiving Unemployment Compensation for Ex-Servicemembers</w:t>
      </w:r>
      <w:r w:rsidR="000042AD">
        <w:rPr>
          <w:rFonts w:eastAsiaTheme="minorEastAsia"/>
        </w:rPr>
        <w:t xml:space="preserve"> (UCX)</w:t>
      </w:r>
      <w:r w:rsidR="00043C23">
        <w:rPr>
          <w:rFonts w:eastAsiaTheme="minorEastAsia"/>
        </w:rPr>
        <w:t>.</w:t>
      </w:r>
      <w:r w:rsidR="000272E0">
        <w:rPr>
          <w:rFonts w:eastAsiaTheme="minorEastAsia"/>
        </w:rPr>
        <w:t xml:space="preserve"> </w:t>
      </w:r>
      <w:r w:rsidR="0092015D">
        <w:rPr>
          <w:rFonts w:eastAsiaTheme="minorEastAsia"/>
        </w:rPr>
        <w:t xml:space="preserve">Beginning in </w:t>
      </w:r>
      <w:r w:rsidR="001161F0">
        <w:rPr>
          <w:rFonts w:eastAsiaTheme="minorEastAsia"/>
        </w:rPr>
        <w:t>FY</w:t>
      </w:r>
      <w:r w:rsidR="0092015D">
        <w:rPr>
          <w:rFonts w:eastAsiaTheme="minorEastAsia"/>
        </w:rPr>
        <w:t xml:space="preserve"> 2019</w:t>
      </w:r>
      <w:r w:rsidR="00A07017" w:rsidRPr="00A07017">
        <w:rPr>
          <w:rFonts w:eastAsiaTheme="minorEastAsia"/>
        </w:rPr>
        <w:t>, states</w:t>
      </w:r>
      <w:r w:rsidR="000042AD">
        <w:rPr>
          <w:rFonts w:eastAsiaTheme="minorEastAsia"/>
        </w:rPr>
        <w:t xml:space="preserve"> are no longer required to target these populations </w:t>
      </w:r>
      <w:r w:rsidR="006F6690">
        <w:rPr>
          <w:rFonts w:eastAsiaTheme="minorEastAsia"/>
        </w:rPr>
        <w:t>and</w:t>
      </w:r>
      <w:r w:rsidR="000042AD">
        <w:rPr>
          <w:rFonts w:eastAsiaTheme="minorEastAsia"/>
        </w:rPr>
        <w:t xml:space="preserve"> are given discretion </w:t>
      </w:r>
      <w:r w:rsidR="00A07017">
        <w:rPr>
          <w:rFonts w:eastAsiaTheme="minorEastAsia"/>
        </w:rPr>
        <w:t xml:space="preserve">to </w:t>
      </w:r>
      <w:r w:rsidR="004B248D">
        <w:rPr>
          <w:rFonts w:eastAsiaTheme="minorEastAsia"/>
        </w:rPr>
        <w:t>select</w:t>
      </w:r>
      <w:r w:rsidR="00A07017">
        <w:rPr>
          <w:rFonts w:eastAsiaTheme="minorEastAsia"/>
        </w:rPr>
        <w:t xml:space="preserve"> </w:t>
      </w:r>
      <w:r w:rsidR="00A07017" w:rsidRPr="00A07017">
        <w:rPr>
          <w:rFonts w:eastAsiaTheme="minorEastAsia"/>
        </w:rPr>
        <w:t>claimant</w:t>
      </w:r>
      <w:r w:rsidR="00A07017">
        <w:rPr>
          <w:rFonts w:eastAsiaTheme="minorEastAsia"/>
        </w:rPr>
        <w:t>s</w:t>
      </w:r>
      <w:r w:rsidR="004B248D">
        <w:rPr>
          <w:rFonts w:eastAsiaTheme="minorEastAsia"/>
        </w:rPr>
        <w:t xml:space="preserve"> from</w:t>
      </w:r>
      <w:r w:rsidR="00A07017" w:rsidRPr="00A07017">
        <w:rPr>
          <w:rFonts w:eastAsiaTheme="minorEastAsia"/>
        </w:rPr>
        <w:t xml:space="preserve"> </w:t>
      </w:r>
      <w:r w:rsidR="00A07017">
        <w:rPr>
          <w:rFonts w:eastAsiaTheme="minorEastAsia"/>
        </w:rPr>
        <w:t>the regular</w:t>
      </w:r>
      <w:r w:rsidR="009133D1">
        <w:rPr>
          <w:rFonts w:eastAsiaTheme="minorEastAsia"/>
        </w:rPr>
        <w:t xml:space="preserve"> UI program</w:t>
      </w:r>
      <w:r w:rsidRPr="67F9B7BC">
        <w:rPr>
          <w:rFonts w:eastAsiaTheme="minorEastAsia"/>
        </w:rPr>
        <w:t xml:space="preserve">. </w:t>
      </w:r>
    </w:p>
    <w:p w14:paraId="5856B4CF" w14:textId="77777777" w:rsidR="001161F0" w:rsidRDefault="001161F0" w:rsidP="00BFA30F">
      <w:pPr>
        <w:spacing w:after="0" w:line="240" w:lineRule="auto"/>
        <w:rPr>
          <w:rFonts w:eastAsiaTheme="minorEastAsia"/>
        </w:rPr>
      </w:pPr>
    </w:p>
    <w:p w14:paraId="2E2FFA18" w14:textId="17093C30" w:rsidR="00052630" w:rsidRPr="00C55523" w:rsidRDefault="00BFA30F" w:rsidP="00BFA30F">
      <w:pPr>
        <w:spacing w:after="0" w:line="240" w:lineRule="auto"/>
        <w:rPr>
          <w:rFonts w:eastAsiaTheme="minorEastAsia"/>
        </w:rPr>
      </w:pPr>
      <w:r w:rsidRPr="00BFA30F">
        <w:rPr>
          <w:rFonts w:eastAsiaTheme="minorEastAsia"/>
        </w:rPr>
        <w:t xml:space="preserve">As described in Section 306(b) of the SSA (1935/2018), the RESEA program has four primary purposes: </w:t>
      </w:r>
    </w:p>
    <w:p w14:paraId="0B16BA72" w14:textId="731C5C6C" w:rsidR="40CE383C" w:rsidRPr="00C55523" w:rsidRDefault="002352C7" w:rsidP="00C62D56">
      <w:pPr>
        <w:spacing w:after="0" w:line="240" w:lineRule="auto"/>
        <w:ind w:left="720"/>
        <w:rPr>
          <w:rFonts w:eastAsiaTheme="minorEastAsia" w:cstheme="minorHAnsi"/>
        </w:rPr>
      </w:pPr>
      <w:r w:rsidRPr="00C55523">
        <w:rPr>
          <w:rFonts w:eastAsiaTheme="minorEastAsia" w:cstheme="minorHAnsi"/>
        </w:rPr>
        <w:t xml:space="preserve">1) </w:t>
      </w:r>
      <w:r w:rsidR="00D92C94">
        <w:rPr>
          <w:rFonts w:eastAsiaTheme="minorEastAsia" w:cstheme="minorHAnsi"/>
        </w:rPr>
        <w:t>r</w:t>
      </w:r>
      <w:r w:rsidRPr="00C55523">
        <w:rPr>
          <w:rFonts w:eastAsiaTheme="minorEastAsia" w:cstheme="minorHAnsi"/>
        </w:rPr>
        <w:t>educe UI duration through improved employment outcomes</w:t>
      </w:r>
      <w:r w:rsidR="00D92C94">
        <w:rPr>
          <w:rFonts w:eastAsiaTheme="minorEastAsia" w:cstheme="minorHAnsi"/>
        </w:rPr>
        <w:t xml:space="preserve">; </w:t>
      </w:r>
    </w:p>
    <w:p w14:paraId="2CAD4434" w14:textId="3A97DAD6" w:rsidR="40CE383C" w:rsidRPr="00C55523" w:rsidRDefault="002352C7" w:rsidP="00C62D56">
      <w:pPr>
        <w:spacing w:after="0" w:line="240" w:lineRule="auto"/>
        <w:ind w:left="720"/>
        <w:rPr>
          <w:rFonts w:eastAsiaTheme="minorEastAsia" w:cstheme="minorHAnsi"/>
        </w:rPr>
      </w:pPr>
      <w:r w:rsidRPr="00C55523">
        <w:rPr>
          <w:rFonts w:eastAsiaTheme="minorEastAsia" w:cstheme="minorHAnsi"/>
        </w:rPr>
        <w:t xml:space="preserve">2) </w:t>
      </w:r>
      <w:r w:rsidR="00D92C94">
        <w:rPr>
          <w:rFonts w:eastAsiaTheme="minorEastAsia" w:cstheme="minorHAnsi"/>
        </w:rPr>
        <w:t>s</w:t>
      </w:r>
      <w:r w:rsidRPr="00C55523">
        <w:rPr>
          <w:rFonts w:eastAsiaTheme="minorEastAsia" w:cstheme="minorHAnsi"/>
        </w:rPr>
        <w:t>trengthen UI program integrity (</w:t>
      </w:r>
      <w:r w:rsidR="00D92C94">
        <w:rPr>
          <w:rFonts w:eastAsiaTheme="minorEastAsia" w:cstheme="minorHAnsi"/>
        </w:rPr>
        <w:t xml:space="preserve">i.e., </w:t>
      </w:r>
      <w:r w:rsidRPr="00C55523">
        <w:rPr>
          <w:rFonts w:eastAsiaTheme="minorEastAsia" w:cstheme="minorHAnsi"/>
        </w:rPr>
        <w:t>reduce improper payments)</w:t>
      </w:r>
      <w:r w:rsidR="00D92C94">
        <w:rPr>
          <w:rFonts w:eastAsiaTheme="minorEastAsia" w:cstheme="minorHAnsi"/>
        </w:rPr>
        <w:t xml:space="preserve">; </w:t>
      </w:r>
    </w:p>
    <w:p w14:paraId="3F0ECFB4" w14:textId="025B5BD9" w:rsidR="40CE383C" w:rsidRPr="00C55523" w:rsidRDefault="4E9D570C" w:rsidP="00C62D56">
      <w:pPr>
        <w:spacing w:after="0" w:line="240" w:lineRule="auto"/>
        <w:ind w:left="720"/>
        <w:rPr>
          <w:rFonts w:eastAsiaTheme="minorEastAsia" w:cstheme="minorHAnsi"/>
        </w:rPr>
      </w:pPr>
      <w:r w:rsidRPr="00C55523">
        <w:rPr>
          <w:rFonts w:eastAsiaTheme="minorEastAsia" w:cstheme="minorHAnsi"/>
        </w:rPr>
        <w:t xml:space="preserve">3) </w:t>
      </w:r>
      <w:r w:rsidR="00D92C94">
        <w:rPr>
          <w:rFonts w:eastAsiaTheme="minorEastAsia" w:cstheme="minorHAnsi"/>
        </w:rPr>
        <w:t>a</w:t>
      </w:r>
      <w:r w:rsidRPr="00C55523">
        <w:rPr>
          <w:rFonts w:eastAsiaTheme="minorEastAsia" w:cstheme="minorHAnsi"/>
        </w:rPr>
        <w:t>lign with objectives of the Workforce Innovation and Opportunity Act (WIOA)</w:t>
      </w:r>
      <w:r w:rsidR="00D92C94">
        <w:rPr>
          <w:rFonts w:eastAsiaTheme="minorEastAsia" w:cstheme="minorHAnsi"/>
        </w:rPr>
        <w:t>;</w:t>
      </w:r>
    </w:p>
    <w:p w14:paraId="09768978" w14:textId="26E7FCAC" w:rsidR="40CE383C" w:rsidRPr="00C55523" w:rsidRDefault="5780A2F2" w:rsidP="00C62D56">
      <w:pPr>
        <w:spacing w:after="0" w:line="240" w:lineRule="auto"/>
        <w:ind w:left="720"/>
        <w:rPr>
          <w:rFonts w:eastAsiaTheme="minorEastAsia" w:cstheme="minorHAnsi"/>
        </w:rPr>
      </w:pPr>
      <w:r w:rsidRPr="00C55523">
        <w:rPr>
          <w:rFonts w:eastAsiaTheme="minorEastAsia" w:cstheme="minorHAnsi"/>
        </w:rPr>
        <w:t xml:space="preserve">4) </w:t>
      </w:r>
      <w:r w:rsidR="00D92C94">
        <w:rPr>
          <w:rFonts w:eastAsiaTheme="minorEastAsia" w:cstheme="minorHAnsi"/>
        </w:rPr>
        <w:t>e</w:t>
      </w:r>
      <w:r w:rsidRPr="00C55523">
        <w:rPr>
          <w:rFonts w:eastAsiaTheme="minorEastAsia" w:cstheme="minorHAnsi"/>
        </w:rPr>
        <w:t>stablish RESEA as an entry point to other workforce system partners</w:t>
      </w:r>
      <w:r w:rsidR="00D92C94">
        <w:rPr>
          <w:rFonts w:eastAsiaTheme="minorEastAsia" w:cstheme="minorHAnsi"/>
        </w:rPr>
        <w:t>.</w:t>
      </w:r>
    </w:p>
    <w:p w14:paraId="5481BBEE" w14:textId="0AD5C9C8" w:rsidR="5780A2F2" w:rsidRPr="00C55523" w:rsidRDefault="5780A2F2" w:rsidP="5780A2F2">
      <w:pPr>
        <w:spacing w:after="0" w:line="240" w:lineRule="auto"/>
        <w:rPr>
          <w:rFonts w:eastAsiaTheme="minorEastAsia" w:cstheme="minorHAnsi"/>
        </w:rPr>
      </w:pPr>
    </w:p>
    <w:p w14:paraId="211DA2BF" w14:textId="642341CB" w:rsidR="00941104" w:rsidRPr="00C55523" w:rsidRDefault="660DA8D3" w:rsidP="6D692566">
      <w:pPr>
        <w:spacing w:after="0" w:line="240" w:lineRule="auto"/>
        <w:rPr>
          <w:rFonts w:eastAsia="Calibri"/>
          <w:color w:val="000000" w:themeColor="text1"/>
        </w:rPr>
      </w:pPr>
      <w:r w:rsidRPr="660DA8D3">
        <w:rPr>
          <w:rFonts w:eastAsia="Calibri"/>
          <w:color w:val="000000" w:themeColor="text1"/>
        </w:rPr>
        <w:t xml:space="preserve">The two central RESEA program components include assessment of ongoing UI eligibility and provision of reemployment services. In particular, </w:t>
      </w:r>
      <w:r w:rsidR="0092015D">
        <w:rPr>
          <w:rFonts w:eastAsia="Calibri"/>
          <w:color w:val="000000" w:themeColor="text1"/>
        </w:rPr>
        <w:t>claimants</w:t>
      </w:r>
      <w:r w:rsidRPr="660DA8D3">
        <w:rPr>
          <w:rFonts w:eastAsia="Calibri"/>
          <w:color w:val="000000" w:themeColor="text1"/>
        </w:rPr>
        <w:t xml:space="preserve"> complete an eligibility review </w:t>
      </w:r>
      <w:r w:rsidR="0092015D">
        <w:rPr>
          <w:rFonts w:eastAsia="Calibri"/>
          <w:color w:val="000000" w:themeColor="text1"/>
        </w:rPr>
        <w:t>where</w:t>
      </w:r>
      <w:r w:rsidR="00C62D56">
        <w:rPr>
          <w:rFonts w:eastAsia="Calibri"/>
          <w:color w:val="000000" w:themeColor="text1"/>
        </w:rPr>
        <w:t xml:space="preserve"> they report</w:t>
      </w:r>
      <w:r w:rsidRPr="660DA8D3">
        <w:rPr>
          <w:rFonts w:eastAsia="Calibri"/>
          <w:color w:val="000000" w:themeColor="text1"/>
        </w:rPr>
        <w:t xml:space="preserve"> recent job search activities and </w:t>
      </w:r>
      <w:r w:rsidRPr="00EF49F4">
        <w:rPr>
          <w:rFonts w:eastAsia="Calibri"/>
          <w:color w:val="000000" w:themeColor="text1"/>
        </w:rPr>
        <w:t>ongoing UI eligibility</w:t>
      </w:r>
      <w:r w:rsidR="006F6690">
        <w:rPr>
          <w:rFonts w:eastAsia="Calibri"/>
          <w:color w:val="000000" w:themeColor="text1"/>
        </w:rPr>
        <w:t xml:space="preserve">, later </w:t>
      </w:r>
      <w:r w:rsidR="00C62D56" w:rsidRPr="00EF49F4">
        <w:rPr>
          <w:rFonts w:eastAsia="Calibri"/>
          <w:color w:val="000000" w:themeColor="text1"/>
        </w:rPr>
        <w:t>reviewed</w:t>
      </w:r>
      <w:r w:rsidRPr="00EF49F4">
        <w:rPr>
          <w:rFonts w:eastAsia="Calibri"/>
          <w:color w:val="000000" w:themeColor="text1"/>
        </w:rPr>
        <w:t xml:space="preserve"> </w:t>
      </w:r>
      <w:r w:rsidR="0092015D" w:rsidRPr="00EF49F4">
        <w:rPr>
          <w:rFonts w:eastAsia="Calibri"/>
          <w:color w:val="000000" w:themeColor="text1"/>
        </w:rPr>
        <w:t xml:space="preserve">by program staff </w:t>
      </w:r>
      <w:r w:rsidRPr="00EF49F4">
        <w:rPr>
          <w:rFonts w:ascii="Calibri" w:eastAsia="Calibri" w:hAnsi="Calibri" w:cs="Calibri"/>
        </w:rPr>
        <w:t>(ETA,</w:t>
      </w:r>
      <w:r w:rsidRPr="660DA8D3">
        <w:rPr>
          <w:rFonts w:ascii="Calibri" w:eastAsia="Calibri" w:hAnsi="Calibri" w:cs="Calibri"/>
        </w:rPr>
        <w:t xml:space="preserve"> n.d.)</w:t>
      </w:r>
      <w:r w:rsidRPr="660DA8D3">
        <w:rPr>
          <w:rFonts w:eastAsia="Calibri"/>
          <w:color w:val="000000" w:themeColor="text1"/>
        </w:rPr>
        <w:t xml:space="preserve">. </w:t>
      </w:r>
      <w:r w:rsidR="0092015D">
        <w:rPr>
          <w:rFonts w:eastAsia="Calibri"/>
          <w:color w:val="000000" w:themeColor="text1"/>
        </w:rPr>
        <w:t>S</w:t>
      </w:r>
      <w:r w:rsidRPr="660DA8D3">
        <w:rPr>
          <w:rFonts w:eastAsia="Calibri"/>
          <w:color w:val="000000" w:themeColor="text1"/>
        </w:rPr>
        <w:t>tates</w:t>
      </w:r>
      <w:r w:rsidR="0092015D">
        <w:rPr>
          <w:rFonts w:eastAsia="Calibri"/>
          <w:color w:val="000000" w:themeColor="text1"/>
        </w:rPr>
        <w:t xml:space="preserve"> also </w:t>
      </w:r>
      <w:r w:rsidR="0092015D" w:rsidRPr="00EF49F4">
        <w:rPr>
          <w:rFonts w:eastAsia="Calibri"/>
          <w:color w:val="000000" w:themeColor="text1"/>
        </w:rPr>
        <w:t>are required t</w:t>
      </w:r>
      <w:r w:rsidR="0092015D">
        <w:rPr>
          <w:rFonts w:eastAsia="Calibri"/>
          <w:color w:val="000000" w:themeColor="text1"/>
        </w:rPr>
        <w:t>o</w:t>
      </w:r>
      <w:r w:rsidRPr="660DA8D3">
        <w:rPr>
          <w:rFonts w:eastAsia="Calibri"/>
          <w:color w:val="000000" w:themeColor="text1"/>
        </w:rPr>
        <w:t xml:space="preserve"> provide claimants the following services: (1) individual reemployment plan, (2) Wagner-</w:t>
      </w:r>
      <w:proofErr w:type="spellStart"/>
      <w:r w:rsidRPr="660DA8D3">
        <w:rPr>
          <w:rFonts w:eastAsia="Calibri"/>
          <w:color w:val="000000" w:themeColor="text1"/>
        </w:rPr>
        <w:t>Peyser</w:t>
      </w:r>
      <w:proofErr w:type="spellEnd"/>
      <w:r w:rsidRPr="660DA8D3">
        <w:rPr>
          <w:rFonts w:eastAsia="Calibri"/>
          <w:color w:val="000000" w:themeColor="text1"/>
        </w:rPr>
        <w:t xml:space="preserve"> Employment Service enrollment, (3) tailored career and labor market information, and (4) referrals to employment workshops and resources, </w:t>
      </w:r>
      <w:r w:rsidR="00123993">
        <w:rPr>
          <w:rFonts w:eastAsia="Calibri"/>
          <w:color w:val="000000" w:themeColor="text1"/>
        </w:rPr>
        <w:t>typically</w:t>
      </w:r>
      <w:r w:rsidRPr="660DA8D3">
        <w:rPr>
          <w:rFonts w:eastAsia="Calibri"/>
          <w:color w:val="000000" w:themeColor="text1"/>
        </w:rPr>
        <w:t xml:space="preserve"> offered at American Job Center</w:t>
      </w:r>
      <w:r w:rsidR="00123993">
        <w:rPr>
          <w:rFonts w:eastAsia="Calibri"/>
          <w:color w:val="000000" w:themeColor="text1"/>
        </w:rPr>
        <w:t>s</w:t>
      </w:r>
      <w:r w:rsidRPr="660DA8D3">
        <w:rPr>
          <w:rFonts w:eastAsia="Calibri"/>
          <w:color w:val="000000" w:themeColor="text1"/>
        </w:rPr>
        <w:t xml:space="preserve"> (</w:t>
      </w:r>
      <w:r w:rsidRPr="660DA8D3">
        <w:rPr>
          <w:rFonts w:ascii="Calibri" w:eastAsia="Calibri" w:hAnsi="Calibri" w:cs="Calibri"/>
        </w:rPr>
        <w:t>ETA, n.d.</w:t>
      </w:r>
      <w:r w:rsidRPr="660DA8D3">
        <w:rPr>
          <w:rFonts w:eastAsia="Calibri"/>
          <w:color w:val="000000" w:themeColor="text1"/>
        </w:rPr>
        <w:t xml:space="preserve">). </w:t>
      </w:r>
    </w:p>
    <w:p w14:paraId="5DC46EB8" w14:textId="77777777" w:rsidR="00941104" w:rsidRPr="00C55523" w:rsidRDefault="00941104" w:rsidP="691C66CD">
      <w:pPr>
        <w:spacing w:after="0" w:line="240" w:lineRule="auto"/>
        <w:rPr>
          <w:rFonts w:eastAsia="Calibri" w:cstheme="minorHAnsi"/>
          <w:color w:val="000000" w:themeColor="text1"/>
        </w:rPr>
      </w:pPr>
    </w:p>
    <w:p w14:paraId="18B153ED" w14:textId="69EB98F7" w:rsidR="503752BD" w:rsidRPr="00C55523" w:rsidRDefault="5C97E857" w:rsidP="6D692566">
      <w:pPr>
        <w:spacing w:after="0" w:line="240" w:lineRule="auto"/>
        <w:rPr>
          <w:rFonts w:eastAsiaTheme="minorEastAsia"/>
        </w:rPr>
      </w:pPr>
      <w:r w:rsidRPr="5C97E857">
        <w:rPr>
          <w:rFonts w:eastAsia="Calibri"/>
          <w:color w:val="000000" w:themeColor="text1"/>
        </w:rPr>
        <w:t>The primary aim of the current evaluation</w:t>
      </w:r>
      <w:r w:rsidRPr="5C97E857">
        <w:rPr>
          <w:rFonts w:eastAsiaTheme="minorEastAsia"/>
        </w:rPr>
        <w:t xml:space="preserve"> is to assess the impact of Utah’s RESEA program in reducing UI duration and increasing the likelihood of reemployment. This evaluation will be conducted to meet federal legislative requirements that RESEA grant funds are used for </w:t>
      </w:r>
      <w:r w:rsidR="00123993">
        <w:rPr>
          <w:rFonts w:eastAsiaTheme="minorEastAsia"/>
        </w:rPr>
        <w:t xml:space="preserve">either </w:t>
      </w:r>
      <w:r w:rsidRPr="5C97E857">
        <w:rPr>
          <w:rFonts w:eastAsiaTheme="minorEastAsia"/>
        </w:rPr>
        <w:t xml:space="preserve">evidence-based services or services actively undergoing evaluation </w:t>
      </w:r>
      <w:r w:rsidRPr="5C97E857">
        <w:rPr>
          <w:rFonts w:eastAsia="Calibri"/>
          <w:color w:val="000000" w:themeColor="text1"/>
        </w:rPr>
        <w:t xml:space="preserve">(DOL &amp; ETA, 2022; </w:t>
      </w:r>
      <w:r w:rsidRPr="5C97E857">
        <w:rPr>
          <w:rFonts w:ascii="Calibri" w:eastAsia="Calibri" w:hAnsi="Calibri" w:cs="Calibri"/>
        </w:rPr>
        <w:t>ETA, n.d.</w:t>
      </w:r>
      <w:r w:rsidRPr="5C97E857">
        <w:rPr>
          <w:rFonts w:eastAsia="Calibri"/>
          <w:color w:val="000000" w:themeColor="text1"/>
        </w:rPr>
        <w:t>)</w:t>
      </w:r>
      <w:r w:rsidRPr="5C97E857">
        <w:rPr>
          <w:rFonts w:eastAsiaTheme="minorEastAsia"/>
        </w:rPr>
        <w:t xml:space="preserve">. </w:t>
      </w:r>
    </w:p>
    <w:p w14:paraId="4DB4E46A" w14:textId="0086225E" w:rsidR="40CE383C" w:rsidRPr="00C55523" w:rsidRDefault="40CE383C" w:rsidP="002352C7">
      <w:pPr>
        <w:spacing w:after="0" w:line="240" w:lineRule="auto"/>
        <w:rPr>
          <w:rFonts w:eastAsiaTheme="minorEastAsia" w:cstheme="minorHAnsi"/>
        </w:rPr>
      </w:pPr>
    </w:p>
    <w:p w14:paraId="42150A42" w14:textId="02252F07" w:rsidR="00052630" w:rsidRPr="00C55523" w:rsidRDefault="002F4957" w:rsidP="001B0F67">
      <w:pPr>
        <w:pStyle w:val="Heading2"/>
        <w:rPr>
          <w:rFonts w:eastAsiaTheme="minorEastAsia"/>
        </w:rPr>
      </w:pPr>
      <w:r>
        <w:rPr>
          <w:rFonts w:eastAsiaTheme="minorEastAsia"/>
        </w:rPr>
        <w:t xml:space="preserve">1.1 </w:t>
      </w:r>
      <w:r w:rsidR="00052630" w:rsidRPr="00C55523">
        <w:rPr>
          <w:rFonts w:eastAsiaTheme="minorEastAsia"/>
        </w:rPr>
        <w:t>The RESEA Program in Utah</w:t>
      </w:r>
    </w:p>
    <w:p w14:paraId="3C375E3E" w14:textId="77777777" w:rsidR="00052630" w:rsidRPr="00C55523" w:rsidRDefault="00052630" w:rsidP="00052630">
      <w:pPr>
        <w:spacing w:after="0" w:line="240" w:lineRule="auto"/>
        <w:rPr>
          <w:rFonts w:eastAsiaTheme="minorEastAsia" w:cstheme="minorHAnsi"/>
          <w:i/>
        </w:rPr>
      </w:pPr>
    </w:p>
    <w:p w14:paraId="783CE4AF" w14:textId="0EE2BD61" w:rsidR="00505BCB" w:rsidRDefault="00D70DA1" w:rsidP="5997ABB6">
      <w:pPr>
        <w:spacing w:after="0" w:line="240" w:lineRule="auto"/>
        <w:rPr>
          <w:rFonts w:eastAsiaTheme="minorEastAsia"/>
        </w:rPr>
      </w:pPr>
      <w:r>
        <w:rPr>
          <w:rFonts w:eastAsiaTheme="minorEastAsia"/>
        </w:rPr>
        <w:t xml:space="preserve">The </w:t>
      </w:r>
      <w:r w:rsidR="5997ABB6" w:rsidRPr="5997ABB6">
        <w:rPr>
          <w:rFonts w:eastAsiaTheme="minorEastAsia"/>
        </w:rPr>
        <w:t xml:space="preserve">Utah RESEA program is a statewide intervention for UI claimants administered by the Utah Department of Workforce Services Unemployment Insurance Division (DWS UI). Every week, around 300 to 400 claimants are selected for the RESEA program, with approximately 70% of selected claimants </w:t>
      </w:r>
      <w:r w:rsidR="5997ABB6" w:rsidRPr="5997ABB6">
        <w:rPr>
          <w:rFonts w:eastAsiaTheme="minorEastAsia"/>
        </w:rPr>
        <w:lastRenderedPageBreak/>
        <w:t>participating. During 2021 and 2022, 7,257 and 11,226 UI claimants, respectively, participated in RESEA (i.e., completed an eligibility review and attended the</w:t>
      </w:r>
      <w:r w:rsidR="006F6690">
        <w:rPr>
          <w:rFonts w:eastAsiaTheme="minorEastAsia"/>
        </w:rPr>
        <w:t xml:space="preserve"> RESEA</w:t>
      </w:r>
      <w:r w:rsidR="5997ABB6" w:rsidRPr="5997ABB6">
        <w:rPr>
          <w:rFonts w:eastAsiaTheme="minorEastAsia"/>
        </w:rPr>
        <w:t xml:space="preserve"> meeting). </w:t>
      </w:r>
    </w:p>
    <w:p w14:paraId="04F21DE1" w14:textId="77777777" w:rsidR="006F6690" w:rsidRPr="00C55523" w:rsidRDefault="006F6690" w:rsidP="5997ABB6">
      <w:pPr>
        <w:spacing w:after="0" w:line="240" w:lineRule="auto"/>
        <w:rPr>
          <w:rFonts w:eastAsiaTheme="minorEastAsia"/>
        </w:rPr>
      </w:pPr>
    </w:p>
    <w:p w14:paraId="33896257" w14:textId="797764EB" w:rsidR="00505BCB" w:rsidRPr="00C55523" w:rsidRDefault="062E08DD" w:rsidP="062E08DD">
      <w:pPr>
        <w:spacing w:after="0" w:line="240" w:lineRule="auto"/>
        <w:rPr>
          <w:rFonts w:eastAsiaTheme="minorEastAsia"/>
        </w:rPr>
      </w:pPr>
      <w:r w:rsidRPr="062E08DD">
        <w:rPr>
          <w:rFonts w:eastAsiaTheme="minorEastAsia"/>
        </w:rPr>
        <w:t xml:space="preserve">Figure 1 depicts a logic model for </w:t>
      </w:r>
      <w:r w:rsidR="00A16CAC">
        <w:rPr>
          <w:rFonts w:eastAsiaTheme="minorEastAsia"/>
        </w:rPr>
        <w:t>the</w:t>
      </w:r>
      <w:r w:rsidRPr="062E08DD">
        <w:rPr>
          <w:rFonts w:eastAsiaTheme="minorEastAsia"/>
        </w:rPr>
        <w:t xml:space="preserve"> RESEA program</w:t>
      </w:r>
      <w:r w:rsidR="00A16CAC">
        <w:rPr>
          <w:rFonts w:eastAsiaTheme="minorEastAsia"/>
        </w:rPr>
        <w:t xml:space="preserve"> in Utah</w:t>
      </w:r>
      <w:r w:rsidRPr="062E08DD">
        <w:rPr>
          <w:rFonts w:eastAsiaTheme="minorEastAsia"/>
        </w:rPr>
        <w:t xml:space="preserve">. Key resources and activities are </w:t>
      </w:r>
      <w:r w:rsidR="00A16CAC">
        <w:rPr>
          <w:rFonts w:eastAsiaTheme="minorEastAsia"/>
        </w:rPr>
        <w:t>shown</w:t>
      </w:r>
      <w:r w:rsidRPr="062E08DD">
        <w:rPr>
          <w:rFonts w:eastAsiaTheme="minorEastAsia"/>
        </w:rPr>
        <w:t xml:space="preserve"> along with intended program outputs and claimant outcomes. In particular, the RESEA program is enabled by </w:t>
      </w:r>
      <w:r w:rsidR="00A16CAC">
        <w:rPr>
          <w:rFonts w:eastAsiaTheme="minorEastAsia"/>
        </w:rPr>
        <w:t xml:space="preserve">a </w:t>
      </w:r>
      <w:r w:rsidRPr="062E08DD">
        <w:rPr>
          <w:rFonts w:eastAsiaTheme="minorEastAsia"/>
        </w:rPr>
        <w:t>DOL grant, established administrative procedures and software programs, DWS UI personnel, and evidence-based reemployment services. Such inputs help DWS UI select priority claimants for participation, notify claimants of required participation in RESEA, conduct an eligibility review</w:t>
      </w:r>
      <w:r w:rsidR="00A16CAC">
        <w:rPr>
          <w:rFonts w:eastAsiaTheme="minorEastAsia"/>
        </w:rPr>
        <w:t xml:space="preserve"> (ER)</w:t>
      </w:r>
      <w:r w:rsidRPr="062E08DD">
        <w:rPr>
          <w:rFonts w:eastAsiaTheme="minorEastAsia"/>
        </w:rPr>
        <w:t xml:space="preserve">, and provide a one-on-one meeting where counselors deliver reemployment services tailored to claimant needs. Claimants </w:t>
      </w:r>
      <w:r w:rsidR="00783095">
        <w:rPr>
          <w:rFonts w:eastAsiaTheme="minorEastAsia"/>
        </w:rPr>
        <w:t>must</w:t>
      </w:r>
      <w:r w:rsidRPr="062E08DD">
        <w:rPr>
          <w:rFonts w:eastAsiaTheme="minorEastAsia"/>
        </w:rPr>
        <w:t xml:space="preserve"> complete an </w:t>
      </w:r>
      <w:r w:rsidR="00A16CAC">
        <w:rPr>
          <w:rFonts w:eastAsiaTheme="minorEastAsia"/>
        </w:rPr>
        <w:t>ER</w:t>
      </w:r>
      <w:r w:rsidRPr="062E08DD">
        <w:rPr>
          <w:rFonts w:eastAsiaTheme="minorEastAsia"/>
        </w:rPr>
        <w:t xml:space="preserve"> and t</w:t>
      </w:r>
      <w:r w:rsidR="00A16CAC">
        <w:rPr>
          <w:rFonts w:eastAsiaTheme="minorEastAsia"/>
        </w:rPr>
        <w:t>hen</w:t>
      </w:r>
      <w:r w:rsidRPr="062E08DD">
        <w:rPr>
          <w:rFonts w:eastAsiaTheme="minorEastAsia"/>
        </w:rPr>
        <w:t xml:space="preserve"> schedule and attend one meeting with a RESEA employment counselor. Failure to complete program requirements resul</w:t>
      </w:r>
      <w:r w:rsidR="00092BD4">
        <w:rPr>
          <w:rFonts w:eastAsiaTheme="minorEastAsia"/>
        </w:rPr>
        <w:t>ts</w:t>
      </w:r>
      <w:r w:rsidRPr="062E08DD">
        <w:rPr>
          <w:rFonts w:eastAsiaTheme="minorEastAsia"/>
        </w:rPr>
        <w:t xml:space="preserve"> in </w:t>
      </w:r>
      <w:r w:rsidR="00783095">
        <w:rPr>
          <w:rFonts w:eastAsiaTheme="minorEastAsia"/>
        </w:rPr>
        <w:t>denial of UI benefits</w:t>
      </w:r>
      <w:r w:rsidRPr="062E08DD">
        <w:rPr>
          <w:rFonts w:eastAsiaTheme="minorEastAsia"/>
        </w:rPr>
        <w:t xml:space="preserve"> until the requirements are completed. </w:t>
      </w:r>
      <w:r w:rsidR="00092BD4" w:rsidRPr="7A7720CD">
        <w:rPr>
          <w:rFonts w:eastAsiaTheme="minorEastAsia"/>
        </w:rPr>
        <w:t>The logic model illustrates two hypothesized outcomes based on claimant experiences with RESEA: 1) mixed employment outcomes</w:t>
      </w:r>
      <w:r w:rsidR="006756C6">
        <w:rPr>
          <w:rFonts w:eastAsiaTheme="minorEastAsia"/>
        </w:rPr>
        <w:t xml:space="preserve"> but reduced UI duration</w:t>
      </w:r>
      <w:r w:rsidR="00092BD4" w:rsidRPr="7A7720CD">
        <w:rPr>
          <w:rFonts w:eastAsiaTheme="minorEastAsia"/>
        </w:rPr>
        <w:t xml:space="preserve"> for claimants who are disqualified for UI benefits due to non-participation or ineligibility, particularly if denial of UI benefits lasts for a period of multiple weeks (</w:t>
      </w:r>
      <w:r w:rsidR="006756C6">
        <w:rPr>
          <w:rFonts w:eastAsiaTheme="minorEastAsia"/>
        </w:rPr>
        <w:t xml:space="preserve">shown </w:t>
      </w:r>
      <w:r w:rsidR="00092BD4" w:rsidRPr="7A7720CD">
        <w:rPr>
          <w:rFonts w:eastAsiaTheme="minorEastAsia"/>
        </w:rPr>
        <w:t>in yellow); and 2) improved employment outcomes for claimants who participate in the RESEA appointment and do not experience sustained disqualification (</w:t>
      </w:r>
      <w:r w:rsidR="006756C6">
        <w:rPr>
          <w:rFonts w:eastAsiaTheme="minorEastAsia"/>
        </w:rPr>
        <w:t xml:space="preserve">shown </w:t>
      </w:r>
      <w:r w:rsidR="00092BD4" w:rsidRPr="7A7720CD">
        <w:rPr>
          <w:rFonts w:eastAsiaTheme="minorEastAsia"/>
        </w:rPr>
        <w:t xml:space="preserve">in green). </w:t>
      </w:r>
      <w:r w:rsidR="00A16CAC">
        <w:rPr>
          <w:rFonts w:eastAsiaTheme="minorEastAsia"/>
        </w:rPr>
        <w:t>Such</w:t>
      </w:r>
      <w:r w:rsidR="00092BD4" w:rsidRPr="7A7720CD">
        <w:rPr>
          <w:rFonts w:eastAsiaTheme="minorEastAsia"/>
        </w:rPr>
        <w:t xml:space="preserve"> diverging program outcomes are consistent with the </w:t>
      </w:r>
      <w:r w:rsidR="00092BD4">
        <w:rPr>
          <w:rFonts w:eastAsiaTheme="minorEastAsia"/>
        </w:rPr>
        <w:t>central</w:t>
      </w:r>
      <w:r w:rsidR="00092BD4" w:rsidRPr="7A7720CD">
        <w:rPr>
          <w:rFonts w:eastAsiaTheme="minorEastAsia"/>
        </w:rPr>
        <w:t xml:space="preserve"> components of the RESEA program—namely, enforcement of UI eligibility requirements and provision of reemployment assistance. The RESEA program in Utah is described in greater detail below.</w:t>
      </w:r>
    </w:p>
    <w:p w14:paraId="3ECBA484" w14:textId="0861B7F6" w:rsidR="00505BCB" w:rsidRPr="00C55523" w:rsidRDefault="00505BCB" w:rsidP="7A7720CD">
      <w:pPr>
        <w:spacing w:after="0" w:line="240" w:lineRule="auto"/>
        <w:rPr>
          <w:rFonts w:eastAsiaTheme="minorEastAsia"/>
        </w:rPr>
      </w:pPr>
    </w:p>
    <w:p w14:paraId="429BD058" w14:textId="55E74750" w:rsidR="00505BCB" w:rsidRPr="00C55523" w:rsidRDefault="79EA0F71" w:rsidP="54864EB4">
      <w:pPr>
        <w:spacing w:after="0" w:line="240" w:lineRule="auto"/>
        <w:rPr>
          <w:rFonts w:eastAsiaTheme="minorEastAsia"/>
          <w:b/>
          <w:bCs/>
        </w:rPr>
      </w:pPr>
      <w:r w:rsidRPr="79EA0F71">
        <w:rPr>
          <w:rFonts w:eastAsiaTheme="minorEastAsia"/>
        </w:rPr>
        <w:t>Eligibility for Utah</w:t>
      </w:r>
      <w:r w:rsidR="00A16CAC">
        <w:rPr>
          <w:rFonts w:eastAsiaTheme="minorEastAsia"/>
        </w:rPr>
        <w:t>’s</w:t>
      </w:r>
      <w:r w:rsidRPr="79EA0F71">
        <w:rPr>
          <w:rFonts w:eastAsiaTheme="minorEastAsia"/>
        </w:rPr>
        <w:t xml:space="preserve"> RESEA program and procedures for participant selection have varied over time. Currently, claimants are eligible for RESEA after receiving </w:t>
      </w:r>
      <w:r w:rsidR="00A16CAC">
        <w:rPr>
          <w:rFonts w:eastAsiaTheme="minorEastAsia"/>
        </w:rPr>
        <w:t>a</w:t>
      </w:r>
      <w:r w:rsidRPr="79EA0F71">
        <w:rPr>
          <w:rFonts w:eastAsiaTheme="minorEastAsia"/>
        </w:rPr>
        <w:t xml:space="preserve"> UI payment if they do not have a job search deferral. </w:t>
      </w:r>
      <w:r w:rsidR="00783095">
        <w:rPr>
          <w:rFonts w:eastAsiaTheme="minorEastAsia"/>
        </w:rPr>
        <w:t>D</w:t>
      </w:r>
      <w:r w:rsidRPr="79EA0F71">
        <w:rPr>
          <w:rFonts w:eastAsiaTheme="minorEastAsia"/>
        </w:rPr>
        <w:t xml:space="preserve">eferrals are provided for the following conditions: expected date of recall, unemployed due to seasonal factors, in department-approved training, </w:t>
      </w:r>
      <w:r w:rsidRPr="79EA0F71">
        <w:rPr>
          <w:rFonts w:ascii="Calibri" w:eastAsia="Calibri" w:hAnsi="Calibri" w:cs="Calibri"/>
          <w:color w:val="000000" w:themeColor="text1"/>
        </w:rPr>
        <w:t xml:space="preserve">new hire where start date is within 21 days, </w:t>
      </w:r>
      <w:r w:rsidRPr="79EA0F71">
        <w:rPr>
          <w:rFonts w:eastAsiaTheme="minorEastAsia"/>
        </w:rPr>
        <w:t xml:space="preserve">or part of union hiring hall. Eligible claimants are </w:t>
      </w:r>
      <w:r w:rsidR="00783095">
        <w:rPr>
          <w:rFonts w:eastAsiaTheme="minorEastAsia"/>
        </w:rPr>
        <w:t>rated</w:t>
      </w:r>
      <w:r w:rsidRPr="79EA0F71">
        <w:rPr>
          <w:rFonts w:eastAsiaTheme="minorEastAsia"/>
        </w:rPr>
        <w:t xml:space="preserve"> </w:t>
      </w:r>
      <w:r w:rsidR="00783095">
        <w:rPr>
          <w:rFonts w:eastAsiaTheme="minorEastAsia"/>
        </w:rPr>
        <w:t>for</w:t>
      </w:r>
      <w:r w:rsidRPr="79EA0F71">
        <w:rPr>
          <w:rFonts w:eastAsiaTheme="minorEastAsia"/>
        </w:rPr>
        <w:t xml:space="preserve"> likelihood to exhaust UI benefits</w:t>
      </w:r>
      <w:r w:rsidR="00783095">
        <w:rPr>
          <w:rFonts w:eastAsiaTheme="minorEastAsia"/>
        </w:rPr>
        <w:t>, as determined by</w:t>
      </w:r>
      <w:r w:rsidRPr="79EA0F71">
        <w:rPr>
          <w:rFonts w:eastAsiaTheme="minorEastAsia"/>
        </w:rPr>
        <w:t xml:space="preserve"> a profiling model </w:t>
      </w:r>
      <w:r w:rsidR="00783095">
        <w:rPr>
          <w:rFonts w:eastAsiaTheme="minorEastAsia"/>
        </w:rPr>
        <w:t>incorporating</w:t>
      </w:r>
      <w:r w:rsidRPr="79EA0F71">
        <w:rPr>
          <w:rFonts w:eastAsiaTheme="minorEastAsia"/>
        </w:rPr>
        <w:t xml:space="preserve"> more than a dozen variables </w:t>
      </w:r>
      <w:r w:rsidR="00783095">
        <w:rPr>
          <w:rFonts w:eastAsiaTheme="minorEastAsia"/>
        </w:rPr>
        <w:t>on</w:t>
      </w:r>
      <w:r w:rsidRPr="79EA0F71">
        <w:rPr>
          <w:rFonts w:eastAsiaTheme="minorEastAsia"/>
        </w:rPr>
        <w:t xml:space="preserve"> claimant and occupational characteristics (e.g., number of employers in claimant’s recent employment history, prior claims that UI benefits were exhausted, UI payment amount, and industry of separating employer). UI claimants with a high profiling score receive priority for RESEA. This is consistent with Section 303(j) of the SSA </w:t>
      </w:r>
      <w:r w:rsidR="00AA7515">
        <w:rPr>
          <w:rFonts w:eastAsiaTheme="minorEastAsia"/>
        </w:rPr>
        <w:t xml:space="preserve">(1935/2018) </w:t>
      </w:r>
      <w:r w:rsidRPr="79EA0F71">
        <w:rPr>
          <w:rFonts w:eastAsiaTheme="minorEastAsia"/>
        </w:rPr>
        <w:t xml:space="preserve">that requires use of a profiling model to identify claimants who are most likely to exhaust benefits, and that reemployment services be provided for such individuals. </w:t>
      </w:r>
    </w:p>
    <w:p w14:paraId="6E948919" w14:textId="77777777" w:rsidR="00505BCB" w:rsidRPr="00C55523" w:rsidRDefault="00505BCB" w:rsidP="00505BCB">
      <w:pPr>
        <w:spacing w:after="0" w:line="240" w:lineRule="auto"/>
        <w:rPr>
          <w:rFonts w:eastAsiaTheme="minorEastAsia" w:cstheme="minorHAnsi"/>
        </w:rPr>
      </w:pPr>
    </w:p>
    <w:p w14:paraId="535C68B6" w14:textId="5E8B9559" w:rsidR="00505BCB" w:rsidRDefault="2109830A" w:rsidP="6F6D48E1">
      <w:pPr>
        <w:spacing w:after="0" w:line="240" w:lineRule="auto"/>
        <w:rPr>
          <w:rFonts w:eastAsiaTheme="minorEastAsia"/>
        </w:rPr>
      </w:pPr>
      <w:r w:rsidRPr="2109830A">
        <w:rPr>
          <w:rFonts w:eastAsiaTheme="minorEastAsia"/>
        </w:rPr>
        <w:t xml:space="preserve">Following selection for RESEA, DWS UI notifies claimants of their required participation in RESEA via their preferred communication medium (i.e., E-mail, postal service mail). The notification letter describes the mandatory requirement to complete an ER and </w:t>
      </w:r>
      <w:r w:rsidR="00783095">
        <w:rPr>
          <w:rFonts w:eastAsiaTheme="minorEastAsia"/>
        </w:rPr>
        <w:t>to</w:t>
      </w:r>
      <w:r w:rsidRPr="2109830A">
        <w:rPr>
          <w:rFonts w:eastAsiaTheme="minorEastAsia"/>
        </w:rPr>
        <w:t xml:space="preserve"> schedule and participate in the RESEA meeting, and notes that failure to complete these requirements may result in denial of UI benefits. These tasks are listed on </w:t>
      </w:r>
      <w:r w:rsidR="00783095">
        <w:rPr>
          <w:rFonts w:eastAsiaTheme="minorEastAsia"/>
        </w:rPr>
        <w:t>the</w:t>
      </w:r>
      <w:r w:rsidRPr="2109830A">
        <w:rPr>
          <w:rFonts w:eastAsiaTheme="minorEastAsia"/>
        </w:rPr>
        <w:t xml:space="preserve"> To Do List of </w:t>
      </w:r>
      <w:r w:rsidR="00783095">
        <w:rPr>
          <w:rFonts w:eastAsiaTheme="minorEastAsia"/>
        </w:rPr>
        <w:t>claimants’</w:t>
      </w:r>
      <w:r w:rsidRPr="2109830A">
        <w:rPr>
          <w:rFonts w:eastAsiaTheme="minorEastAsia"/>
        </w:rPr>
        <w:t xml:space="preserve"> UI online account through the state jobs.utah.gov webpage, and claimants receive automated E-mail reminders to complete the tasks. Claimants must schedule the RESEA appointment within ten business days of notification. Upon completing the ER, claimants can schedule the RESEA appointment online, and, if opting out of scheduling, must acknowledge that their UI benefits may be denied if not scheduling within the allotted time. The scheduling process is flexible and can also be completed via chat or over the phone. When scheduling the appointment, only the three soonest appointments are shown, and the claimant has to call to schedule an appointment if more than three weeks in the future. DWS UI staff may call claimants who schedule an appointment further than one week from the scheduling date if sooner appointments are available. Notably, the use of virtual RESEA meetings may simplify the process of scheduling and attending as claimants are not required to travel to an employment center. Accommodations are provided for individuals without the technological capability to participate in a virtual meeting (e.g., in-person and telephone appointments are permitted). </w:t>
      </w:r>
    </w:p>
    <w:p w14:paraId="3163F74C" w14:textId="1272B297" w:rsidR="00505BCB" w:rsidRPr="00C55523" w:rsidRDefault="2177D379" w:rsidP="68E03447">
      <w:pPr>
        <w:spacing w:after="0" w:line="240" w:lineRule="auto"/>
        <w:rPr>
          <w:rFonts w:eastAsiaTheme="minorEastAsia"/>
        </w:rPr>
      </w:pPr>
      <w:r w:rsidRPr="2177D379">
        <w:rPr>
          <w:rFonts w:eastAsiaTheme="minorEastAsia"/>
        </w:rPr>
        <w:lastRenderedPageBreak/>
        <w:t xml:space="preserve">The mandatory ER includes an assessment of recent job </w:t>
      </w:r>
      <w:r w:rsidR="00DF02D5">
        <w:rPr>
          <w:rFonts w:eastAsiaTheme="minorEastAsia"/>
        </w:rPr>
        <w:t>search</w:t>
      </w:r>
      <w:r w:rsidRPr="2177D379">
        <w:rPr>
          <w:rFonts w:eastAsiaTheme="minorEastAsia"/>
        </w:rPr>
        <w:t xml:space="preserve"> </w:t>
      </w:r>
      <w:r w:rsidR="001161F0">
        <w:rPr>
          <w:rFonts w:eastAsiaTheme="minorEastAsia"/>
        </w:rPr>
        <w:t>activities</w:t>
      </w:r>
      <w:r w:rsidRPr="2177D379">
        <w:rPr>
          <w:rFonts w:eastAsiaTheme="minorEastAsia"/>
        </w:rPr>
        <w:t xml:space="preserve"> and continued eligibility for UI. As a check on continuing eligibility, </w:t>
      </w:r>
      <w:r w:rsidR="001161F0">
        <w:rPr>
          <w:rFonts w:eastAsiaTheme="minorEastAsia"/>
        </w:rPr>
        <w:t xml:space="preserve">the ER </w:t>
      </w:r>
      <w:r w:rsidRPr="2177D379">
        <w:rPr>
          <w:rFonts w:eastAsiaTheme="minorEastAsia"/>
        </w:rPr>
        <w:t xml:space="preserve">is expected </w:t>
      </w:r>
      <w:r w:rsidR="00DF02D5">
        <w:rPr>
          <w:rFonts w:eastAsiaTheme="minorEastAsia"/>
        </w:rPr>
        <w:t>to</w:t>
      </w:r>
      <w:r w:rsidRPr="2177D379">
        <w:rPr>
          <w:rFonts w:eastAsiaTheme="minorEastAsia"/>
        </w:rPr>
        <w:t xml:space="preserve"> increase</w:t>
      </w:r>
      <w:r w:rsidR="00DF02D5">
        <w:rPr>
          <w:rFonts w:eastAsiaTheme="minorEastAsia"/>
        </w:rPr>
        <w:t xml:space="preserve"> the</w:t>
      </w:r>
      <w:r w:rsidRPr="2177D379">
        <w:rPr>
          <w:rFonts w:eastAsiaTheme="minorEastAsia"/>
        </w:rPr>
        <w:t xml:space="preserve"> disqualification rate among claimants selected for RESEA than would otherwise be the case absent the ER. However, few eligibility issues are identified during the ER and RESEA meeting, affecting approximately 2-4% of claimants. In contrast, nearly one-quarter of claimants do not attend the RESEA meeting, such that the requirement to participate results in much higher </w:t>
      </w:r>
      <w:r w:rsidR="00593DCC">
        <w:rPr>
          <w:rFonts w:eastAsiaTheme="minorEastAsia"/>
        </w:rPr>
        <w:t xml:space="preserve">denial </w:t>
      </w:r>
      <w:r w:rsidRPr="2177D379">
        <w:rPr>
          <w:rFonts w:eastAsiaTheme="minorEastAsia"/>
        </w:rPr>
        <w:t xml:space="preserve">rates of UI benefits. For appointments when a claimant does not attend punctually, counselors call five minutes after the start time and send an email after another five minutes notifying claimants of the missed appointment and need to reschedule. Claimants can reschedule a RESEA appointment, but </w:t>
      </w:r>
      <w:r w:rsidR="00DF02D5">
        <w:rPr>
          <w:rFonts w:eastAsiaTheme="minorEastAsia"/>
        </w:rPr>
        <w:t>an eligibility issue will be created until claimants attend the meeting</w:t>
      </w:r>
      <w:r w:rsidRPr="2177D379">
        <w:rPr>
          <w:rFonts w:eastAsiaTheme="minorEastAsia"/>
        </w:rPr>
        <w:t xml:space="preserve">. Eligibility issues due to failure-to-schedule or failure-to-attend </w:t>
      </w:r>
      <w:r w:rsidR="00DF02D5">
        <w:rPr>
          <w:rFonts w:eastAsiaTheme="minorEastAsia"/>
        </w:rPr>
        <w:t>ar</w:t>
      </w:r>
      <w:r w:rsidRPr="2177D379">
        <w:rPr>
          <w:rFonts w:eastAsiaTheme="minorEastAsia"/>
        </w:rPr>
        <w:t xml:space="preserve">e referred for adjudication and </w:t>
      </w:r>
      <w:r w:rsidR="00593DCC">
        <w:rPr>
          <w:rFonts w:eastAsiaTheme="minorEastAsia"/>
        </w:rPr>
        <w:t>result in temporary</w:t>
      </w:r>
      <w:r w:rsidRPr="2177D379">
        <w:rPr>
          <w:rFonts w:eastAsiaTheme="minorEastAsia"/>
        </w:rPr>
        <w:t xml:space="preserve"> disqualification if </w:t>
      </w:r>
      <w:r w:rsidR="00593DCC">
        <w:rPr>
          <w:rFonts w:eastAsiaTheme="minorEastAsia"/>
        </w:rPr>
        <w:t xml:space="preserve">not </w:t>
      </w:r>
      <w:r w:rsidRPr="2177D379">
        <w:rPr>
          <w:rFonts w:eastAsiaTheme="minorEastAsia"/>
        </w:rPr>
        <w:t>judged as ‘good cause.’ An increased</w:t>
      </w:r>
      <w:r w:rsidR="00D70DA1">
        <w:rPr>
          <w:rFonts w:eastAsiaTheme="minorEastAsia"/>
        </w:rPr>
        <w:t xml:space="preserve"> denial</w:t>
      </w:r>
      <w:r w:rsidRPr="2177D379">
        <w:rPr>
          <w:rFonts w:eastAsiaTheme="minorEastAsia"/>
        </w:rPr>
        <w:t xml:space="preserve"> rate o</w:t>
      </w:r>
      <w:r w:rsidR="00593DCC">
        <w:rPr>
          <w:rFonts w:eastAsiaTheme="minorEastAsia"/>
        </w:rPr>
        <w:t>f</w:t>
      </w:r>
      <w:r w:rsidRPr="2177D379">
        <w:rPr>
          <w:rFonts w:eastAsiaTheme="minorEastAsia"/>
        </w:rPr>
        <w:t xml:space="preserve"> UI benefits, even if some eligibility issues are only temporary, result</w:t>
      </w:r>
      <w:r w:rsidR="00593DCC">
        <w:rPr>
          <w:rFonts w:eastAsiaTheme="minorEastAsia"/>
        </w:rPr>
        <w:t>s</w:t>
      </w:r>
      <w:r w:rsidRPr="2177D379">
        <w:rPr>
          <w:rFonts w:eastAsiaTheme="minorEastAsia"/>
        </w:rPr>
        <w:t xml:space="preserve"> in fewer</w:t>
      </w:r>
      <w:r w:rsidR="00593DCC">
        <w:rPr>
          <w:rFonts w:eastAsiaTheme="minorEastAsia"/>
        </w:rPr>
        <w:t xml:space="preserve"> total</w:t>
      </w:r>
      <w:r w:rsidRPr="2177D379">
        <w:rPr>
          <w:rFonts w:eastAsiaTheme="minorEastAsia"/>
        </w:rPr>
        <w:t xml:space="preserve"> UI payments for DWS and thus cost savings to the UI program. Therefore, the required ER aligns with the second purpose of RESEA described above—to strengthen the UI program integrity by reducing improper payments—but the majority of avoided payments stem from non-participation in RESEA, </w:t>
      </w:r>
      <w:r w:rsidRPr="003E5929">
        <w:rPr>
          <w:rFonts w:eastAsiaTheme="minorEastAsia"/>
        </w:rPr>
        <w:t>such that the appropriateness of these avoided payments, at least based on UI eligibility, is unknown.</w:t>
      </w:r>
      <w:r w:rsidRPr="2177D379">
        <w:rPr>
          <w:rFonts w:eastAsiaTheme="minorEastAsia"/>
        </w:rPr>
        <w:t xml:space="preserve"> </w:t>
      </w:r>
    </w:p>
    <w:p w14:paraId="6312F84C" w14:textId="77777777" w:rsidR="00505BCB" w:rsidRPr="00C55523" w:rsidRDefault="00505BCB" w:rsidP="00505BCB">
      <w:pPr>
        <w:spacing w:after="0" w:line="240" w:lineRule="auto"/>
        <w:rPr>
          <w:rFonts w:eastAsiaTheme="minorEastAsia" w:cstheme="minorHAnsi"/>
        </w:rPr>
      </w:pPr>
    </w:p>
    <w:p w14:paraId="69CC65B5" w14:textId="590C861C" w:rsidR="00505BCB" w:rsidRPr="00C55523" w:rsidRDefault="00505BCB" w:rsidP="00505BCB">
      <w:pPr>
        <w:spacing w:after="0" w:line="240" w:lineRule="auto"/>
        <w:rPr>
          <w:rFonts w:cstheme="minorHAnsi"/>
        </w:rPr>
      </w:pPr>
      <w:r w:rsidRPr="00C55523">
        <w:rPr>
          <w:rFonts w:eastAsiaTheme="minorEastAsia" w:cstheme="minorHAnsi"/>
        </w:rPr>
        <w:t xml:space="preserve">Upon scheduling the RESEA appointment, DWS UI sends claimants information </w:t>
      </w:r>
      <w:r w:rsidR="000272E0">
        <w:rPr>
          <w:rFonts w:eastAsiaTheme="minorEastAsia" w:cstheme="minorHAnsi"/>
        </w:rPr>
        <w:t>on how to participate in</w:t>
      </w:r>
      <w:r w:rsidR="00593DCC">
        <w:rPr>
          <w:rFonts w:eastAsiaTheme="minorEastAsia" w:cstheme="minorHAnsi"/>
        </w:rPr>
        <w:t xml:space="preserve"> the </w:t>
      </w:r>
      <w:r w:rsidR="00593DCC" w:rsidRPr="00C55523">
        <w:rPr>
          <w:rFonts w:eastAsiaTheme="minorEastAsia" w:cstheme="minorHAnsi"/>
        </w:rPr>
        <w:t xml:space="preserve">appointment </w:t>
      </w:r>
      <w:r w:rsidRPr="00C55523">
        <w:rPr>
          <w:rFonts w:eastAsiaTheme="minorEastAsia" w:cstheme="minorHAnsi"/>
        </w:rPr>
        <w:t xml:space="preserve">and requests that </w:t>
      </w:r>
      <w:r w:rsidR="00F70B45">
        <w:rPr>
          <w:rFonts w:eastAsiaTheme="minorEastAsia" w:cstheme="minorHAnsi"/>
        </w:rPr>
        <w:t>claimants</w:t>
      </w:r>
      <w:r w:rsidRPr="00C55523">
        <w:rPr>
          <w:rFonts w:eastAsiaTheme="minorEastAsia" w:cstheme="minorHAnsi"/>
        </w:rPr>
        <w:t xml:space="preserve"> send in a recent resume. </w:t>
      </w:r>
      <w:r w:rsidR="00D70DA1">
        <w:rPr>
          <w:rFonts w:eastAsiaTheme="minorEastAsia" w:cstheme="minorHAnsi"/>
        </w:rPr>
        <w:t>To prepare</w:t>
      </w:r>
      <w:r w:rsidR="000272E0" w:rsidRPr="00C55523">
        <w:rPr>
          <w:rFonts w:eastAsiaTheme="minorEastAsia" w:cstheme="minorHAnsi"/>
        </w:rPr>
        <w:t xml:space="preserve"> </w:t>
      </w:r>
      <w:r w:rsidR="000272E0">
        <w:rPr>
          <w:rFonts w:eastAsiaTheme="minorEastAsia" w:cstheme="minorHAnsi"/>
        </w:rPr>
        <w:t>for</w:t>
      </w:r>
      <w:r w:rsidRPr="00C55523">
        <w:rPr>
          <w:rFonts w:eastAsiaTheme="minorEastAsia" w:cstheme="minorHAnsi"/>
        </w:rPr>
        <w:t xml:space="preserve"> the meeting, the employment counselor reviews the claimant’s ER, prior claims, and resume. During the meeting, the counselor delivers reemployment services tailored to claimant needs. Services include</w:t>
      </w:r>
      <w:r w:rsidR="00AE54ED">
        <w:rPr>
          <w:rFonts w:eastAsiaTheme="minorEastAsia" w:cstheme="minorHAnsi"/>
        </w:rPr>
        <w:t xml:space="preserve"> presenting</w:t>
      </w:r>
      <w:r w:rsidRPr="00C55523">
        <w:rPr>
          <w:rFonts w:eastAsiaTheme="minorEastAsia" w:cstheme="minorHAnsi"/>
        </w:rPr>
        <w:t xml:space="preserve"> the Smart Start Guide and other informational resources, </w:t>
      </w:r>
      <w:r w:rsidR="00713113">
        <w:rPr>
          <w:rFonts w:eastAsiaTheme="minorEastAsia" w:cstheme="minorHAnsi"/>
        </w:rPr>
        <w:t>discussing</w:t>
      </w:r>
      <w:r w:rsidRPr="00C55523">
        <w:rPr>
          <w:rFonts w:eastAsiaTheme="minorEastAsia" w:cstheme="minorHAnsi"/>
        </w:rPr>
        <w:t xml:space="preserve"> job search strategies and register</w:t>
      </w:r>
      <w:r w:rsidR="00AE54ED">
        <w:rPr>
          <w:rFonts w:eastAsiaTheme="minorEastAsia" w:cstheme="minorHAnsi"/>
        </w:rPr>
        <w:t>ing</w:t>
      </w:r>
      <w:r w:rsidRPr="00C55523">
        <w:rPr>
          <w:rFonts w:eastAsiaTheme="minorEastAsia" w:cstheme="minorHAnsi"/>
        </w:rPr>
        <w:t xml:space="preserve"> the claimant with the </w:t>
      </w:r>
      <w:r w:rsidR="003F7B8B">
        <w:rPr>
          <w:rFonts w:eastAsiaTheme="minorEastAsia" w:cstheme="minorHAnsi"/>
        </w:rPr>
        <w:t xml:space="preserve">Utah </w:t>
      </w:r>
      <w:r w:rsidRPr="00C55523">
        <w:rPr>
          <w:rFonts w:eastAsiaTheme="minorEastAsia" w:cstheme="minorHAnsi"/>
        </w:rPr>
        <w:t xml:space="preserve">job search </w:t>
      </w:r>
      <w:r w:rsidR="003F7B8B">
        <w:rPr>
          <w:rFonts w:eastAsiaTheme="minorEastAsia" w:cstheme="minorHAnsi"/>
        </w:rPr>
        <w:t>webpage (partially funded through Wagner-</w:t>
      </w:r>
      <w:proofErr w:type="spellStart"/>
      <w:r w:rsidR="003F7B8B">
        <w:rPr>
          <w:rFonts w:eastAsiaTheme="minorEastAsia" w:cstheme="minorHAnsi"/>
        </w:rPr>
        <w:t>Peyser</w:t>
      </w:r>
      <w:proofErr w:type="spellEnd"/>
      <w:r w:rsidR="003F7B8B">
        <w:rPr>
          <w:rFonts w:eastAsiaTheme="minorEastAsia" w:cstheme="minorHAnsi"/>
        </w:rPr>
        <w:t xml:space="preserve"> grants)</w:t>
      </w:r>
      <w:r w:rsidRPr="00C55523">
        <w:rPr>
          <w:rFonts w:eastAsiaTheme="minorEastAsia" w:cstheme="minorHAnsi"/>
        </w:rPr>
        <w:t xml:space="preserve">, reviewing best practices for resumes and interviewing, teaching how to use Labor Market Information to conduct a demand-driven job search, and developing an employment plan. The individualized employment plan is a step-by-step plan establishing realistic goals to </w:t>
      </w:r>
      <w:r w:rsidR="000272E0">
        <w:rPr>
          <w:rFonts w:eastAsiaTheme="minorEastAsia" w:cstheme="minorHAnsi"/>
        </w:rPr>
        <w:t>assist with re</w:t>
      </w:r>
      <w:r w:rsidRPr="00C55523">
        <w:rPr>
          <w:rFonts w:eastAsiaTheme="minorEastAsia" w:cstheme="minorHAnsi"/>
        </w:rPr>
        <w:t>employment. Employment counselors provide information about reemployment services offered at employment centers</w:t>
      </w:r>
      <w:r w:rsidR="000272E0">
        <w:rPr>
          <w:rFonts w:eastAsiaTheme="minorEastAsia" w:cstheme="minorHAnsi"/>
        </w:rPr>
        <w:t>, also known as American Job Centers</w:t>
      </w:r>
      <w:r w:rsidRPr="00C55523">
        <w:rPr>
          <w:rFonts w:eastAsiaTheme="minorEastAsia" w:cstheme="minorHAnsi"/>
        </w:rPr>
        <w:t>, and can refer claimants to specific workshops based on individual needs; attendance at such workshops can be mandated</w:t>
      </w:r>
      <w:r w:rsidR="00AE54ED">
        <w:rPr>
          <w:rFonts w:eastAsiaTheme="minorEastAsia" w:cstheme="minorHAnsi"/>
        </w:rPr>
        <w:t xml:space="preserve"> by counselors but this is not required</w:t>
      </w:r>
      <w:r w:rsidRPr="00C55523">
        <w:rPr>
          <w:rFonts w:eastAsiaTheme="minorEastAsia" w:cstheme="minorHAnsi"/>
        </w:rPr>
        <w:t>.</w:t>
      </w:r>
      <w:r w:rsidRPr="00C55523">
        <w:rPr>
          <w:rFonts w:cstheme="minorHAnsi"/>
        </w:rPr>
        <w:t xml:space="preserve"> Employment counselors may provide </w:t>
      </w:r>
      <w:r w:rsidR="000272E0">
        <w:rPr>
          <w:rFonts w:cstheme="minorHAnsi"/>
        </w:rPr>
        <w:t xml:space="preserve">information on </w:t>
      </w:r>
      <w:r w:rsidRPr="00C55523">
        <w:rPr>
          <w:rFonts w:cstheme="minorHAnsi"/>
        </w:rPr>
        <w:t xml:space="preserve">specialized services </w:t>
      </w:r>
      <w:r w:rsidR="00CC390C">
        <w:rPr>
          <w:rFonts w:cstheme="minorHAnsi"/>
        </w:rPr>
        <w:t xml:space="preserve">available </w:t>
      </w:r>
      <w:r w:rsidRPr="00C55523">
        <w:rPr>
          <w:rFonts w:cstheme="minorHAnsi"/>
        </w:rPr>
        <w:t xml:space="preserve">to claimants based on individual eligibility (e.g., Federal Bonding Program, Disabled Veterans Outreach Program, Vocational Rehabilitation workshops). RESEA meetings typically last for up to 45 minutes, with an additional 15 minutes post-meeting for counselors to complete the employment plan and upload their notes. </w:t>
      </w:r>
    </w:p>
    <w:p w14:paraId="6166B262" w14:textId="77777777" w:rsidR="00505BCB" w:rsidRPr="00C55523" w:rsidRDefault="00505BCB" w:rsidP="00505BCB">
      <w:pPr>
        <w:spacing w:after="0" w:line="240" w:lineRule="auto"/>
        <w:rPr>
          <w:rFonts w:eastAsiaTheme="minorEastAsia" w:cstheme="minorHAnsi"/>
        </w:rPr>
      </w:pPr>
    </w:p>
    <w:p w14:paraId="66333C6C" w14:textId="6CD6F722" w:rsidR="006F28C0" w:rsidRPr="001168AA" w:rsidRDefault="00505BCB" w:rsidP="000F21A1">
      <w:pPr>
        <w:spacing w:after="0" w:line="240" w:lineRule="auto"/>
        <w:rPr>
          <w:rFonts w:eastAsiaTheme="minorEastAsia" w:cstheme="minorHAnsi"/>
        </w:rPr>
        <w:sectPr w:rsidR="006F28C0" w:rsidRPr="001168AA" w:rsidSect="002C284D">
          <w:footerReference w:type="default" r:id="rId8"/>
          <w:headerReference w:type="first" r:id="rId9"/>
          <w:pgSz w:w="12240" w:h="15840"/>
          <w:pgMar w:top="1440" w:right="1440" w:bottom="1440" w:left="1440" w:header="720" w:footer="720" w:gutter="0"/>
          <w:cols w:space="720"/>
          <w:titlePg/>
          <w:docGrid w:linePitch="360"/>
        </w:sectPr>
      </w:pPr>
      <w:r w:rsidRPr="00C55523">
        <w:rPr>
          <w:rFonts w:eastAsiaTheme="minorEastAsia" w:cstheme="minorHAnsi"/>
        </w:rPr>
        <w:t xml:space="preserve">As a result of </w:t>
      </w:r>
      <w:r w:rsidR="00B63A4D">
        <w:rPr>
          <w:rFonts w:eastAsiaTheme="minorEastAsia" w:cstheme="minorHAnsi"/>
        </w:rPr>
        <w:t xml:space="preserve">the added </w:t>
      </w:r>
      <w:r w:rsidRPr="00C55523">
        <w:rPr>
          <w:rFonts w:eastAsiaTheme="minorEastAsia" w:cstheme="minorHAnsi"/>
        </w:rPr>
        <w:t>eligibility and participation requirements a</w:t>
      </w:r>
      <w:r w:rsidR="00B63A4D">
        <w:rPr>
          <w:rFonts w:eastAsiaTheme="minorEastAsia" w:cstheme="minorHAnsi"/>
        </w:rPr>
        <w:t>nd</w:t>
      </w:r>
      <w:r w:rsidRPr="00C55523">
        <w:rPr>
          <w:rFonts w:eastAsiaTheme="minorEastAsia" w:cstheme="minorHAnsi"/>
        </w:rPr>
        <w:t xml:space="preserve"> the reemployment assistance, assignment to the RESEA program </w:t>
      </w:r>
      <w:r w:rsidR="00224F28">
        <w:rPr>
          <w:rFonts w:eastAsiaTheme="minorEastAsia" w:cstheme="minorHAnsi"/>
        </w:rPr>
        <w:t xml:space="preserve">is expected to </w:t>
      </w:r>
      <w:r w:rsidRPr="00C55523">
        <w:rPr>
          <w:rFonts w:eastAsiaTheme="minorEastAsia" w:cstheme="minorHAnsi"/>
        </w:rPr>
        <w:t xml:space="preserve">reduce duration of UI benefits and increase </w:t>
      </w:r>
      <w:r w:rsidR="00224F28">
        <w:rPr>
          <w:rFonts w:eastAsiaTheme="minorEastAsia" w:cstheme="minorHAnsi"/>
        </w:rPr>
        <w:t xml:space="preserve">the </w:t>
      </w:r>
      <w:r w:rsidRPr="00C55523">
        <w:rPr>
          <w:rFonts w:eastAsiaTheme="minorEastAsia" w:cstheme="minorHAnsi"/>
        </w:rPr>
        <w:t xml:space="preserve">likelihood of employment for claimants relative to </w:t>
      </w:r>
      <w:r w:rsidR="00B63A4D">
        <w:rPr>
          <w:rFonts w:eastAsiaTheme="minorEastAsia" w:cstheme="minorHAnsi"/>
        </w:rPr>
        <w:t>participation in only the UI program</w:t>
      </w:r>
      <w:r w:rsidRPr="00C55523">
        <w:rPr>
          <w:rFonts w:eastAsiaTheme="minorEastAsia" w:cstheme="minorHAnsi"/>
        </w:rPr>
        <w:t xml:space="preserve">. Part of the reduced UI duration likely stems from disqualification due to </w:t>
      </w:r>
      <w:r w:rsidR="00B63A4D">
        <w:rPr>
          <w:rFonts w:eastAsiaTheme="minorEastAsia" w:cstheme="minorHAnsi"/>
        </w:rPr>
        <w:t>failure to participate</w:t>
      </w:r>
      <w:r w:rsidR="000272E0">
        <w:rPr>
          <w:rFonts w:eastAsiaTheme="minorEastAsia" w:cstheme="minorHAnsi"/>
        </w:rPr>
        <w:t xml:space="preserve"> in RESEA</w:t>
      </w:r>
      <w:r w:rsidRPr="00C55523">
        <w:rPr>
          <w:rFonts w:eastAsiaTheme="minorEastAsia" w:cstheme="minorHAnsi"/>
        </w:rPr>
        <w:t xml:space="preserve"> and to a lesser degree from identification of eligibility issues. Notably, th</w:t>
      </w:r>
      <w:r w:rsidR="00B63A4D">
        <w:rPr>
          <w:rFonts w:eastAsiaTheme="minorEastAsia" w:cstheme="minorHAnsi"/>
        </w:rPr>
        <w:t>e</w:t>
      </w:r>
      <w:r w:rsidRPr="00C55523">
        <w:rPr>
          <w:rFonts w:eastAsiaTheme="minorEastAsia" w:cstheme="minorHAnsi"/>
        </w:rPr>
        <w:t xml:space="preserve"> increased disqualification risk for claimants may cause greater financial </w:t>
      </w:r>
      <w:r w:rsidR="00B63A4D">
        <w:rPr>
          <w:rFonts w:eastAsiaTheme="minorEastAsia" w:cstheme="minorHAnsi"/>
        </w:rPr>
        <w:t>strain</w:t>
      </w:r>
      <w:r w:rsidRPr="00C55523">
        <w:rPr>
          <w:rFonts w:eastAsiaTheme="minorEastAsia" w:cstheme="minorHAnsi"/>
        </w:rPr>
        <w:t xml:space="preserve"> for individuals who lose UI benefits. Such financial strains may be offset by referrals to other social services as provided by RESEA counselors during the one-on-one meeting; yet, the frequency of this outcome is likely rare given that disqualification typically arises from failure to participate in RESEA and thus claimants have no interactions with counselors. Loss of UI benefits is expected, on average, to increase the immediacy of securing reemployment, and thereby to encourage individuals to obtain reemployment more quickly—but the ensuing employment may be less desirable (e.g., lower wages) than if individuals completed a less urgent search. Thus, claimants who receive reemployment services and do not experience sustained disqualification also are expected to obtain higher wages as a result of securing </w:t>
      </w:r>
      <w:r w:rsidR="00B63A4D">
        <w:rPr>
          <w:rFonts w:eastAsiaTheme="minorEastAsia" w:cstheme="minorHAnsi"/>
        </w:rPr>
        <w:t xml:space="preserve">better </w:t>
      </w:r>
      <w:r w:rsidRPr="00C55523">
        <w:rPr>
          <w:rFonts w:eastAsiaTheme="minorEastAsia" w:cstheme="minorHAnsi"/>
        </w:rPr>
        <w:t xml:space="preserve">employment. </w:t>
      </w:r>
    </w:p>
    <w:p w14:paraId="0FAE4B81" w14:textId="52E9E5C6" w:rsidR="00D45773" w:rsidRDefault="00505BCB" w:rsidP="02DB5BD0">
      <w:pPr>
        <w:spacing w:after="0" w:line="240" w:lineRule="auto"/>
        <w:jc w:val="center"/>
        <w:rPr>
          <w:rFonts w:eastAsiaTheme="minorEastAsia"/>
        </w:rPr>
      </w:pPr>
      <w:r w:rsidRPr="00316E0D">
        <w:rPr>
          <w:rFonts w:eastAsiaTheme="minorEastAsia"/>
          <w:noProof/>
        </w:rPr>
        <w:lastRenderedPageBreak/>
        <w:drawing>
          <wp:inline distT="0" distB="0" distL="0" distR="0" wp14:anchorId="7220B904" wp14:editId="708EE578">
            <wp:extent cx="8229600" cy="48171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229600" cy="4817110"/>
                    </a:xfrm>
                    <a:prstGeom prst="rect">
                      <a:avLst/>
                    </a:prstGeom>
                  </pic:spPr>
                </pic:pic>
              </a:graphicData>
            </a:graphic>
          </wp:inline>
        </w:drawing>
      </w:r>
      <w:r w:rsidR="02DB5BD0" w:rsidRPr="02DB5BD0">
        <w:rPr>
          <w:rFonts w:eastAsiaTheme="minorEastAsia"/>
        </w:rPr>
        <w:t xml:space="preserve"> </w:t>
      </w:r>
    </w:p>
    <w:p w14:paraId="265BCFDD" w14:textId="20A4FB00" w:rsidR="00E92A2A" w:rsidRPr="00326CC9" w:rsidRDefault="00E92A2A" w:rsidP="00E92A2A">
      <w:pPr>
        <w:spacing w:before="120" w:after="0" w:line="240" w:lineRule="auto"/>
        <w:rPr>
          <w:rFonts w:eastAsiaTheme="minorEastAsia"/>
          <w:b/>
          <w:bCs/>
        </w:rPr>
      </w:pPr>
      <w:r w:rsidRPr="00326CC9">
        <w:rPr>
          <w:rFonts w:eastAsiaTheme="minorEastAsia"/>
          <w:b/>
          <w:bCs/>
        </w:rPr>
        <w:t>Figure</w:t>
      </w:r>
      <w:r w:rsidR="005A4C3C" w:rsidRPr="00326CC9">
        <w:rPr>
          <w:rFonts w:eastAsiaTheme="minorEastAsia"/>
          <w:b/>
          <w:bCs/>
        </w:rPr>
        <w:t xml:space="preserve"> 1</w:t>
      </w:r>
      <w:r w:rsidRPr="00326CC9">
        <w:rPr>
          <w:rFonts w:eastAsiaTheme="minorEastAsia"/>
          <w:b/>
          <w:bCs/>
        </w:rPr>
        <w:t xml:space="preserve">. Logic model for Utah Department of Workforce Services (DWS) Reemployment Services and Eligibility Assessment (RESEA) Program. </w:t>
      </w:r>
    </w:p>
    <w:p w14:paraId="1F126B0B" w14:textId="47489C70" w:rsidR="00493802" w:rsidRDefault="00E92A2A" w:rsidP="00052630">
      <w:pPr>
        <w:spacing w:after="0" w:line="240" w:lineRule="auto"/>
        <w:rPr>
          <w:rFonts w:eastAsiaTheme="minorEastAsia"/>
          <w:bCs/>
        </w:rPr>
      </w:pPr>
      <w:bookmarkStart w:id="0" w:name="_Hlk138285648"/>
      <w:r w:rsidRPr="00D108C0">
        <w:rPr>
          <w:rFonts w:eastAsiaTheme="minorEastAsia"/>
          <w:bCs/>
        </w:rPr>
        <w:t>The logic model depicts how RESEA program components are expected to reduce the duration of UI benefits and improve employment outcomes for claimants and thus lower UI costs to DWS. Two hypothesized pathways are illustrated: mixed employment outcomes for claimants who are disqualified for UI benefits, at least for a few weeks (in yellow); and improved employment outcomes for claimants who participate in the RESEA appointment and do not experience sustained disqualification (in green). Contextual factors with potential to influence program impact are shown at the bottom</w:t>
      </w:r>
      <w:r>
        <w:rPr>
          <w:rFonts w:eastAsiaTheme="minorEastAsia"/>
          <w:bCs/>
        </w:rPr>
        <w:t xml:space="preserve">. </w:t>
      </w:r>
    </w:p>
    <w:bookmarkEnd w:id="0"/>
    <w:p w14:paraId="2819524E" w14:textId="3B647544" w:rsidR="00493802" w:rsidRPr="002C18B8" w:rsidRDefault="00493802" w:rsidP="00D45773">
      <w:pPr>
        <w:spacing w:after="0" w:line="240" w:lineRule="auto"/>
        <w:rPr>
          <w:rFonts w:eastAsiaTheme="minorEastAsia"/>
          <w:bCs/>
        </w:rPr>
        <w:sectPr w:rsidR="00493802" w:rsidRPr="002C18B8" w:rsidSect="00052630">
          <w:pgSz w:w="15840" w:h="12240" w:orient="landscape"/>
          <w:pgMar w:top="1440" w:right="1440" w:bottom="1440" w:left="1440" w:header="720" w:footer="720" w:gutter="0"/>
          <w:cols w:space="720"/>
          <w:docGrid w:linePitch="360"/>
        </w:sectPr>
      </w:pPr>
    </w:p>
    <w:p w14:paraId="2502AFB2" w14:textId="24592ABD" w:rsidR="00CD6A7D" w:rsidRPr="003A3192" w:rsidRDefault="002F4957" w:rsidP="003A3192">
      <w:pPr>
        <w:pStyle w:val="Heading2"/>
        <w:rPr>
          <w:rFonts w:eastAsiaTheme="minorEastAsia"/>
          <w:shd w:val="clear" w:color="auto" w:fill="FFFFFF"/>
        </w:rPr>
      </w:pPr>
      <w:r>
        <w:rPr>
          <w:rFonts w:eastAsiaTheme="minorEastAsia"/>
          <w:shd w:val="clear" w:color="auto" w:fill="FFFFFF"/>
        </w:rPr>
        <w:lastRenderedPageBreak/>
        <w:t xml:space="preserve">1.2 </w:t>
      </w:r>
      <w:r w:rsidR="00A74AE7" w:rsidRPr="003A3192">
        <w:rPr>
          <w:rFonts w:eastAsiaTheme="minorEastAsia"/>
          <w:shd w:val="clear" w:color="auto" w:fill="FFFFFF"/>
        </w:rPr>
        <w:t xml:space="preserve">Literature Review and </w:t>
      </w:r>
      <w:r w:rsidR="3850AD2F" w:rsidRPr="003A3192">
        <w:rPr>
          <w:rFonts w:eastAsiaTheme="minorEastAsia"/>
        </w:rPr>
        <w:t>Evidence Base</w:t>
      </w:r>
    </w:p>
    <w:p w14:paraId="5163E504" w14:textId="4837A2CB" w:rsidR="17A36645" w:rsidRPr="00C55523" w:rsidRDefault="17A36645" w:rsidP="17A36645">
      <w:pPr>
        <w:spacing w:after="0" w:line="240" w:lineRule="auto"/>
        <w:rPr>
          <w:rFonts w:eastAsiaTheme="minorEastAsia"/>
          <w:b/>
          <w:bCs/>
          <w:highlight w:val="green"/>
        </w:rPr>
      </w:pPr>
    </w:p>
    <w:p w14:paraId="5D8268A0" w14:textId="0838BCE0" w:rsidR="00AE4305" w:rsidRDefault="75C175E3" w:rsidP="75C175E3">
      <w:pPr>
        <w:spacing w:after="0" w:line="257" w:lineRule="auto"/>
        <w:rPr>
          <w:rFonts w:eastAsiaTheme="minorEastAsia"/>
        </w:rPr>
      </w:pPr>
      <w:r w:rsidRPr="75C175E3">
        <w:rPr>
          <w:rFonts w:eastAsiaTheme="minorEastAsia"/>
        </w:rPr>
        <w:t xml:space="preserve">Multiple evaluations have been conducted to estimate the impact of the REA program on </w:t>
      </w:r>
      <w:r w:rsidR="00002606">
        <w:rPr>
          <w:rFonts w:eastAsiaTheme="minorEastAsia"/>
        </w:rPr>
        <w:t xml:space="preserve">claimant </w:t>
      </w:r>
      <w:r w:rsidRPr="75C175E3">
        <w:rPr>
          <w:rFonts w:eastAsiaTheme="minorEastAsia"/>
        </w:rPr>
        <w:t>UI and employment outcomes (</w:t>
      </w:r>
      <w:proofErr w:type="spellStart"/>
      <w:r w:rsidRPr="75C175E3">
        <w:rPr>
          <w:rFonts w:eastAsiaTheme="minorEastAsia"/>
        </w:rPr>
        <w:t>Benus</w:t>
      </w:r>
      <w:proofErr w:type="spellEnd"/>
      <w:r w:rsidRPr="75C175E3">
        <w:rPr>
          <w:rFonts w:eastAsiaTheme="minorEastAsia"/>
        </w:rPr>
        <w:t xml:space="preserve"> et al., 2008; </w:t>
      </w:r>
      <w:proofErr w:type="spellStart"/>
      <w:r w:rsidRPr="75C175E3">
        <w:rPr>
          <w:rFonts w:eastAsiaTheme="minorEastAsia"/>
        </w:rPr>
        <w:t>Klerman</w:t>
      </w:r>
      <w:proofErr w:type="spellEnd"/>
      <w:r w:rsidRPr="75C175E3">
        <w:rPr>
          <w:rFonts w:eastAsiaTheme="minorEastAsia"/>
        </w:rPr>
        <w:t xml:space="preserve"> et al., 2019; </w:t>
      </w:r>
      <w:proofErr w:type="spellStart"/>
      <w:r w:rsidRPr="75C175E3">
        <w:rPr>
          <w:rFonts w:eastAsiaTheme="minorEastAsia"/>
        </w:rPr>
        <w:t>Michaelides</w:t>
      </w:r>
      <w:proofErr w:type="spellEnd"/>
      <w:r w:rsidRPr="75C175E3">
        <w:rPr>
          <w:rFonts w:eastAsiaTheme="minorEastAsia"/>
        </w:rPr>
        <w:t xml:space="preserve"> et al., 2012; Poe-Yamagata et al., 2011). Tables 1 and 2 summarize their findings. </w:t>
      </w:r>
    </w:p>
    <w:p w14:paraId="392CE31C" w14:textId="77777777" w:rsidR="00AE4305" w:rsidRDefault="00AE4305" w:rsidP="61CA5F11">
      <w:pPr>
        <w:spacing w:after="0" w:line="257" w:lineRule="auto"/>
        <w:rPr>
          <w:rFonts w:eastAsiaTheme="minorEastAsia"/>
        </w:rPr>
      </w:pPr>
    </w:p>
    <w:p w14:paraId="7693AF68" w14:textId="6D11D886" w:rsidR="0C5E0F12" w:rsidRPr="00300CC5" w:rsidRDefault="61CA5F11" w:rsidP="61CA5F11">
      <w:pPr>
        <w:spacing w:after="0" w:line="257" w:lineRule="auto"/>
        <w:rPr>
          <w:rFonts w:eastAsiaTheme="minorEastAsia"/>
        </w:rPr>
      </w:pPr>
      <w:r w:rsidRPr="61CA5F11">
        <w:rPr>
          <w:rFonts w:eastAsiaTheme="minorEastAsia"/>
        </w:rPr>
        <w:t xml:space="preserve">Table 1 presents </w:t>
      </w:r>
      <w:r w:rsidR="00B16F9A">
        <w:rPr>
          <w:rFonts w:eastAsiaTheme="minorEastAsia"/>
        </w:rPr>
        <w:t>REA</w:t>
      </w:r>
      <w:r w:rsidRPr="61CA5F11">
        <w:rPr>
          <w:rFonts w:eastAsiaTheme="minorEastAsia"/>
        </w:rPr>
        <w:t xml:space="preserve"> impact estimates from ten </w:t>
      </w:r>
      <w:r w:rsidR="00B16F9A">
        <w:rPr>
          <w:rFonts w:eastAsiaTheme="minorEastAsia"/>
        </w:rPr>
        <w:t>states</w:t>
      </w:r>
      <w:r w:rsidRPr="61CA5F11">
        <w:rPr>
          <w:rFonts w:eastAsiaTheme="minorEastAsia"/>
        </w:rPr>
        <w:t xml:space="preserve"> and meta-analyzes these estimates. Estimates were obtained from multivariate regression analyses after controlling for relevant covariates. To estimate the overall effect size (labeled as Theta), the coefficients and standard errors are included in a random-effects meta-analysis using restricted maximum likelihood (REML). Results show that assignment to REA, on average, reduces the total UI benefits received and UI duration while improving claimant employment outcomes. Compared to the control group, claimants assigned to REA had a 4.0 percentage point lower probability of exhausting UI benefits, received approximately 1 fewer week of UI benefits, and received $186.27 less UI benefits. REA increased the probability of employment by 1.7</w:t>
      </w:r>
      <w:r w:rsidR="00B16F9A">
        <w:rPr>
          <w:rFonts w:eastAsiaTheme="minorEastAsia"/>
        </w:rPr>
        <w:t xml:space="preserve"> to </w:t>
      </w:r>
      <w:r w:rsidRPr="61CA5F11">
        <w:rPr>
          <w:rFonts w:eastAsiaTheme="minorEastAsia"/>
        </w:rPr>
        <w:t>2.7 percentage points and quarterly wages by $125.98</w:t>
      </w:r>
      <w:r w:rsidR="00B16F9A">
        <w:rPr>
          <w:rFonts w:eastAsiaTheme="minorEastAsia"/>
        </w:rPr>
        <w:t xml:space="preserve"> to </w:t>
      </w:r>
      <w:r w:rsidRPr="61CA5F11">
        <w:rPr>
          <w:rFonts w:eastAsiaTheme="minorEastAsia"/>
        </w:rPr>
        <w:t>$229.87, depending on the quarter in which these outcomes were measured. Estimates appear to be largest two quarters after the claimant initially filed for UI benefits.</w:t>
      </w:r>
    </w:p>
    <w:p w14:paraId="0D636905" w14:textId="77777777" w:rsidR="00C901F4" w:rsidRDefault="00C901F4" w:rsidP="34BACBAE">
      <w:pPr>
        <w:spacing w:after="0" w:line="240" w:lineRule="auto"/>
        <w:rPr>
          <w:rFonts w:eastAsiaTheme="minorEastAsia"/>
        </w:rPr>
      </w:pPr>
    </w:p>
    <w:p w14:paraId="321EE919" w14:textId="052FC01F" w:rsidR="00300CC5" w:rsidRDefault="77EA7770" w:rsidP="77EA7770">
      <w:pPr>
        <w:spacing w:after="0" w:line="257" w:lineRule="auto"/>
        <w:rPr>
          <w:rFonts w:eastAsiaTheme="minorEastAsia"/>
        </w:rPr>
      </w:pPr>
      <w:r w:rsidRPr="77EA7770">
        <w:rPr>
          <w:rFonts w:eastAsiaTheme="minorEastAsia"/>
        </w:rPr>
        <w:t>Table 2 presents standardized mean differences in outcomes between the REA and control groups, derived using the unadjusted means and standard deviations, and meta-analyzes these differences to estimate overall effect sizes. These standardized effect sizes are used for power analyses in a later section. Few studies provide</w:t>
      </w:r>
      <w:r w:rsidR="00D70DA1">
        <w:rPr>
          <w:rFonts w:eastAsiaTheme="minorEastAsia"/>
        </w:rPr>
        <w:t>d</w:t>
      </w:r>
      <w:r w:rsidRPr="77EA7770">
        <w:rPr>
          <w:rFonts w:eastAsiaTheme="minorEastAsia"/>
        </w:rPr>
        <w:t xml:space="preserve"> the standard deviations of means for the treatment and control group outcomes. </w:t>
      </w:r>
      <w:r w:rsidR="00D70DA1">
        <w:rPr>
          <w:rFonts w:eastAsiaTheme="minorEastAsia"/>
        </w:rPr>
        <w:t>As a result</w:t>
      </w:r>
      <w:r w:rsidRPr="77EA7770">
        <w:rPr>
          <w:rFonts w:eastAsiaTheme="minorEastAsia"/>
        </w:rPr>
        <w:t>, the overall effect size (Theta) for UI outcomes is calculated using four states (FL, ID, IL, NV), and for employment and wage outcomes using only two states (FL, NV). Thus, conclusions of the REA impact included here are less valid due to the limited number of included states relative to the meta-analysis using regression analyses above. Results indicate that REA reduces UI benefits and duration but may not significantly improve UI recipients’ employment outcomes. The overall standardized effect size of participating in REA is -0.131 for UI duration and -0.082 for UI benefits received, respectively. No significant differences in likelihood of employment and total wages per quarter were identified between REA treatment and control groups, but estimates were in the expected direction—between 0.08 to 0.11 for employment likelihood and 0.06 to 0.09 for wages.</w:t>
      </w:r>
    </w:p>
    <w:p w14:paraId="2A95B4A8" w14:textId="2948F575" w:rsidR="61CA5F11" w:rsidRDefault="61CA5F11" w:rsidP="61CA5F11">
      <w:pPr>
        <w:spacing w:after="0" w:line="240" w:lineRule="auto"/>
        <w:rPr>
          <w:rFonts w:ascii="Calibri" w:eastAsia="Calibri" w:hAnsi="Calibri" w:cs="Calibri"/>
          <w:color w:val="000000" w:themeColor="text1"/>
        </w:rPr>
      </w:pPr>
    </w:p>
    <w:p w14:paraId="66E1215F" w14:textId="679EFF78" w:rsidR="00F93D8E" w:rsidRDefault="5571048A" w:rsidP="00F93D8E">
      <w:pPr>
        <w:spacing w:after="0" w:line="240" w:lineRule="auto"/>
        <w:rPr>
          <w:rFonts w:ascii="Calibri" w:eastAsia="Calibri" w:hAnsi="Calibri" w:cs="Calibri"/>
          <w:color w:val="000000" w:themeColor="text1"/>
        </w:rPr>
      </w:pPr>
      <w:r w:rsidRPr="5571048A">
        <w:rPr>
          <w:rFonts w:ascii="Calibri" w:eastAsia="Calibri" w:hAnsi="Calibri" w:cs="Calibri"/>
          <w:color w:val="000000" w:themeColor="text1"/>
        </w:rPr>
        <w:t>Three</w:t>
      </w:r>
      <w:r w:rsidR="00237482">
        <w:rPr>
          <w:rFonts w:ascii="Calibri" w:eastAsia="Calibri" w:hAnsi="Calibri" w:cs="Calibri"/>
          <w:color w:val="000000" w:themeColor="text1"/>
        </w:rPr>
        <w:t xml:space="preserve"> distinct</w:t>
      </w:r>
      <w:r w:rsidRPr="5571048A">
        <w:rPr>
          <w:rFonts w:ascii="Calibri" w:eastAsia="Calibri" w:hAnsi="Calibri" w:cs="Calibri"/>
          <w:color w:val="000000" w:themeColor="text1"/>
        </w:rPr>
        <w:t xml:space="preserve"> pathways </w:t>
      </w:r>
      <w:r w:rsidR="00002606">
        <w:rPr>
          <w:rFonts w:ascii="Calibri" w:eastAsia="Calibri" w:hAnsi="Calibri" w:cs="Calibri"/>
          <w:color w:val="000000" w:themeColor="text1"/>
        </w:rPr>
        <w:t>may</w:t>
      </w:r>
      <w:r w:rsidRPr="5571048A">
        <w:rPr>
          <w:rFonts w:ascii="Calibri" w:eastAsia="Calibri" w:hAnsi="Calibri" w:cs="Calibri"/>
          <w:color w:val="000000" w:themeColor="text1"/>
        </w:rPr>
        <w:t xml:space="preserve"> account for the impact of REA: enforcement of ongoing UI eligibility requirements, </w:t>
      </w:r>
      <w:r w:rsidR="007026BA">
        <w:rPr>
          <w:rFonts w:ascii="Calibri" w:eastAsia="Calibri" w:hAnsi="Calibri" w:cs="Calibri"/>
          <w:color w:val="000000" w:themeColor="text1"/>
        </w:rPr>
        <w:t xml:space="preserve">the </w:t>
      </w:r>
      <w:r w:rsidRPr="5571048A">
        <w:rPr>
          <w:rFonts w:ascii="Calibri" w:eastAsia="Calibri" w:hAnsi="Calibri" w:cs="Calibri"/>
          <w:color w:val="000000" w:themeColor="text1"/>
        </w:rPr>
        <w:t>procedural requirement to participate in REA, and provision of reemployment assistance (</w:t>
      </w:r>
      <w:proofErr w:type="spellStart"/>
      <w:r w:rsidRPr="5571048A">
        <w:rPr>
          <w:rFonts w:ascii="Calibri" w:eastAsia="Calibri" w:hAnsi="Calibri" w:cs="Calibri"/>
          <w:color w:val="000000" w:themeColor="text1"/>
        </w:rPr>
        <w:t>Klerman</w:t>
      </w:r>
      <w:proofErr w:type="spellEnd"/>
      <w:r w:rsidRPr="5571048A">
        <w:rPr>
          <w:rFonts w:ascii="Calibri" w:eastAsia="Calibri" w:hAnsi="Calibri" w:cs="Calibri"/>
          <w:color w:val="000000" w:themeColor="text1"/>
        </w:rPr>
        <w:t xml:space="preserve"> et al., 2019). </w:t>
      </w:r>
      <w:r w:rsidR="007026BA">
        <w:rPr>
          <w:rFonts w:ascii="Calibri" w:eastAsia="Calibri" w:hAnsi="Calibri" w:cs="Calibri"/>
          <w:color w:val="000000" w:themeColor="text1"/>
        </w:rPr>
        <w:t>E</w:t>
      </w:r>
      <w:r w:rsidRPr="5571048A">
        <w:rPr>
          <w:rFonts w:ascii="Calibri" w:eastAsia="Calibri" w:hAnsi="Calibri" w:cs="Calibri"/>
          <w:color w:val="000000" w:themeColor="text1"/>
        </w:rPr>
        <w:t>nforcement of UI eligibility requirements is intended to achieve the goal of strengthening UI program integrity and involves a required ER where claimant compliance with UI eligibility requirements is verified (e.g., review of recent job search activities, assessing “able and available” to work)</w:t>
      </w:r>
      <w:r w:rsidR="00B16F9A">
        <w:rPr>
          <w:rFonts w:ascii="Calibri" w:eastAsia="Calibri" w:hAnsi="Calibri" w:cs="Calibri"/>
          <w:color w:val="000000" w:themeColor="text1"/>
        </w:rPr>
        <w:t>. Yet, identification of eligibility issues is relatively rare and affects only a few percent of claimants participating in REA</w:t>
      </w:r>
      <w:r w:rsidRPr="5571048A">
        <w:rPr>
          <w:rFonts w:ascii="Calibri" w:eastAsia="Calibri" w:hAnsi="Calibri" w:cs="Calibri"/>
          <w:color w:val="000000" w:themeColor="text1"/>
        </w:rPr>
        <w:t>.</w:t>
      </w:r>
      <w:r w:rsidR="00B16F9A">
        <w:rPr>
          <w:rFonts w:ascii="Calibri" w:eastAsia="Calibri" w:hAnsi="Calibri" w:cs="Calibri"/>
          <w:color w:val="000000" w:themeColor="text1"/>
        </w:rPr>
        <w:t xml:space="preserve"> In contrast, estimates indicate that t</w:t>
      </w:r>
      <w:r w:rsidRPr="5571048A">
        <w:rPr>
          <w:rFonts w:ascii="Calibri" w:eastAsia="Calibri" w:hAnsi="Calibri" w:cs="Calibri"/>
          <w:color w:val="000000" w:themeColor="text1"/>
        </w:rPr>
        <w:t xml:space="preserve">he requirement </w:t>
      </w:r>
      <w:r w:rsidR="007026BA">
        <w:rPr>
          <w:rFonts w:ascii="Calibri" w:eastAsia="Calibri" w:hAnsi="Calibri" w:cs="Calibri"/>
          <w:color w:val="000000" w:themeColor="text1"/>
        </w:rPr>
        <w:t>to p</w:t>
      </w:r>
      <w:r w:rsidRPr="5571048A">
        <w:rPr>
          <w:rFonts w:ascii="Calibri" w:eastAsia="Calibri" w:hAnsi="Calibri" w:cs="Calibri"/>
          <w:color w:val="000000" w:themeColor="text1"/>
        </w:rPr>
        <w:t>articipat</w:t>
      </w:r>
      <w:r w:rsidR="007026BA">
        <w:rPr>
          <w:rFonts w:ascii="Calibri" w:eastAsia="Calibri" w:hAnsi="Calibri" w:cs="Calibri"/>
          <w:color w:val="000000" w:themeColor="text1"/>
        </w:rPr>
        <w:t>e</w:t>
      </w:r>
      <w:r w:rsidRPr="5571048A">
        <w:rPr>
          <w:rFonts w:ascii="Calibri" w:eastAsia="Calibri" w:hAnsi="Calibri" w:cs="Calibri"/>
          <w:color w:val="000000" w:themeColor="text1"/>
        </w:rPr>
        <w:t xml:space="preserve"> in REA likely accounts for at least half of the impact on UI duration due to moderate</w:t>
      </w:r>
      <w:r w:rsidR="00331C50">
        <w:rPr>
          <w:rFonts w:ascii="Calibri" w:eastAsia="Calibri" w:hAnsi="Calibri" w:cs="Calibri"/>
          <w:color w:val="000000" w:themeColor="text1"/>
        </w:rPr>
        <w:t>ly high</w:t>
      </w:r>
      <w:r w:rsidRPr="5571048A">
        <w:rPr>
          <w:rFonts w:ascii="Calibri" w:eastAsia="Calibri" w:hAnsi="Calibri" w:cs="Calibri"/>
          <w:color w:val="000000" w:themeColor="text1"/>
        </w:rPr>
        <w:t xml:space="preserve"> rates of non-participation </w:t>
      </w:r>
      <w:r w:rsidR="007026BA">
        <w:rPr>
          <w:rFonts w:ascii="Calibri" w:eastAsia="Calibri" w:hAnsi="Calibri" w:cs="Calibri"/>
          <w:color w:val="000000" w:themeColor="text1"/>
        </w:rPr>
        <w:t xml:space="preserve">that </w:t>
      </w:r>
      <w:r w:rsidR="001D27BE">
        <w:rPr>
          <w:rFonts w:ascii="Calibri" w:eastAsia="Calibri" w:hAnsi="Calibri" w:cs="Calibri"/>
          <w:color w:val="000000" w:themeColor="text1"/>
        </w:rPr>
        <w:t>result in</w:t>
      </w:r>
      <w:r w:rsidRPr="5571048A">
        <w:rPr>
          <w:rFonts w:ascii="Calibri" w:eastAsia="Calibri" w:hAnsi="Calibri" w:cs="Calibri"/>
          <w:color w:val="000000" w:themeColor="text1"/>
        </w:rPr>
        <w:t xml:space="preserve"> denial of UI benefits</w:t>
      </w:r>
      <w:r w:rsidR="00B16F9A">
        <w:rPr>
          <w:rFonts w:ascii="Calibri" w:eastAsia="Calibri" w:hAnsi="Calibri" w:cs="Calibri"/>
          <w:color w:val="000000" w:themeColor="text1"/>
        </w:rPr>
        <w:t xml:space="preserve"> </w:t>
      </w:r>
      <w:r w:rsidRPr="5571048A">
        <w:rPr>
          <w:rFonts w:ascii="Calibri" w:eastAsia="Calibri" w:hAnsi="Calibri" w:cs="Calibri"/>
          <w:color w:val="000000" w:themeColor="text1"/>
        </w:rPr>
        <w:t>(</w:t>
      </w:r>
      <w:proofErr w:type="spellStart"/>
      <w:r w:rsidRPr="5571048A">
        <w:rPr>
          <w:rFonts w:ascii="Calibri" w:eastAsia="Calibri" w:hAnsi="Calibri" w:cs="Calibri"/>
          <w:color w:val="000000" w:themeColor="text1"/>
        </w:rPr>
        <w:t>Klerman</w:t>
      </w:r>
      <w:proofErr w:type="spellEnd"/>
      <w:r w:rsidRPr="5571048A">
        <w:rPr>
          <w:rFonts w:ascii="Calibri" w:eastAsia="Calibri" w:hAnsi="Calibri" w:cs="Calibri"/>
          <w:color w:val="000000" w:themeColor="text1"/>
        </w:rPr>
        <w:t xml:space="preserve"> et al., 2019). </w:t>
      </w:r>
      <w:r w:rsidR="00237482">
        <w:rPr>
          <w:rFonts w:ascii="Calibri" w:eastAsia="Calibri" w:hAnsi="Calibri" w:cs="Calibri"/>
          <w:color w:val="000000" w:themeColor="text1"/>
        </w:rPr>
        <w:t>Finally, provision of r</w:t>
      </w:r>
      <w:r w:rsidRPr="5571048A">
        <w:rPr>
          <w:rFonts w:ascii="Calibri" w:eastAsia="Calibri" w:hAnsi="Calibri" w:cs="Calibri"/>
          <w:color w:val="000000" w:themeColor="text1"/>
        </w:rPr>
        <w:t xml:space="preserve">eemployment </w:t>
      </w:r>
      <w:r w:rsidR="00237482">
        <w:rPr>
          <w:rFonts w:ascii="Calibri" w:eastAsia="Calibri" w:hAnsi="Calibri" w:cs="Calibri"/>
          <w:color w:val="000000" w:themeColor="text1"/>
        </w:rPr>
        <w:t>services</w:t>
      </w:r>
      <w:r w:rsidRPr="5571048A">
        <w:rPr>
          <w:rFonts w:ascii="Calibri" w:eastAsia="Calibri" w:hAnsi="Calibri" w:cs="Calibri"/>
          <w:color w:val="000000" w:themeColor="text1"/>
        </w:rPr>
        <w:t xml:space="preserve"> </w:t>
      </w:r>
      <w:r w:rsidR="00B16F9A">
        <w:rPr>
          <w:rFonts w:ascii="Calibri" w:eastAsia="Calibri" w:hAnsi="Calibri" w:cs="Calibri"/>
          <w:color w:val="000000" w:themeColor="text1"/>
        </w:rPr>
        <w:t>is</w:t>
      </w:r>
      <w:r w:rsidR="00237482">
        <w:rPr>
          <w:rFonts w:ascii="Calibri" w:eastAsia="Calibri" w:hAnsi="Calibri" w:cs="Calibri"/>
          <w:color w:val="000000" w:themeColor="text1"/>
        </w:rPr>
        <w:t xml:space="preserve"> intended to achieve quicker reemployment by providing claimants </w:t>
      </w:r>
      <w:r w:rsidR="00237482" w:rsidRPr="5571048A">
        <w:rPr>
          <w:rFonts w:ascii="Calibri" w:eastAsia="Calibri" w:hAnsi="Calibri" w:cs="Calibri"/>
          <w:color w:val="000000" w:themeColor="text1"/>
        </w:rPr>
        <w:t>job search assistanc</w:t>
      </w:r>
      <w:r w:rsidR="00237482">
        <w:rPr>
          <w:rFonts w:ascii="Calibri" w:eastAsia="Calibri" w:hAnsi="Calibri" w:cs="Calibri"/>
          <w:color w:val="000000" w:themeColor="text1"/>
        </w:rPr>
        <w:t>e, reemployment services, and</w:t>
      </w:r>
      <w:r w:rsidR="00237482" w:rsidRPr="5571048A">
        <w:rPr>
          <w:rFonts w:ascii="Calibri" w:eastAsia="Calibri" w:hAnsi="Calibri" w:cs="Calibri"/>
          <w:color w:val="000000" w:themeColor="text1"/>
        </w:rPr>
        <w:t xml:space="preserve"> referrals to </w:t>
      </w:r>
      <w:r w:rsidR="00237482">
        <w:rPr>
          <w:rFonts w:ascii="Calibri" w:eastAsia="Calibri" w:hAnsi="Calibri" w:cs="Calibri"/>
          <w:color w:val="000000" w:themeColor="text1"/>
        </w:rPr>
        <w:t xml:space="preserve">relevant trainings or workshops, but such services can only be </w:t>
      </w:r>
      <w:r w:rsidR="00B16F9A">
        <w:rPr>
          <w:rFonts w:ascii="Calibri" w:eastAsia="Calibri" w:hAnsi="Calibri" w:cs="Calibri"/>
          <w:color w:val="000000" w:themeColor="text1"/>
        </w:rPr>
        <w:t xml:space="preserve">provided </w:t>
      </w:r>
      <w:r w:rsidR="00002606">
        <w:rPr>
          <w:rFonts w:ascii="Calibri" w:eastAsia="Calibri" w:hAnsi="Calibri" w:cs="Calibri"/>
          <w:color w:val="000000" w:themeColor="text1"/>
        </w:rPr>
        <w:t>to</w:t>
      </w:r>
      <w:r w:rsidRPr="5571048A">
        <w:rPr>
          <w:rFonts w:ascii="Calibri" w:eastAsia="Calibri" w:hAnsi="Calibri" w:cs="Calibri"/>
          <w:color w:val="000000" w:themeColor="text1"/>
        </w:rPr>
        <w:t xml:space="preserve"> claimants</w:t>
      </w:r>
      <w:r w:rsidR="00B16F9A">
        <w:rPr>
          <w:rFonts w:ascii="Calibri" w:eastAsia="Calibri" w:hAnsi="Calibri" w:cs="Calibri"/>
          <w:color w:val="000000" w:themeColor="text1"/>
        </w:rPr>
        <w:t xml:space="preserve"> who</w:t>
      </w:r>
      <w:r w:rsidRPr="5571048A">
        <w:rPr>
          <w:rFonts w:ascii="Calibri" w:eastAsia="Calibri" w:hAnsi="Calibri" w:cs="Calibri"/>
          <w:color w:val="000000" w:themeColor="text1"/>
        </w:rPr>
        <w:t xml:space="preserve"> attend the required REA meeting</w:t>
      </w:r>
      <w:r w:rsidR="00002606">
        <w:rPr>
          <w:rFonts w:ascii="Calibri" w:eastAsia="Calibri" w:hAnsi="Calibri" w:cs="Calibri"/>
          <w:color w:val="000000" w:themeColor="text1"/>
        </w:rPr>
        <w:t xml:space="preserve"> </w:t>
      </w:r>
      <w:r w:rsidRPr="5571048A">
        <w:rPr>
          <w:rFonts w:ascii="Calibri" w:eastAsia="Calibri" w:hAnsi="Calibri" w:cs="Calibri"/>
          <w:color w:val="000000" w:themeColor="text1"/>
        </w:rPr>
        <w:t>(</w:t>
      </w:r>
      <w:proofErr w:type="spellStart"/>
      <w:r w:rsidRPr="5571048A">
        <w:rPr>
          <w:rFonts w:ascii="Calibri" w:eastAsia="Calibri" w:hAnsi="Calibri" w:cs="Calibri"/>
          <w:color w:val="000000" w:themeColor="text1"/>
        </w:rPr>
        <w:t>Klerman</w:t>
      </w:r>
      <w:proofErr w:type="spellEnd"/>
      <w:r w:rsidRPr="5571048A">
        <w:rPr>
          <w:rFonts w:ascii="Calibri" w:eastAsia="Calibri" w:hAnsi="Calibri" w:cs="Calibri"/>
          <w:color w:val="000000" w:themeColor="text1"/>
        </w:rPr>
        <w:t xml:space="preserve"> et al., 2019). </w:t>
      </w:r>
    </w:p>
    <w:p w14:paraId="40374E3A" w14:textId="1DE69640" w:rsidR="00F93D8E" w:rsidRDefault="00F93D8E">
      <w:pPr>
        <w:rPr>
          <w:rFonts w:eastAsiaTheme="minorEastAsia"/>
          <w:color w:val="44546A" w:themeColor="text2"/>
        </w:rPr>
        <w:sectPr w:rsidR="00F93D8E">
          <w:pgSz w:w="12240" w:h="15840"/>
          <w:pgMar w:top="1440" w:right="1440" w:bottom="1440" w:left="1440" w:header="720" w:footer="720" w:gutter="0"/>
          <w:cols w:space="720"/>
          <w:docGrid w:linePitch="360"/>
        </w:sectPr>
      </w:pPr>
    </w:p>
    <w:p w14:paraId="37221EB8" w14:textId="45BC62AF" w:rsidR="007531D1" w:rsidRPr="00320DD0" w:rsidRDefault="005D36E5" w:rsidP="00320DD0">
      <w:pPr>
        <w:spacing w:after="120" w:line="257" w:lineRule="auto"/>
        <w:rPr>
          <w:rFonts w:eastAsiaTheme="minorEastAsia"/>
          <w:b/>
          <w:bCs/>
        </w:rPr>
      </w:pPr>
      <w:r w:rsidRPr="00383DD7">
        <w:rPr>
          <w:rFonts w:eastAsiaTheme="minorEastAsia"/>
          <w:b/>
          <w:bCs/>
        </w:rPr>
        <w:lastRenderedPageBreak/>
        <w:t>Table 1. Meta-analysis on the REA impact, regression results.</w:t>
      </w:r>
      <w:r w:rsidR="000272E0">
        <w:rPr>
          <w:rFonts w:eastAsiaTheme="minorEastAsia"/>
          <w:b/>
          <w:bCs/>
        </w:rPr>
        <w:t xml:space="preserve"> </w:t>
      </w:r>
    </w:p>
    <w:tbl>
      <w:tblPr>
        <w:tblStyle w:val="PlainTable3"/>
        <w:tblW w:w="0" w:type="auto"/>
        <w:tblLayout w:type="fixed"/>
        <w:tblLook w:val="04A0" w:firstRow="1" w:lastRow="0" w:firstColumn="1" w:lastColumn="0" w:noHBand="0" w:noVBand="1"/>
      </w:tblPr>
      <w:tblGrid>
        <w:gridCol w:w="1833"/>
        <w:gridCol w:w="964"/>
        <w:gridCol w:w="868"/>
        <w:gridCol w:w="964"/>
        <w:gridCol w:w="964"/>
        <w:gridCol w:w="868"/>
        <w:gridCol w:w="964"/>
        <w:gridCol w:w="964"/>
        <w:gridCol w:w="1061"/>
        <w:gridCol w:w="1061"/>
        <w:gridCol w:w="964"/>
        <w:gridCol w:w="1217"/>
      </w:tblGrid>
      <w:tr w:rsidR="00880499" w14:paraId="7D336895" w14:textId="77777777" w:rsidTr="00F27D6F">
        <w:trPr>
          <w:cnfStyle w:val="100000000000" w:firstRow="1" w:lastRow="0" w:firstColumn="0" w:lastColumn="0" w:oddVBand="0" w:evenVBand="0" w:oddHBand="0" w:evenHBand="0" w:firstRowFirstColumn="0" w:firstRowLastColumn="0" w:lastRowFirstColumn="0" w:lastRowLastColumn="0"/>
          <w:trHeight w:val="335"/>
        </w:trPr>
        <w:tc>
          <w:tcPr>
            <w:cnfStyle w:val="001000000100" w:firstRow="0" w:lastRow="0" w:firstColumn="1" w:lastColumn="0" w:oddVBand="0" w:evenVBand="0" w:oddHBand="0" w:evenHBand="0" w:firstRowFirstColumn="1" w:firstRowLastColumn="0" w:lastRowFirstColumn="0" w:lastRowLastColumn="0"/>
            <w:tcW w:w="1833" w:type="dxa"/>
            <w:tcBorders>
              <w:top w:val="single" w:sz="4" w:space="0" w:color="auto"/>
            </w:tcBorders>
            <w:tcMar>
              <w:left w:w="108" w:type="dxa"/>
              <w:right w:w="108" w:type="dxa"/>
            </w:tcMar>
          </w:tcPr>
          <w:p w14:paraId="570836D2" w14:textId="77777777" w:rsidR="005D36E5" w:rsidRDefault="005D36E5" w:rsidP="0080385F">
            <w:pPr>
              <w:rPr>
                <w:rFonts w:eastAsiaTheme="minorEastAsia"/>
              </w:rPr>
            </w:pPr>
            <w:r>
              <w:rPr>
                <w:rFonts w:eastAsiaTheme="minorEastAsia"/>
              </w:rPr>
              <w:t>outcome measure</w:t>
            </w:r>
            <w:r w:rsidRPr="1CAD69C1">
              <w:rPr>
                <w:rFonts w:eastAsiaTheme="minorEastAsia"/>
              </w:rPr>
              <w:t xml:space="preserve"> </w:t>
            </w:r>
          </w:p>
        </w:tc>
        <w:tc>
          <w:tcPr>
            <w:tcW w:w="964" w:type="dxa"/>
            <w:tcBorders>
              <w:top w:val="single" w:sz="4" w:space="0" w:color="auto"/>
            </w:tcBorders>
            <w:tcMar>
              <w:left w:w="108" w:type="dxa"/>
              <w:right w:w="108" w:type="dxa"/>
            </w:tcMar>
          </w:tcPr>
          <w:p w14:paraId="712C0D7F"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FL</w:t>
            </w:r>
          </w:p>
        </w:tc>
        <w:tc>
          <w:tcPr>
            <w:tcW w:w="868" w:type="dxa"/>
            <w:tcBorders>
              <w:top w:val="single" w:sz="4" w:space="0" w:color="auto"/>
            </w:tcBorders>
            <w:tcMar>
              <w:left w:w="108" w:type="dxa"/>
              <w:right w:w="108" w:type="dxa"/>
            </w:tcMar>
          </w:tcPr>
          <w:p w14:paraId="420EC0F7"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ID</w:t>
            </w:r>
          </w:p>
        </w:tc>
        <w:tc>
          <w:tcPr>
            <w:tcW w:w="964" w:type="dxa"/>
            <w:tcBorders>
              <w:top w:val="single" w:sz="4" w:space="0" w:color="auto"/>
            </w:tcBorders>
            <w:tcMar>
              <w:left w:w="108" w:type="dxa"/>
              <w:right w:w="108" w:type="dxa"/>
            </w:tcMar>
          </w:tcPr>
          <w:p w14:paraId="4B0D9913"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IL</w:t>
            </w:r>
          </w:p>
        </w:tc>
        <w:tc>
          <w:tcPr>
            <w:tcW w:w="964" w:type="dxa"/>
            <w:tcBorders>
              <w:top w:val="single" w:sz="4" w:space="0" w:color="auto"/>
            </w:tcBorders>
            <w:tcMar>
              <w:left w:w="108" w:type="dxa"/>
              <w:right w:w="108" w:type="dxa"/>
            </w:tcMar>
          </w:tcPr>
          <w:p w14:paraId="63B64378"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NV</w:t>
            </w:r>
          </w:p>
        </w:tc>
        <w:tc>
          <w:tcPr>
            <w:tcW w:w="868" w:type="dxa"/>
            <w:tcBorders>
              <w:top w:val="single" w:sz="4" w:space="0" w:color="auto"/>
            </w:tcBorders>
            <w:tcMar>
              <w:left w:w="108" w:type="dxa"/>
              <w:right w:w="108" w:type="dxa"/>
            </w:tcMar>
          </w:tcPr>
          <w:p w14:paraId="62473D11"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MN</w:t>
            </w:r>
          </w:p>
        </w:tc>
        <w:tc>
          <w:tcPr>
            <w:tcW w:w="964" w:type="dxa"/>
            <w:tcBorders>
              <w:top w:val="single" w:sz="4" w:space="0" w:color="auto"/>
            </w:tcBorders>
            <w:tcMar>
              <w:left w:w="108" w:type="dxa"/>
              <w:right w:w="108" w:type="dxa"/>
            </w:tcMar>
          </w:tcPr>
          <w:p w14:paraId="61FE9349"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ND</w:t>
            </w:r>
          </w:p>
        </w:tc>
        <w:tc>
          <w:tcPr>
            <w:tcW w:w="964" w:type="dxa"/>
            <w:tcBorders>
              <w:top w:val="single" w:sz="4" w:space="0" w:color="auto"/>
            </w:tcBorders>
            <w:tcMar>
              <w:left w:w="108" w:type="dxa"/>
              <w:right w:w="108" w:type="dxa"/>
            </w:tcMar>
          </w:tcPr>
          <w:p w14:paraId="7E6536C0"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IN</w:t>
            </w:r>
          </w:p>
        </w:tc>
        <w:tc>
          <w:tcPr>
            <w:tcW w:w="1061" w:type="dxa"/>
            <w:tcBorders>
              <w:top w:val="single" w:sz="4" w:space="0" w:color="auto"/>
            </w:tcBorders>
            <w:tcMar>
              <w:left w:w="108" w:type="dxa"/>
              <w:right w:w="108" w:type="dxa"/>
            </w:tcMar>
          </w:tcPr>
          <w:p w14:paraId="0BF25EC9"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NY</w:t>
            </w:r>
          </w:p>
        </w:tc>
        <w:tc>
          <w:tcPr>
            <w:tcW w:w="1061" w:type="dxa"/>
            <w:tcBorders>
              <w:top w:val="single" w:sz="4" w:space="0" w:color="auto"/>
            </w:tcBorders>
            <w:tcMar>
              <w:left w:w="108" w:type="dxa"/>
              <w:right w:w="108" w:type="dxa"/>
            </w:tcMar>
          </w:tcPr>
          <w:p w14:paraId="6C2B0262"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WA</w:t>
            </w:r>
          </w:p>
        </w:tc>
        <w:tc>
          <w:tcPr>
            <w:tcW w:w="964" w:type="dxa"/>
            <w:tcBorders>
              <w:top w:val="single" w:sz="4" w:space="0" w:color="auto"/>
            </w:tcBorders>
            <w:tcMar>
              <w:left w:w="108" w:type="dxa"/>
              <w:right w:w="108" w:type="dxa"/>
            </w:tcMar>
          </w:tcPr>
          <w:p w14:paraId="490760BD"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WI</w:t>
            </w:r>
          </w:p>
        </w:tc>
        <w:tc>
          <w:tcPr>
            <w:tcW w:w="1217" w:type="dxa"/>
            <w:tcBorders>
              <w:top w:val="single" w:sz="4" w:space="0" w:color="auto"/>
            </w:tcBorders>
            <w:tcMar>
              <w:left w:w="108" w:type="dxa"/>
              <w:right w:w="108" w:type="dxa"/>
            </w:tcMar>
          </w:tcPr>
          <w:p w14:paraId="3B17054F" w14:textId="77777777" w:rsidR="005D36E5" w:rsidRDefault="005D36E5" w:rsidP="0080385F">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Theta</w:t>
            </w:r>
          </w:p>
        </w:tc>
      </w:tr>
      <w:tr w:rsidR="00880499" w14:paraId="0EEE2498"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384027DF" w14:textId="77777777" w:rsidR="005D36E5" w:rsidRDefault="005D36E5" w:rsidP="0080385F">
            <w:pPr>
              <w:rPr>
                <w:rFonts w:eastAsiaTheme="minorEastAsia"/>
              </w:rPr>
            </w:pPr>
            <w:r w:rsidRPr="3B86F912">
              <w:rPr>
                <w:rFonts w:eastAsiaTheme="minorEastAsia"/>
              </w:rPr>
              <w:t>exhaust UI benefits</w:t>
            </w:r>
            <w:r>
              <w:rPr>
                <w:rFonts w:eastAsiaTheme="minorEastAsia"/>
              </w:rPr>
              <w:t>, pr.</w:t>
            </w:r>
            <w:r w:rsidRPr="3B86F912">
              <w:rPr>
                <w:rFonts w:eastAsiaTheme="minorEastAsia"/>
              </w:rPr>
              <w:t xml:space="preserve"> </w:t>
            </w:r>
          </w:p>
        </w:tc>
        <w:tc>
          <w:tcPr>
            <w:tcW w:w="964" w:type="dxa"/>
            <w:tcMar>
              <w:left w:w="108" w:type="dxa"/>
              <w:right w:w="108" w:type="dxa"/>
            </w:tcMar>
          </w:tcPr>
          <w:p w14:paraId="104666B6"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-0.034</w:t>
            </w:r>
          </w:p>
        </w:tc>
        <w:tc>
          <w:tcPr>
            <w:tcW w:w="868" w:type="dxa"/>
            <w:tcMar>
              <w:left w:w="108" w:type="dxa"/>
              <w:right w:w="108" w:type="dxa"/>
            </w:tcMar>
          </w:tcPr>
          <w:p w14:paraId="77DF1FA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-0.032</w:t>
            </w:r>
          </w:p>
        </w:tc>
        <w:tc>
          <w:tcPr>
            <w:tcW w:w="964" w:type="dxa"/>
            <w:tcMar>
              <w:left w:w="108" w:type="dxa"/>
              <w:right w:w="108" w:type="dxa"/>
            </w:tcMar>
          </w:tcPr>
          <w:p w14:paraId="45CDDA61"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-0.011</w:t>
            </w:r>
          </w:p>
        </w:tc>
        <w:tc>
          <w:tcPr>
            <w:tcW w:w="964" w:type="dxa"/>
            <w:tcMar>
              <w:left w:w="108" w:type="dxa"/>
              <w:right w:w="108" w:type="dxa"/>
            </w:tcMar>
          </w:tcPr>
          <w:p w14:paraId="053F8233"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-0.104</w:t>
            </w:r>
          </w:p>
        </w:tc>
        <w:tc>
          <w:tcPr>
            <w:tcW w:w="868" w:type="dxa"/>
            <w:tcMar>
              <w:left w:w="108" w:type="dxa"/>
              <w:right w:w="108" w:type="dxa"/>
            </w:tcMar>
          </w:tcPr>
          <w:p w14:paraId="70729286"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-0.006</w:t>
            </w:r>
          </w:p>
        </w:tc>
        <w:tc>
          <w:tcPr>
            <w:tcW w:w="964" w:type="dxa"/>
            <w:tcMar>
              <w:left w:w="108" w:type="dxa"/>
              <w:right w:w="108" w:type="dxa"/>
            </w:tcMar>
          </w:tcPr>
          <w:p w14:paraId="766C212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2D3FD1F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061" w:type="dxa"/>
            <w:tcMar>
              <w:left w:w="108" w:type="dxa"/>
              <w:right w:w="108" w:type="dxa"/>
            </w:tcMar>
          </w:tcPr>
          <w:p w14:paraId="0466EEF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061" w:type="dxa"/>
            <w:tcMar>
              <w:left w:w="108" w:type="dxa"/>
              <w:right w:w="108" w:type="dxa"/>
            </w:tcMar>
          </w:tcPr>
          <w:p w14:paraId="7BEB15DB"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4B26A5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217" w:type="dxa"/>
            <w:tcMar>
              <w:left w:w="108" w:type="dxa"/>
              <w:right w:w="108" w:type="dxa"/>
            </w:tcMar>
          </w:tcPr>
          <w:p w14:paraId="4BA78312"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-0.040*</w:t>
            </w:r>
          </w:p>
          <w:p w14:paraId="745C2B1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(0.018)</w:t>
            </w:r>
          </w:p>
        </w:tc>
      </w:tr>
      <w:tr w:rsidR="00880499" w14:paraId="58F3421F" w14:textId="77777777" w:rsidTr="00880499">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60FE8BD8" w14:textId="77777777" w:rsidR="005D36E5" w:rsidRDefault="005D36E5" w:rsidP="0080385F">
            <w:pPr>
              <w:rPr>
                <w:rFonts w:eastAsiaTheme="minorEastAsia"/>
              </w:rPr>
            </w:pPr>
            <w:r w:rsidRPr="3B86F912">
              <w:rPr>
                <w:rFonts w:eastAsiaTheme="minorEastAsia"/>
              </w:rPr>
              <w:t>UI</w:t>
            </w:r>
            <w:r>
              <w:rPr>
                <w:rFonts w:eastAsiaTheme="minorEastAsia"/>
              </w:rPr>
              <w:t xml:space="preserve"> Duration, weeks</w:t>
            </w:r>
          </w:p>
        </w:tc>
        <w:tc>
          <w:tcPr>
            <w:tcW w:w="964" w:type="dxa"/>
            <w:tcMar>
              <w:left w:w="108" w:type="dxa"/>
              <w:right w:w="108" w:type="dxa"/>
            </w:tcMar>
          </w:tcPr>
          <w:p w14:paraId="2047D941"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-0.430</w:t>
            </w:r>
          </w:p>
        </w:tc>
        <w:tc>
          <w:tcPr>
            <w:tcW w:w="868" w:type="dxa"/>
            <w:tcMar>
              <w:left w:w="108" w:type="dxa"/>
              <w:right w:w="108" w:type="dxa"/>
            </w:tcMar>
          </w:tcPr>
          <w:p w14:paraId="7F6648C8"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-0.450</w:t>
            </w:r>
          </w:p>
        </w:tc>
        <w:tc>
          <w:tcPr>
            <w:tcW w:w="964" w:type="dxa"/>
            <w:tcMar>
              <w:left w:w="108" w:type="dxa"/>
              <w:right w:w="108" w:type="dxa"/>
            </w:tcMar>
          </w:tcPr>
          <w:p w14:paraId="12032D60"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-0.830</w:t>
            </w:r>
          </w:p>
        </w:tc>
        <w:tc>
          <w:tcPr>
            <w:tcW w:w="964" w:type="dxa"/>
            <w:tcMar>
              <w:left w:w="108" w:type="dxa"/>
              <w:right w:w="108" w:type="dxa"/>
            </w:tcMar>
          </w:tcPr>
          <w:p w14:paraId="1EF0742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-1.820</w:t>
            </w:r>
          </w:p>
        </w:tc>
        <w:tc>
          <w:tcPr>
            <w:tcW w:w="868" w:type="dxa"/>
            <w:tcMar>
              <w:left w:w="108" w:type="dxa"/>
              <w:right w:w="108" w:type="dxa"/>
            </w:tcMar>
          </w:tcPr>
          <w:p w14:paraId="09A49918"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-0.731</w:t>
            </w:r>
          </w:p>
        </w:tc>
        <w:tc>
          <w:tcPr>
            <w:tcW w:w="964" w:type="dxa"/>
            <w:tcMar>
              <w:left w:w="108" w:type="dxa"/>
              <w:right w:w="108" w:type="dxa"/>
            </w:tcMar>
          </w:tcPr>
          <w:p w14:paraId="0A91E58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-1.051</w:t>
            </w:r>
          </w:p>
        </w:tc>
        <w:tc>
          <w:tcPr>
            <w:tcW w:w="964" w:type="dxa"/>
            <w:tcMar>
              <w:left w:w="108" w:type="dxa"/>
              <w:right w:w="108" w:type="dxa"/>
            </w:tcMar>
          </w:tcPr>
          <w:p w14:paraId="1A1FC55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-1.678</w:t>
            </w:r>
          </w:p>
        </w:tc>
        <w:tc>
          <w:tcPr>
            <w:tcW w:w="1061" w:type="dxa"/>
            <w:tcMar>
              <w:left w:w="108" w:type="dxa"/>
              <w:right w:w="108" w:type="dxa"/>
            </w:tcMar>
          </w:tcPr>
          <w:p w14:paraId="4FE244C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-1.452</w:t>
            </w:r>
          </w:p>
        </w:tc>
        <w:tc>
          <w:tcPr>
            <w:tcW w:w="1061" w:type="dxa"/>
            <w:tcMar>
              <w:left w:w="108" w:type="dxa"/>
              <w:right w:w="108" w:type="dxa"/>
            </w:tcMar>
          </w:tcPr>
          <w:p w14:paraId="3675DD5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-0.795</w:t>
            </w:r>
          </w:p>
        </w:tc>
        <w:tc>
          <w:tcPr>
            <w:tcW w:w="964" w:type="dxa"/>
            <w:tcMar>
              <w:left w:w="108" w:type="dxa"/>
              <w:right w:w="108" w:type="dxa"/>
            </w:tcMar>
          </w:tcPr>
          <w:p w14:paraId="62B911E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-0.517</w:t>
            </w:r>
          </w:p>
        </w:tc>
        <w:tc>
          <w:tcPr>
            <w:tcW w:w="1217" w:type="dxa"/>
            <w:tcMar>
              <w:left w:w="108" w:type="dxa"/>
              <w:right w:w="108" w:type="dxa"/>
            </w:tcMar>
          </w:tcPr>
          <w:p w14:paraId="70F150D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-0.989***</w:t>
            </w:r>
          </w:p>
          <w:p w14:paraId="74B82F1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(0.189)</w:t>
            </w:r>
          </w:p>
        </w:tc>
      </w:tr>
      <w:tr w:rsidR="00880499" w14:paraId="466C5F95"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073C8518" w14:textId="77777777" w:rsidR="005D36E5" w:rsidRDefault="005D36E5" w:rsidP="0080385F">
            <w:pPr>
              <w:rPr>
                <w:rFonts w:eastAsiaTheme="minorEastAsia"/>
              </w:rPr>
            </w:pPr>
            <w:r w:rsidRPr="3B86F912">
              <w:rPr>
                <w:rFonts w:eastAsiaTheme="minorEastAsia"/>
              </w:rPr>
              <w:t>UI benefits</w:t>
            </w:r>
            <w:r>
              <w:rPr>
                <w:rFonts w:eastAsiaTheme="minorEastAsia"/>
              </w:rPr>
              <w:t xml:space="preserve"> Received, $</w:t>
            </w:r>
          </w:p>
        </w:tc>
        <w:tc>
          <w:tcPr>
            <w:tcW w:w="964" w:type="dxa"/>
            <w:tcMar>
              <w:left w:w="108" w:type="dxa"/>
              <w:right w:w="108" w:type="dxa"/>
            </w:tcMar>
          </w:tcPr>
          <w:p w14:paraId="37CA976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-101.00</w:t>
            </w:r>
          </w:p>
        </w:tc>
        <w:tc>
          <w:tcPr>
            <w:tcW w:w="868" w:type="dxa"/>
            <w:tcMar>
              <w:left w:w="108" w:type="dxa"/>
              <w:right w:w="108" w:type="dxa"/>
            </w:tcMar>
          </w:tcPr>
          <w:p w14:paraId="722002CB"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-97.00</w:t>
            </w:r>
          </w:p>
        </w:tc>
        <w:tc>
          <w:tcPr>
            <w:tcW w:w="964" w:type="dxa"/>
            <w:tcMar>
              <w:left w:w="108" w:type="dxa"/>
              <w:right w:w="108" w:type="dxa"/>
            </w:tcMar>
          </w:tcPr>
          <w:p w14:paraId="5118098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-148.00</w:t>
            </w:r>
          </w:p>
        </w:tc>
        <w:tc>
          <w:tcPr>
            <w:tcW w:w="964" w:type="dxa"/>
            <w:tcMar>
              <w:left w:w="108" w:type="dxa"/>
              <w:right w:w="108" w:type="dxa"/>
            </w:tcMar>
          </w:tcPr>
          <w:p w14:paraId="22333DF7"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-536.00</w:t>
            </w:r>
          </w:p>
        </w:tc>
        <w:tc>
          <w:tcPr>
            <w:tcW w:w="868" w:type="dxa"/>
            <w:tcMar>
              <w:left w:w="108" w:type="dxa"/>
              <w:right w:w="108" w:type="dxa"/>
            </w:tcMar>
          </w:tcPr>
          <w:p w14:paraId="22DCFB1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13.00</w:t>
            </w:r>
          </w:p>
        </w:tc>
        <w:tc>
          <w:tcPr>
            <w:tcW w:w="964" w:type="dxa"/>
            <w:tcMar>
              <w:left w:w="108" w:type="dxa"/>
              <w:right w:w="108" w:type="dxa"/>
            </w:tcMar>
          </w:tcPr>
          <w:p w14:paraId="129A148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-135.</w:t>
            </w:r>
            <w:r>
              <w:rPr>
                <w:rFonts w:eastAsiaTheme="minorEastAsia"/>
              </w:rPr>
              <w:t>60</w:t>
            </w:r>
          </w:p>
        </w:tc>
        <w:tc>
          <w:tcPr>
            <w:tcW w:w="964" w:type="dxa"/>
            <w:tcMar>
              <w:left w:w="108" w:type="dxa"/>
              <w:right w:w="108" w:type="dxa"/>
            </w:tcMar>
          </w:tcPr>
          <w:p w14:paraId="3C11363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061" w:type="dxa"/>
            <w:tcMar>
              <w:left w:w="108" w:type="dxa"/>
              <w:right w:w="108" w:type="dxa"/>
            </w:tcMar>
          </w:tcPr>
          <w:p w14:paraId="7B5A7D6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061" w:type="dxa"/>
            <w:tcMar>
              <w:left w:w="108" w:type="dxa"/>
              <w:right w:w="108" w:type="dxa"/>
            </w:tcMar>
          </w:tcPr>
          <w:p w14:paraId="598AB27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38EC45A2"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1217" w:type="dxa"/>
            <w:tcMar>
              <w:left w:w="108" w:type="dxa"/>
              <w:right w:w="108" w:type="dxa"/>
            </w:tcMar>
          </w:tcPr>
          <w:p w14:paraId="5B38349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-186.27*</w:t>
            </w:r>
          </w:p>
          <w:p w14:paraId="16473FE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(88.47)</w:t>
            </w:r>
          </w:p>
        </w:tc>
      </w:tr>
      <w:tr w:rsidR="00880499" w14:paraId="42C71D64" w14:textId="77777777" w:rsidTr="00880499">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469BB3F7" w14:textId="0C503A06" w:rsidR="005D36E5" w:rsidRDefault="005D36E5" w:rsidP="0080385F">
            <w:pPr>
              <w:rPr>
                <w:rFonts w:eastAsiaTheme="minorEastAsia"/>
              </w:rPr>
            </w:pPr>
            <w:r>
              <w:rPr>
                <w:rFonts w:eastAsiaTheme="minorEastAsia"/>
              </w:rPr>
              <w:t>Employment</w:t>
            </w:r>
            <w:r w:rsidRPr="3B86F912">
              <w:rPr>
                <w:rFonts w:eastAsiaTheme="minorEastAsia"/>
              </w:rPr>
              <w:t xml:space="preserve"> in Q1</w:t>
            </w:r>
            <w:r w:rsidR="001D498C">
              <w:rPr>
                <w:rFonts w:eastAsiaTheme="minorEastAsia"/>
              </w:rPr>
              <w:t>, PR.</w:t>
            </w:r>
          </w:p>
        </w:tc>
        <w:tc>
          <w:tcPr>
            <w:tcW w:w="964" w:type="dxa"/>
            <w:tcMar>
              <w:left w:w="108" w:type="dxa"/>
              <w:right w:w="108" w:type="dxa"/>
            </w:tcMar>
          </w:tcPr>
          <w:p w14:paraId="5E53E69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0.012</w:t>
            </w:r>
          </w:p>
        </w:tc>
        <w:tc>
          <w:tcPr>
            <w:tcW w:w="868" w:type="dxa"/>
            <w:tcMar>
              <w:left w:w="108" w:type="dxa"/>
              <w:right w:w="108" w:type="dxa"/>
            </w:tcMar>
          </w:tcPr>
          <w:p w14:paraId="53C22338"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59CDF88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4DC537E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0.074</w:t>
            </w:r>
          </w:p>
        </w:tc>
        <w:tc>
          <w:tcPr>
            <w:tcW w:w="868" w:type="dxa"/>
            <w:tcMar>
              <w:left w:w="108" w:type="dxa"/>
              <w:right w:w="108" w:type="dxa"/>
            </w:tcMar>
          </w:tcPr>
          <w:p w14:paraId="21FF5EDC"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5CE6D6A4"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1EC53EA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0.015</w:t>
            </w:r>
          </w:p>
        </w:tc>
        <w:tc>
          <w:tcPr>
            <w:tcW w:w="1061" w:type="dxa"/>
            <w:tcMar>
              <w:left w:w="108" w:type="dxa"/>
              <w:right w:w="108" w:type="dxa"/>
            </w:tcMar>
          </w:tcPr>
          <w:p w14:paraId="1002384F"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0.021</w:t>
            </w:r>
          </w:p>
        </w:tc>
        <w:tc>
          <w:tcPr>
            <w:tcW w:w="1061" w:type="dxa"/>
            <w:tcMar>
              <w:left w:w="108" w:type="dxa"/>
              <w:right w:w="108" w:type="dxa"/>
            </w:tcMar>
          </w:tcPr>
          <w:p w14:paraId="4036F0C9"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0.091</w:t>
            </w:r>
          </w:p>
        </w:tc>
        <w:tc>
          <w:tcPr>
            <w:tcW w:w="964" w:type="dxa"/>
            <w:tcMar>
              <w:left w:w="108" w:type="dxa"/>
              <w:right w:w="108" w:type="dxa"/>
            </w:tcMar>
          </w:tcPr>
          <w:p w14:paraId="16C030C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0.013</w:t>
            </w:r>
          </w:p>
        </w:tc>
        <w:tc>
          <w:tcPr>
            <w:tcW w:w="1217" w:type="dxa"/>
            <w:tcMar>
              <w:left w:w="108" w:type="dxa"/>
              <w:right w:w="108" w:type="dxa"/>
            </w:tcMar>
          </w:tcPr>
          <w:p w14:paraId="661D03E2"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0.025**</w:t>
            </w:r>
          </w:p>
          <w:p w14:paraId="022AE60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(0.009)</w:t>
            </w:r>
          </w:p>
        </w:tc>
      </w:tr>
      <w:tr w:rsidR="00880499" w14:paraId="67A7CA8D"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6BBF5B6C" w14:textId="6F8D26FA" w:rsidR="005D36E5" w:rsidRDefault="005D36E5" w:rsidP="0080385F">
            <w:pPr>
              <w:rPr>
                <w:rFonts w:eastAsiaTheme="minorEastAsia"/>
              </w:rPr>
            </w:pPr>
            <w:r>
              <w:rPr>
                <w:rFonts w:eastAsiaTheme="minorEastAsia"/>
              </w:rPr>
              <w:t>Employment</w:t>
            </w:r>
            <w:r w:rsidRPr="3B86F912">
              <w:rPr>
                <w:rFonts w:eastAsiaTheme="minorEastAsia"/>
              </w:rPr>
              <w:t xml:space="preserve"> in Q2</w:t>
            </w:r>
            <w:r w:rsidR="001D498C">
              <w:rPr>
                <w:rFonts w:eastAsiaTheme="minorEastAsia"/>
              </w:rPr>
              <w:t>, PR.</w:t>
            </w:r>
          </w:p>
        </w:tc>
        <w:tc>
          <w:tcPr>
            <w:tcW w:w="964" w:type="dxa"/>
            <w:tcMar>
              <w:left w:w="108" w:type="dxa"/>
              <w:right w:w="108" w:type="dxa"/>
            </w:tcMar>
          </w:tcPr>
          <w:p w14:paraId="272323C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0.017</w:t>
            </w:r>
          </w:p>
        </w:tc>
        <w:tc>
          <w:tcPr>
            <w:tcW w:w="868" w:type="dxa"/>
            <w:tcMar>
              <w:left w:w="108" w:type="dxa"/>
              <w:right w:w="108" w:type="dxa"/>
            </w:tcMar>
          </w:tcPr>
          <w:p w14:paraId="0A1FCE7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140E19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311BD57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0.081</w:t>
            </w:r>
          </w:p>
        </w:tc>
        <w:tc>
          <w:tcPr>
            <w:tcW w:w="868" w:type="dxa"/>
            <w:tcMar>
              <w:left w:w="108" w:type="dxa"/>
              <w:right w:w="108" w:type="dxa"/>
            </w:tcMar>
          </w:tcPr>
          <w:p w14:paraId="13DA28FB"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3362DAD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273694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0.026</w:t>
            </w:r>
          </w:p>
        </w:tc>
        <w:tc>
          <w:tcPr>
            <w:tcW w:w="1061" w:type="dxa"/>
            <w:tcMar>
              <w:left w:w="108" w:type="dxa"/>
              <w:right w:w="108" w:type="dxa"/>
            </w:tcMar>
          </w:tcPr>
          <w:p w14:paraId="5099A257"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0.024</w:t>
            </w:r>
          </w:p>
        </w:tc>
        <w:tc>
          <w:tcPr>
            <w:tcW w:w="1061" w:type="dxa"/>
            <w:tcMar>
              <w:left w:w="108" w:type="dxa"/>
              <w:right w:w="108" w:type="dxa"/>
            </w:tcMar>
          </w:tcPr>
          <w:p w14:paraId="30F5BCF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0.007</w:t>
            </w:r>
          </w:p>
        </w:tc>
        <w:tc>
          <w:tcPr>
            <w:tcW w:w="964" w:type="dxa"/>
            <w:tcMar>
              <w:left w:w="108" w:type="dxa"/>
              <w:right w:w="108" w:type="dxa"/>
            </w:tcMar>
          </w:tcPr>
          <w:p w14:paraId="5E6050D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0.009</w:t>
            </w:r>
          </w:p>
        </w:tc>
        <w:tc>
          <w:tcPr>
            <w:tcW w:w="1217" w:type="dxa"/>
            <w:tcMar>
              <w:left w:w="108" w:type="dxa"/>
              <w:right w:w="108" w:type="dxa"/>
            </w:tcMar>
          </w:tcPr>
          <w:p w14:paraId="300AFA0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0.027*</w:t>
            </w:r>
          </w:p>
          <w:p w14:paraId="30271D9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(0.011)</w:t>
            </w:r>
          </w:p>
        </w:tc>
      </w:tr>
      <w:tr w:rsidR="00880499" w14:paraId="3BCF3B81" w14:textId="77777777" w:rsidTr="00880499">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2B127E1B" w14:textId="1E745AB9" w:rsidR="005D36E5" w:rsidRDefault="005D36E5" w:rsidP="0080385F">
            <w:pPr>
              <w:rPr>
                <w:rFonts w:eastAsiaTheme="minorEastAsia"/>
              </w:rPr>
            </w:pPr>
            <w:r>
              <w:rPr>
                <w:rFonts w:eastAsiaTheme="minorEastAsia"/>
              </w:rPr>
              <w:t>Employment</w:t>
            </w:r>
            <w:r w:rsidRPr="3B86F912">
              <w:rPr>
                <w:rFonts w:eastAsiaTheme="minorEastAsia"/>
              </w:rPr>
              <w:t xml:space="preserve"> in Q3</w:t>
            </w:r>
            <w:r w:rsidR="001D498C">
              <w:rPr>
                <w:rFonts w:eastAsiaTheme="minorEastAsia"/>
              </w:rPr>
              <w:t>, PR.</w:t>
            </w:r>
          </w:p>
        </w:tc>
        <w:tc>
          <w:tcPr>
            <w:tcW w:w="964" w:type="dxa"/>
            <w:tcMar>
              <w:left w:w="108" w:type="dxa"/>
              <w:right w:w="108" w:type="dxa"/>
            </w:tcMar>
          </w:tcPr>
          <w:p w14:paraId="7F7CA773"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0.022</w:t>
            </w:r>
          </w:p>
        </w:tc>
        <w:tc>
          <w:tcPr>
            <w:tcW w:w="868" w:type="dxa"/>
            <w:tcMar>
              <w:left w:w="108" w:type="dxa"/>
              <w:right w:w="108" w:type="dxa"/>
            </w:tcMar>
          </w:tcPr>
          <w:p w14:paraId="6C30D83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28E3B67C"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42DC7A4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0.061</w:t>
            </w:r>
          </w:p>
        </w:tc>
        <w:tc>
          <w:tcPr>
            <w:tcW w:w="868" w:type="dxa"/>
            <w:tcMar>
              <w:left w:w="108" w:type="dxa"/>
              <w:right w:w="108" w:type="dxa"/>
            </w:tcMar>
          </w:tcPr>
          <w:p w14:paraId="1F4CD23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61292D38"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3B8A1C0"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0.020</w:t>
            </w:r>
          </w:p>
        </w:tc>
        <w:tc>
          <w:tcPr>
            <w:tcW w:w="1061" w:type="dxa"/>
            <w:tcMar>
              <w:left w:w="108" w:type="dxa"/>
              <w:right w:w="108" w:type="dxa"/>
            </w:tcMar>
          </w:tcPr>
          <w:p w14:paraId="5D220582"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0.010</w:t>
            </w:r>
          </w:p>
        </w:tc>
        <w:tc>
          <w:tcPr>
            <w:tcW w:w="1061" w:type="dxa"/>
            <w:tcMar>
              <w:left w:w="108" w:type="dxa"/>
              <w:right w:w="108" w:type="dxa"/>
            </w:tcMar>
          </w:tcPr>
          <w:p w14:paraId="7D3A465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0.004</w:t>
            </w:r>
          </w:p>
        </w:tc>
        <w:tc>
          <w:tcPr>
            <w:tcW w:w="964" w:type="dxa"/>
            <w:tcMar>
              <w:left w:w="108" w:type="dxa"/>
              <w:right w:w="108" w:type="dxa"/>
            </w:tcMar>
          </w:tcPr>
          <w:p w14:paraId="3FAA141C"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0.001</w:t>
            </w:r>
          </w:p>
        </w:tc>
        <w:tc>
          <w:tcPr>
            <w:tcW w:w="1217" w:type="dxa"/>
            <w:tcMar>
              <w:left w:w="108" w:type="dxa"/>
              <w:right w:w="108" w:type="dxa"/>
            </w:tcMar>
          </w:tcPr>
          <w:p w14:paraId="7AD2442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0.019*</w:t>
            </w:r>
          </w:p>
          <w:p w14:paraId="6F8E2931"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(0.009)</w:t>
            </w:r>
          </w:p>
        </w:tc>
      </w:tr>
      <w:tr w:rsidR="00880499" w14:paraId="0EF9564B"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182AA3B3" w14:textId="124A4CA3" w:rsidR="005D36E5" w:rsidRDefault="005D36E5" w:rsidP="0080385F">
            <w:pPr>
              <w:rPr>
                <w:rFonts w:eastAsiaTheme="minorEastAsia"/>
              </w:rPr>
            </w:pPr>
            <w:r>
              <w:rPr>
                <w:rFonts w:eastAsiaTheme="minorEastAsia"/>
              </w:rPr>
              <w:t>Employment</w:t>
            </w:r>
            <w:r w:rsidRPr="3B86F912">
              <w:rPr>
                <w:rFonts w:eastAsiaTheme="minorEastAsia"/>
              </w:rPr>
              <w:t xml:space="preserve"> in Q4</w:t>
            </w:r>
            <w:r w:rsidR="001D498C">
              <w:rPr>
                <w:rFonts w:eastAsiaTheme="minorEastAsia"/>
              </w:rPr>
              <w:t>, PR.</w:t>
            </w:r>
          </w:p>
        </w:tc>
        <w:tc>
          <w:tcPr>
            <w:tcW w:w="964" w:type="dxa"/>
            <w:tcMar>
              <w:left w:w="108" w:type="dxa"/>
              <w:right w:w="108" w:type="dxa"/>
            </w:tcMar>
          </w:tcPr>
          <w:p w14:paraId="36D6C9B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0.015</w:t>
            </w:r>
          </w:p>
        </w:tc>
        <w:tc>
          <w:tcPr>
            <w:tcW w:w="868" w:type="dxa"/>
            <w:tcMar>
              <w:left w:w="108" w:type="dxa"/>
              <w:right w:w="108" w:type="dxa"/>
            </w:tcMar>
          </w:tcPr>
          <w:p w14:paraId="69055A7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D6C0057"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355C82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0.059</w:t>
            </w:r>
          </w:p>
        </w:tc>
        <w:tc>
          <w:tcPr>
            <w:tcW w:w="868" w:type="dxa"/>
            <w:tcMar>
              <w:left w:w="108" w:type="dxa"/>
              <w:right w:w="108" w:type="dxa"/>
            </w:tcMar>
          </w:tcPr>
          <w:p w14:paraId="0CED0D2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D1EBB2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1EFFB306"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0.016</w:t>
            </w:r>
          </w:p>
        </w:tc>
        <w:tc>
          <w:tcPr>
            <w:tcW w:w="1061" w:type="dxa"/>
            <w:tcMar>
              <w:left w:w="108" w:type="dxa"/>
              <w:right w:w="108" w:type="dxa"/>
            </w:tcMar>
          </w:tcPr>
          <w:p w14:paraId="5283A27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0.007</w:t>
            </w:r>
          </w:p>
        </w:tc>
        <w:tc>
          <w:tcPr>
            <w:tcW w:w="1061" w:type="dxa"/>
            <w:tcMar>
              <w:left w:w="108" w:type="dxa"/>
              <w:right w:w="108" w:type="dxa"/>
            </w:tcMar>
          </w:tcPr>
          <w:p w14:paraId="1EFC1B9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0.006</w:t>
            </w:r>
          </w:p>
        </w:tc>
        <w:tc>
          <w:tcPr>
            <w:tcW w:w="964" w:type="dxa"/>
            <w:tcMar>
              <w:left w:w="108" w:type="dxa"/>
              <w:right w:w="108" w:type="dxa"/>
            </w:tcMar>
          </w:tcPr>
          <w:p w14:paraId="48BBA62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0.001</w:t>
            </w:r>
          </w:p>
        </w:tc>
        <w:tc>
          <w:tcPr>
            <w:tcW w:w="1217" w:type="dxa"/>
            <w:tcMar>
              <w:left w:w="108" w:type="dxa"/>
              <w:right w:w="108" w:type="dxa"/>
            </w:tcMar>
          </w:tcPr>
          <w:p w14:paraId="61E223B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0.017*</w:t>
            </w:r>
          </w:p>
          <w:p w14:paraId="3B8240B6"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(0.008)</w:t>
            </w:r>
          </w:p>
        </w:tc>
      </w:tr>
      <w:tr w:rsidR="00880499" w14:paraId="0A84BEDA" w14:textId="77777777" w:rsidTr="00880499">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0E703C5D" w14:textId="77777777" w:rsidR="005D36E5" w:rsidRDefault="005D36E5" w:rsidP="0080385F">
            <w:pPr>
              <w:rPr>
                <w:rFonts w:eastAsiaTheme="minorEastAsia"/>
              </w:rPr>
            </w:pPr>
            <w:r w:rsidRPr="1CAD69C1">
              <w:rPr>
                <w:rFonts w:eastAsiaTheme="minorEastAsia"/>
              </w:rPr>
              <w:t>Wages in Q1</w:t>
            </w:r>
            <w:r>
              <w:rPr>
                <w:rFonts w:eastAsiaTheme="minorEastAsia"/>
              </w:rPr>
              <w:t>, $</w:t>
            </w:r>
          </w:p>
        </w:tc>
        <w:tc>
          <w:tcPr>
            <w:tcW w:w="964" w:type="dxa"/>
            <w:tcMar>
              <w:left w:w="108" w:type="dxa"/>
              <w:right w:w="108" w:type="dxa"/>
            </w:tcMar>
          </w:tcPr>
          <w:p w14:paraId="02C86958"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52</w:t>
            </w:r>
          </w:p>
        </w:tc>
        <w:tc>
          <w:tcPr>
            <w:tcW w:w="868" w:type="dxa"/>
            <w:tcMar>
              <w:left w:w="108" w:type="dxa"/>
              <w:right w:w="108" w:type="dxa"/>
            </w:tcMar>
          </w:tcPr>
          <w:p w14:paraId="5D7E193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499AB21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4EB016E5"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376</w:t>
            </w:r>
          </w:p>
        </w:tc>
        <w:tc>
          <w:tcPr>
            <w:tcW w:w="868" w:type="dxa"/>
            <w:tcMar>
              <w:left w:w="108" w:type="dxa"/>
              <w:right w:w="108" w:type="dxa"/>
            </w:tcMar>
          </w:tcPr>
          <w:p w14:paraId="546B1B8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2C0C80DC"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6B837D5"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0</w:t>
            </w:r>
          </w:p>
        </w:tc>
        <w:tc>
          <w:tcPr>
            <w:tcW w:w="1061" w:type="dxa"/>
            <w:tcMar>
              <w:left w:w="108" w:type="dxa"/>
              <w:right w:w="108" w:type="dxa"/>
            </w:tcMar>
          </w:tcPr>
          <w:p w14:paraId="1442E443"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128</w:t>
            </w:r>
          </w:p>
        </w:tc>
        <w:tc>
          <w:tcPr>
            <w:tcW w:w="1061" w:type="dxa"/>
            <w:tcMar>
              <w:left w:w="108" w:type="dxa"/>
              <w:right w:w="108" w:type="dxa"/>
            </w:tcMar>
          </w:tcPr>
          <w:p w14:paraId="653B97CF"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25</w:t>
            </w:r>
          </w:p>
        </w:tc>
        <w:tc>
          <w:tcPr>
            <w:tcW w:w="964" w:type="dxa"/>
            <w:tcMar>
              <w:left w:w="108" w:type="dxa"/>
              <w:right w:w="108" w:type="dxa"/>
            </w:tcMar>
          </w:tcPr>
          <w:p w14:paraId="3A3BC641"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140</w:t>
            </w:r>
          </w:p>
        </w:tc>
        <w:tc>
          <w:tcPr>
            <w:tcW w:w="1217" w:type="dxa"/>
            <w:tcMar>
              <w:left w:w="108" w:type="dxa"/>
              <w:right w:w="108" w:type="dxa"/>
            </w:tcMar>
          </w:tcPr>
          <w:p w14:paraId="22316E3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125.9</w:t>
            </w:r>
            <w:r>
              <w:rPr>
                <w:rFonts w:eastAsiaTheme="minorEastAsia"/>
              </w:rPr>
              <w:t>8</w:t>
            </w:r>
            <w:r w:rsidRPr="1CAD69C1">
              <w:rPr>
                <w:rFonts w:eastAsiaTheme="minorEastAsia"/>
              </w:rPr>
              <w:t>*</w:t>
            </w:r>
          </w:p>
          <w:p w14:paraId="5D5E6CE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(63.01)</w:t>
            </w:r>
          </w:p>
        </w:tc>
      </w:tr>
      <w:tr w:rsidR="00880499" w14:paraId="1C871729"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219A5803" w14:textId="77777777" w:rsidR="005D36E5" w:rsidRDefault="005D36E5" w:rsidP="0080385F">
            <w:pPr>
              <w:rPr>
                <w:rFonts w:eastAsiaTheme="minorEastAsia"/>
              </w:rPr>
            </w:pPr>
            <w:r w:rsidRPr="1CAD69C1">
              <w:rPr>
                <w:rFonts w:eastAsiaTheme="minorEastAsia"/>
              </w:rPr>
              <w:t>Wages in Q2</w:t>
            </w:r>
            <w:r>
              <w:rPr>
                <w:rFonts w:eastAsiaTheme="minorEastAsia"/>
              </w:rPr>
              <w:t>, $</w:t>
            </w:r>
          </w:p>
        </w:tc>
        <w:tc>
          <w:tcPr>
            <w:tcW w:w="964" w:type="dxa"/>
            <w:tcMar>
              <w:left w:w="108" w:type="dxa"/>
              <w:right w:w="108" w:type="dxa"/>
            </w:tcMar>
          </w:tcPr>
          <w:p w14:paraId="392F2203"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206</w:t>
            </w:r>
          </w:p>
        </w:tc>
        <w:tc>
          <w:tcPr>
            <w:tcW w:w="868" w:type="dxa"/>
            <w:tcMar>
              <w:left w:w="108" w:type="dxa"/>
              <w:right w:w="108" w:type="dxa"/>
            </w:tcMar>
          </w:tcPr>
          <w:p w14:paraId="6038AC66"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93AA0B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593385C2"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498</w:t>
            </w:r>
          </w:p>
        </w:tc>
        <w:tc>
          <w:tcPr>
            <w:tcW w:w="868" w:type="dxa"/>
            <w:tcMar>
              <w:left w:w="108" w:type="dxa"/>
              <w:right w:w="108" w:type="dxa"/>
            </w:tcMar>
          </w:tcPr>
          <w:p w14:paraId="289F4D3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26182A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1DF2F4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195</w:t>
            </w:r>
          </w:p>
        </w:tc>
        <w:tc>
          <w:tcPr>
            <w:tcW w:w="1061" w:type="dxa"/>
            <w:tcMar>
              <w:left w:w="108" w:type="dxa"/>
              <w:right w:w="108" w:type="dxa"/>
            </w:tcMar>
          </w:tcPr>
          <w:p w14:paraId="1A26212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264</w:t>
            </w:r>
          </w:p>
        </w:tc>
        <w:tc>
          <w:tcPr>
            <w:tcW w:w="1061" w:type="dxa"/>
            <w:tcMar>
              <w:left w:w="108" w:type="dxa"/>
              <w:right w:w="108" w:type="dxa"/>
            </w:tcMar>
          </w:tcPr>
          <w:p w14:paraId="43D36622"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-108</w:t>
            </w:r>
          </w:p>
        </w:tc>
        <w:tc>
          <w:tcPr>
            <w:tcW w:w="964" w:type="dxa"/>
            <w:tcMar>
              <w:left w:w="108" w:type="dxa"/>
              <w:right w:w="108" w:type="dxa"/>
            </w:tcMar>
          </w:tcPr>
          <w:p w14:paraId="2001F55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157</w:t>
            </w:r>
          </w:p>
        </w:tc>
        <w:tc>
          <w:tcPr>
            <w:tcW w:w="1217" w:type="dxa"/>
            <w:tcMar>
              <w:left w:w="108" w:type="dxa"/>
              <w:right w:w="108" w:type="dxa"/>
            </w:tcMar>
          </w:tcPr>
          <w:p w14:paraId="062D5C3B"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229.8</w:t>
            </w:r>
            <w:r>
              <w:rPr>
                <w:rFonts w:eastAsiaTheme="minorEastAsia"/>
              </w:rPr>
              <w:t>7</w:t>
            </w:r>
            <w:r w:rsidRPr="1CAD69C1">
              <w:rPr>
                <w:rFonts w:eastAsiaTheme="minorEastAsia"/>
              </w:rPr>
              <w:t>**</w:t>
            </w:r>
          </w:p>
          <w:p w14:paraId="1537E63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(68.99)</w:t>
            </w:r>
          </w:p>
        </w:tc>
      </w:tr>
      <w:tr w:rsidR="00880499" w14:paraId="602AF6A8" w14:textId="77777777" w:rsidTr="00880499">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05903134" w14:textId="77777777" w:rsidR="005D36E5" w:rsidRDefault="005D36E5" w:rsidP="0080385F">
            <w:pPr>
              <w:rPr>
                <w:rFonts w:eastAsiaTheme="minorEastAsia"/>
              </w:rPr>
            </w:pPr>
            <w:r w:rsidRPr="1CAD69C1">
              <w:rPr>
                <w:rFonts w:eastAsiaTheme="minorEastAsia"/>
              </w:rPr>
              <w:t>Wages in Q3</w:t>
            </w:r>
            <w:r>
              <w:rPr>
                <w:rFonts w:eastAsiaTheme="minorEastAsia"/>
              </w:rPr>
              <w:t>, $</w:t>
            </w:r>
          </w:p>
        </w:tc>
        <w:tc>
          <w:tcPr>
            <w:tcW w:w="964" w:type="dxa"/>
            <w:tcMar>
              <w:left w:w="108" w:type="dxa"/>
              <w:right w:w="108" w:type="dxa"/>
            </w:tcMar>
          </w:tcPr>
          <w:p w14:paraId="07BC38F0"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129</w:t>
            </w:r>
          </w:p>
        </w:tc>
        <w:tc>
          <w:tcPr>
            <w:tcW w:w="868" w:type="dxa"/>
            <w:tcMar>
              <w:left w:w="108" w:type="dxa"/>
              <w:right w:w="108" w:type="dxa"/>
            </w:tcMar>
          </w:tcPr>
          <w:p w14:paraId="5AE106A2"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05C85E94"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2E1128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508</w:t>
            </w:r>
          </w:p>
        </w:tc>
        <w:tc>
          <w:tcPr>
            <w:tcW w:w="868" w:type="dxa"/>
            <w:tcMar>
              <w:left w:w="108" w:type="dxa"/>
              <w:right w:w="108" w:type="dxa"/>
            </w:tcMar>
          </w:tcPr>
          <w:p w14:paraId="3F91B3A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53A6781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345AFE4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175</w:t>
            </w:r>
          </w:p>
        </w:tc>
        <w:tc>
          <w:tcPr>
            <w:tcW w:w="1061" w:type="dxa"/>
            <w:tcMar>
              <w:left w:w="108" w:type="dxa"/>
              <w:right w:w="108" w:type="dxa"/>
            </w:tcMar>
          </w:tcPr>
          <w:p w14:paraId="21DA9CE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152</w:t>
            </w:r>
          </w:p>
        </w:tc>
        <w:tc>
          <w:tcPr>
            <w:tcW w:w="1061" w:type="dxa"/>
            <w:tcMar>
              <w:left w:w="108" w:type="dxa"/>
              <w:right w:w="108" w:type="dxa"/>
            </w:tcMar>
          </w:tcPr>
          <w:p w14:paraId="5AC2F87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89</w:t>
            </w:r>
          </w:p>
        </w:tc>
        <w:tc>
          <w:tcPr>
            <w:tcW w:w="964" w:type="dxa"/>
            <w:tcMar>
              <w:left w:w="108" w:type="dxa"/>
              <w:right w:w="108" w:type="dxa"/>
            </w:tcMar>
          </w:tcPr>
          <w:p w14:paraId="04C34BFF"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115</w:t>
            </w:r>
          </w:p>
        </w:tc>
        <w:tc>
          <w:tcPr>
            <w:tcW w:w="1217" w:type="dxa"/>
            <w:tcMar>
              <w:left w:w="108" w:type="dxa"/>
              <w:right w:w="108" w:type="dxa"/>
            </w:tcMar>
          </w:tcPr>
          <w:p w14:paraId="534729C9"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201.7</w:t>
            </w:r>
            <w:r>
              <w:rPr>
                <w:rFonts w:eastAsiaTheme="minorEastAsia"/>
              </w:rPr>
              <w:t>9</w:t>
            </w:r>
            <w:r w:rsidRPr="1CAD69C1">
              <w:rPr>
                <w:rFonts w:eastAsiaTheme="minorEastAsia"/>
              </w:rPr>
              <w:t>**</w:t>
            </w:r>
          </w:p>
          <w:p w14:paraId="6C1AEE0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(67.2</w:t>
            </w:r>
            <w:r>
              <w:rPr>
                <w:rFonts w:eastAsiaTheme="minorEastAsia"/>
              </w:rPr>
              <w:t>7</w:t>
            </w:r>
            <w:r w:rsidRPr="1CAD69C1">
              <w:rPr>
                <w:rFonts w:eastAsiaTheme="minorEastAsia"/>
              </w:rPr>
              <w:t>)</w:t>
            </w:r>
          </w:p>
        </w:tc>
      </w:tr>
      <w:tr w:rsidR="00880499" w14:paraId="4500BED2" w14:textId="77777777" w:rsidTr="00880499">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6B458324" w14:textId="77777777" w:rsidR="005D36E5" w:rsidRDefault="005D36E5" w:rsidP="0080385F">
            <w:pPr>
              <w:rPr>
                <w:rFonts w:eastAsiaTheme="minorEastAsia"/>
              </w:rPr>
            </w:pPr>
            <w:r w:rsidRPr="1CAD69C1">
              <w:rPr>
                <w:rFonts w:eastAsiaTheme="minorEastAsia"/>
              </w:rPr>
              <w:t>Wages in Q4</w:t>
            </w:r>
            <w:r>
              <w:rPr>
                <w:rFonts w:eastAsiaTheme="minorEastAsia"/>
              </w:rPr>
              <w:t>, $</w:t>
            </w:r>
          </w:p>
        </w:tc>
        <w:tc>
          <w:tcPr>
            <w:tcW w:w="964" w:type="dxa"/>
            <w:tcMar>
              <w:left w:w="108" w:type="dxa"/>
              <w:right w:w="108" w:type="dxa"/>
            </w:tcMar>
          </w:tcPr>
          <w:p w14:paraId="64C4DC6F"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89</w:t>
            </w:r>
          </w:p>
        </w:tc>
        <w:tc>
          <w:tcPr>
            <w:tcW w:w="868" w:type="dxa"/>
            <w:tcMar>
              <w:left w:w="108" w:type="dxa"/>
              <w:right w:w="108" w:type="dxa"/>
            </w:tcMar>
          </w:tcPr>
          <w:p w14:paraId="6F497EF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7197BD9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655216C3"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473</w:t>
            </w:r>
          </w:p>
        </w:tc>
        <w:tc>
          <w:tcPr>
            <w:tcW w:w="868" w:type="dxa"/>
            <w:tcMar>
              <w:left w:w="108" w:type="dxa"/>
              <w:right w:w="108" w:type="dxa"/>
            </w:tcMar>
          </w:tcPr>
          <w:p w14:paraId="194011E1"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49FAB2D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NA</w:t>
            </w:r>
          </w:p>
        </w:tc>
        <w:tc>
          <w:tcPr>
            <w:tcW w:w="964" w:type="dxa"/>
            <w:tcMar>
              <w:left w:w="108" w:type="dxa"/>
              <w:right w:w="108" w:type="dxa"/>
            </w:tcMar>
          </w:tcPr>
          <w:p w14:paraId="31AAB9BE"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90</w:t>
            </w:r>
          </w:p>
        </w:tc>
        <w:tc>
          <w:tcPr>
            <w:tcW w:w="1061" w:type="dxa"/>
            <w:tcMar>
              <w:left w:w="108" w:type="dxa"/>
              <w:right w:w="108" w:type="dxa"/>
            </w:tcMar>
          </w:tcPr>
          <w:p w14:paraId="7DA4823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82</w:t>
            </w:r>
          </w:p>
        </w:tc>
        <w:tc>
          <w:tcPr>
            <w:tcW w:w="1061" w:type="dxa"/>
            <w:tcMar>
              <w:left w:w="108" w:type="dxa"/>
              <w:right w:w="108" w:type="dxa"/>
            </w:tcMar>
          </w:tcPr>
          <w:p w14:paraId="2B2564A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190</w:t>
            </w:r>
          </w:p>
        </w:tc>
        <w:tc>
          <w:tcPr>
            <w:tcW w:w="964" w:type="dxa"/>
            <w:tcMar>
              <w:left w:w="108" w:type="dxa"/>
              <w:right w:w="108" w:type="dxa"/>
            </w:tcMar>
          </w:tcPr>
          <w:p w14:paraId="54935CAB"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081</w:t>
            </w:r>
          </w:p>
        </w:tc>
        <w:tc>
          <w:tcPr>
            <w:tcW w:w="1217" w:type="dxa"/>
            <w:tcMar>
              <w:left w:w="108" w:type="dxa"/>
              <w:right w:w="108" w:type="dxa"/>
            </w:tcMar>
          </w:tcPr>
          <w:p w14:paraId="3456EB95"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146.8</w:t>
            </w:r>
            <w:r>
              <w:rPr>
                <w:rFonts w:eastAsiaTheme="minorEastAsia"/>
              </w:rPr>
              <w:t>9</w:t>
            </w:r>
          </w:p>
          <w:p w14:paraId="0598765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(76.31)</w:t>
            </w:r>
          </w:p>
        </w:tc>
      </w:tr>
      <w:tr w:rsidR="00880499" w14:paraId="077CA63E" w14:textId="77777777" w:rsidTr="00503D0E">
        <w:trPr>
          <w:trHeight w:val="335"/>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48A5689D" w14:textId="77777777" w:rsidR="005D36E5" w:rsidRDefault="005D36E5" w:rsidP="0080385F">
            <w:pPr>
              <w:rPr>
                <w:rFonts w:eastAsiaTheme="minorEastAsia"/>
              </w:rPr>
            </w:pPr>
            <w:r w:rsidRPr="1CAD69C1">
              <w:rPr>
                <w:rFonts w:eastAsiaTheme="minorEastAsia"/>
              </w:rPr>
              <w:t>Treatment N</w:t>
            </w:r>
          </w:p>
        </w:tc>
        <w:tc>
          <w:tcPr>
            <w:tcW w:w="964" w:type="dxa"/>
            <w:tcMar>
              <w:left w:w="108" w:type="dxa"/>
              <w:right w:w="108" w:type="dxa"/>
            </w:tcMar>
          </w:tcPr>
          <w:p w14:paraId="0CAB1F36"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38,600</w:t>
            </w:r>
          </w:p>
        </w:tc>
        <w:tc>
          <w:tcPr>
            <w:tcW w:w="868" w:type="dxa"/>
            <w:tcMar>
              <w:left w:w="108" w:type="dxa"/>
              <w:right w:w="108" w:type="dxa"/>
            </w:tcMar>
          </w:tcPr>
          <w:p w14:paraId="1BD91BB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3,021</w:t>
            </w:r>
          </w:p>
        </w:tc>
        <w:tc>
          <w:tcPr>
            <w:tcW w:w="964" w:type="dxa"/>
            <w:tcMar>
              <w:left w:w="108" w:type="dxa"/>
              <w:right w:w="108" w:type="dxa"/>
            </w:tcMar>
          </w:tcPr>
          <w:p w14:paraId="7309A8DA"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2,175</w:t>
            </w:r>
          </w:p>
        </w:tc>
        <w:tc>
          <w:tcPr>
            <w:tcW w:w="964" w:type="dxa"/>
            <w:tcMar>
              <w:left w:w="108" w:type="dxa"/>
              <w:right w:w="108" w:type="dxa"/>
            </w:tcMar>
          </w:tcPr>
          <w:p w14:paraId="549F9DD1"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5,157</w:t>
            </w:r>
          </w:p>
        </w:tc>
        <w:tc>
          <w:tcPr>
            <w:tcW w:w="868" w:type="dxa"/>
            <w:tcMar>
              <w:left w:w="108" w:type="dxa"/>
              <w:right w:w="108" w:type="dxa"/>
            </w:tcMar>
          </w:tcPr>
          <w:p w14:paraId="0A76470D"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3,038</w:t>
            </w:r>
          </w:p>
        </w:tc>
        <w:tc>
          <w:tcPr>
            <w:tcW w:w="964" w:type="dxa"/>
            <w:tcMar>
              <w:left w:w="108" w:type="dxa"/>
              <w:right w:w="108" w:type="dxa"/>
            </w:tcMar>
          </w:tcPr>
          <w:p w14:paraId="76907551"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560</w:t>
            </w:r>
          </w:p>
        </w:tc>
        <w:tc>
          <w:tcPr>
            <w:tcW w:w="964" w:type="dxa"/>
            <w:tcMar>
              <w:left w:w="108" w:type="dxa"/>
              <w:right w:w="108" w:type="dxa"/>
            </w:tcMar>
          </w:tcPr>
          <w:p w14:paraId="1EF19C1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42,322</w:t>
            </w:r>
          </w:p>
        </w:tc>
        <w:tc>
          <w:tcPr>
            <w:tcW w:w="1061" w:type="dxa"/>
            <w:tcMar>
              <w:left w:w="108" w:type="dxa"/>
              <w:right w:w="108" w:type="dxa"/>
            </w:tcMar>
          </w:tcPr>
          <w:p w14:paraId="35FDD4FB"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127,185</w:t>
            </w:r>
          </w:p>
        </w:tc>
        <w:tc>
          <w:tcPr>
            <w:tcW w:w="1061" w:type="dxa"/>
            <w:tcMar>
              <w:left w:w="108" w:type="dxa"/>
              <w:right w:w="108" w:type="dxa"/>
            </w:tcMar>
          </w:tcPr>
          <w:p w14:paraId="65E0649E"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33,742</w:t>
            </w:r>
          </w:p>
        </w:tc>
        <w:tc>
          <w:tcPr>
            <w:tcW w:w="964" w:type="dxa"/>
            <w:tcMar>
              <w:left w:w="108" w:type="dxa"/>
              <w:right w:w="108" w:type="dxa"/>
            </w:tcMar>
          </w:tcPr>
          <w:p w14:paraId="6C80ED84"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16,097</w:t>
            </w:r>
          </w:p>
        </w:tc>
        <w:tc>
          <w:tcPr>
            <w:tcW w:w="1217" w:type="dxa"/>
            <w:tcMar>
              <w:left w:w="108" w:type="dxa"/>
              <w:right w:w="108" w:type="dxa"/>
            </w:tcMar>
          </w:tcPr>
          <w:p w14:paraId="2924E547" w14:textId="77777777" w:rsidR="005D36E5" w:rsidRDefault="005D36E5"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1CAD69C1">
              <w:rPr>
                <w:rFonts w:eastAsiaTheme="minorEastAsia"/>
              </w:rPr>
              <w:t xml:space="preserve"> </w:t>
            </w:r>
          </w:p>
        </w:tc>
      </w:tr>
      <w:tr w:rsidR="00880499" w14:paraId="4D90B947" w14:textId="77777777" w:rsidTr="00503D0E">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bottom w:val="single" w:sz="2" w:space="0" w:color="auto"/>
            </w:tcBorders>
            <w:tcMar>
              <w:left w:w="108" w:type="dxa"/>
              <w:right w:w="108" w:type="dxa"/>
            </w:tcMar>
          </w:tcPr>
          <w:p w14:paraId="54025D02" w14:textId="77777777" w:rsidR="005D36E5" w:rsidRDefault="005D36E5" w:rsidP="0080385F">
            <w:pPr>
              <w:rPr>
                <w:rFonts w:eastAsiaTheme="minorEastAsia"/>
              </w:rPr>
            </w:pPr>
            <w:r w:rsidRPr="1CAD69C1">
              <w:rPr>
                <w:rFonts w:eastAsiaTheme="minorEastAsia"/>
              </w:rPr>
              <w:t>Control N</w:t>
            </w:r>
          </w:p>
        </w:tc>
        <w:tc>
          <w:tcPr>
            <w:tcW w:w="964" w:type="dxa"/>
            <w:tcBorders>
              <w:bottom w:val="single" w:sz="2" w:space="0" w:color="auto"/>
            </w:tcBorders>
            <w:tcMar>
              <w:left w:w="108" w:type="dxa"/>
              <w:right w:w="108" w:type="dxa"/>
            </w:tcMar>
          </w:tcPr>
          <w:p w14:paraId="79B6F05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41,931</w:t>
            </w:r>
          </w:p>
        </w:tc>
        <w:tc>
          <w:tcPr>
            <w:tcW w:w="868" w:type="dxa"/>
            <w:tcBorders>
              <w:bottom w:val="single" w:sz="2" w:space="0" w:color="auto"/>
            </w:tcBorders>
            <w:tcMar>
              <w:left w:w="108" w:type="dxa"/>
              <w:right w:w="108" w:type="dxa"/>
            </w:tcMar>
          </w:tcPr>
          <w:p w14:paraId="7A2E1E0D"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3,867</w:t>
            </w:r>
          </w:p>
        </w:tc>
        <w:tc>
          <w:tcPr>
            <w:tcW w:w="964" w:type="dxa"/>
            <w:tcBorders>
              <w:bottom w:val="single" w:sz="2" w:space="0" w:color="auto"/>
            </w:tcBorders>
            <w:tcMar>
              <w:left w:w="108" w:type="dxa"/>
              <w:right w:w="108" w:type="dxa"/>
            </w:tcMar>
          </w:tcPr>
          <w:p w14:paraId="5643D5A1"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937</w:t>
            </w:r>
          </w:p>
        </w:tc>
        <w:tc>
          <w:tcPr>
            <w:tcW w:w="964" w:type="dxa"/>
            <w:tcBorders>
              <w:bottom w:val="single" w:sz="2" w:space="0" w:color="auto"/>
            </w:tcBorders>
            <w:tcMar>
              <w:left w:w="108" w:type="dxa"/>
              <w:right w:w="108" w:type="dxa"/>
            </w:tcMar>
          </w:tcPr>
          <w:p w14:paraId="0367538A"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27,594</w:t>
            </w:r>
          </w:p>
        </w:tc>
        <w:tc>
          <w:tcPr>
            <w:tcW w:w="868" w:type="dxa"/>
            <w:tcBorders>
              <w:bottom w:val="single" w:sz="2" w:space="0" w:color="auto"/>
            </w:tcBorders>
            <w:tcMar>
              <w:left w:w="108" w:type="dxa"/>
              <w:right w:w="108" w:type="dxa"/>
            </w:tcMar>
          </w:tcPr>
          <w:p w14:paraId="2DFC84A4"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544</w:t>
            </w:r>
          </w:p>
        </w:tc>
        <w:tc>
          <w:tcPr>
            <w:tcW w:w="964" w:type="dxa"/>
            <w:tcBorders>
              <w:bottom w:val="single" w:sz="2" w:space="0" w:color="auto"/>
            </w:tcBorders>
            <w:tcMar>
              <w:left w:w="108" w:type="dxa"/>
              <w:right w:w="108" w:type="dxa"/>
            </w:tcMar>
          </w:tcPr>
          <w:p w14:paraId="4B794133"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1,375</w:t>
            </w:r>
          </w:p>
        </w:tc>
        <w:tc>
          <w:tcPr>
            <w:tcW w:w="964" w:type="dxa"/>
            <w:tcBorders>
              <w:bottom w:val="single" w:sz="2" w:space="0" w:color="auto"/>
            </w:tcBorders>
            <w:tcMar>
              <w:left w:w="108" w:type="dxa"/>
              <w:right w:w="108" w:type="dxa"/>
            </w:tcMar>
          </w:tcPr>
          <w:p w14:paraId="05C70F28"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7,685</w:t>
            </w:r>
          </w:p>
        </w:tc>
        <w:tc>
          <w:tcPr>
            <w:tcW w:w="1061" w:type="dxa"/>
            <w:tcBorders>
              <w:bottom w:val="single" w:sz="2" w:space="0" w:color="auto"/>
            </w:tcBorders>
            <w:tcMar>
              <w:left w:w="108" w:type="dxa"/>
              <w:right w:w="108" w:type="dxa"/>
            </w:tcMar>
          </w:tcPr>
          <w:p w14:paraId="409D2BE7"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33,961</w:t>
            </w:r>
          </w:p>
        </w:tc>
        <w:tc>
          <w:tcPr>
            <w:tcW w:w="1061" w:type="dxa"/>
            <w:tcBorders>
              <w:bottom w:val="single" w:sz="2" w:space="0" w:color="auto"/>
            </w:tcBorders>
            <w:tcMar>
              <w:left w:w="108" w:type="dxa"/>
              <w:right w:w="108" w:type="dxa"/>
            </w:tcMar>
          </w:tcPr>
          <w:p w14:paraId="68AA0380"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9,576</w:t>
            </w:r>
          </w:p>
        </w:tc>
        <w:tc>
          <w:tcPr>
            <w:tcW w:w="964" w:type="dxa"/>
            <w:tcBorders>
              <w:bottom w:val="single" w:sz="2" w:space="0" w:color="auto"/>
            </w:tcBorders>
            <w:tcMar>
              <w:left w:w="108" w:type="dxa"/>
              <w:right w:w="108" w:type="dxa"/>
            </w:tcMar>
          </w:tcPr>
          <w:p w14:paraId="5D552362"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8,073</w:t>
            </w:r>
          </w:p>
        </w:tc>
        <w:tc>
          <w:tcPr>
            <w:tcW w:w="1217" w:type="dxa"/>
            <w:tcBorders>
              <w:bottom w:val="single" w:sz="2" w:space="0" w:color="auto"/>
            </w:tcBorders>
            <w:tcMar>
              <w:left w:w="108" w:type="dxa"/>
              <w:right w:w="108" w:type="dxa"/>
            </w:tcMar>
          </w:tcPr>
          <w:p w14:paraId="263B574C" w14:textId="77777777" w:rsidR="005D36E5" w:rsidRDefault="005D36E5"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1CAD69C1">
              <w:rPr>
                <w:rFonts w:eastAsiaTheme="minorEastAsia"/>
              </w:rPr>
              <w:t xml:space="preserve"> </w:t>
            </w:r>
          </w:p>
        </w:tc>
      </w:tr>
    </w:tbl>
    <w:p w14:paraId="2FAB2A0B" w14:textId="1B90F0DF" w:rsidR="00060C69" w:rsidRDefault="63F1196F" w:rsidP="63F1196F">
      <w:pPr>
        <w:spacing w:after="0" w:line="257" w:lineRule="auto"/>
        <w:rPr>
          <w:rFonts w:eastAsiaTheme="minorEastAsia"/>
        </w:rPr>
        <w:sectPr w:rsidR="00060C69" w:rsidSect="00060C69">
          <w:pgSz w:w="15840" w:h="12240" w:orient="landscape"/>
          <w:pgMar w:top="1440" w:right="1440" w:bottom="1440" w:left="1440" w:header="720" w:footer="720" w:gutter="0"/>
          <w:cols w:space="720"/>
          <w:docGrid w:linePitch="360"/>
        </w:sectPr>
      </w:pPr>
      <w:r w:rsidRPr="63F1196F">
        <w:rPr>
          <w:rFonts w:eastAsiaTheme="minorEastAsia"/>
          <w:i/>
          <w:iCs/>
        </w:rPr>
        <w:t>Note</w:t>
      </w:r>
      <w:r w:rsidRPr="63F1196F">
        <w:rPr>
          <w:rFonts w:eastAsiaTheme="minorEastAsia"/>
        </w:rPr>
        <w:t xml:space="preserve">. Common covariates in regression models include gender, race, ethnicity, education, age, occupation group, citizenship, veteran status, disabled status, maximum benefit amount, weeks of eligibility, prior wages, One‐Stop Career Center in which the claim was filed, and date of claim. The specific covariates vary across studies. </w:t>
      </w:r>
    </w:p>
    <w:p w14:paraId="4C5D39A8" w14:textId="42B384A3" w:rsidR="007531D1" w:rsidRPr="00320DD0" w:rsidRDefault="007531D1" w:rsidP="00320DD0">
      <w:pPr>
        <w:spacing w:after="120" w:line="240" w:lineRule="auto"/>
        <w:rPr>
          <w:rFonts w:eastAsiaTheme="minorEastAsia"/>
          <w:b/>
          <w:bCs/>
        </w:rPr>
      </w:pPr>
      <w:r w:rsidRPr="00383DD7">
        <w:rPr>
          <w:rFonts w:eastAsiaTheme="minorEastAsia"/>
          <w:b/>
          <w:bCs/>
        </w:rPr>
        <w:lastRenderedPageBreak/>
        <w:t xml:space="preserve">Table 2. Meta-analysis on the REA impact, standardized mean differences between treatment and control groups. </w:t>
      </w:r>
    </w:p>
    <w:tbl>
      <w:tblPr>
        <w:tblStyle w:val="PlainTable3"/>
        <w:tblW w:w="0" w:type="auto"/>
        <w:tblLayout w:type="fixed"/>
        <w:tblLook w:val="04A0" w:firstRow="1" w:lastRow="0" w:firstColumn="1" w:lastColumn="0" w:noHBand="0" w:noVBand="1"/>
      </w:tblPr>
      <w:tblGrid>
        <w:gridCol w:w="2520"/>
        <w:gridCol w:w="1367"/>
        <w:gridCol w:w="1368"/>
        <w:gridCol w:w="1368"/>
        <w:gridCol w:w="1368"/>
        <w:gridCol w:w="1189"/>
      </w:tblGrid>
      <w:tr w:rsidR="007531D1" w14:paraId="0CA779C2" w14:textId="77777777" w:rsidTr="00947E6C">
        <w:trPr>
          <w:cnfStyle w:val="100000000000" w:firstRow="1" w:lastRow="0" w:firstColumn="0" w:lastColumn="0" w:oddVBand="0" w:evenVBand="0" w:oddHBand="0" w:evenHBand="0" w:firstRowFirstColumn="0" w:firstRowLastColumn="0" w:lastRowFirstColumn="0" w:lastRowLastColumn="0"/>
          <w:trHeight w:val="337"/>
        </w:trPr>
        <w:tc>
          <w:tcPr>
            <w:cnfStyle w:val="001000000100" w:firstRow="0" w:lastRow="0" w:firstColumn="1" w:lastColumn="0" w:oddVBand="0" w:evenVBand="0" w:oddHBand="0" w:evenHBand="0" w:firstRowFirstColumn="1" w:firstRowLastColumn="0" w:lastRowFirstColumn="0" w:lastRowLastColumn="0"/>
            <w:tcW w:w="2520" w:type="dxa"/>
            <w:tcBorders>
              <w:top w:val="single" w:sz="2" w:space="0" w:color="auto"/>
            </w:tcBorders>
            <w:tcMar>
              <w:left w:w="108" w:type="dxa"/>
              <w:right w:w="108" w:type="dxa"/>
            </w:tcMar>
            <w:vAlign w:val="center"/>
          </w:tcPr>
          <w:p w14:paraId="0AFEC086" w14:textId="77777777" w:rsidR="007531D1" w:rsidRDefault="007531D1" w:rsidP="00947E6C">
            <w:pPr>
              <w:jc w:val="center"/>
              <w:rPr>
                <w:rFonts w:eastAsiaTheme="minorEastAsia"/>
              </w:rPr>
            </w:pPr>
            <w:r>
              <w:rPr>
                <w:rFonts w:eastAsiaTheme="minorEastAsia"/>
              </w:rPr>
              <w:t>Outcome Measure</w:t>
            </w:r>
          </w:p>
        </w:tc>
        <w:tc>
          <w:tcPr>
            <w:tcW w:w="1367" w:type="dxa"/>
            <w:tcBorders>
              <w:top w:val="single" w:sz="2" w:space="0" w:color="auto"/>
            </w:tcBorders>
            <w:tcMar>
              <w:left w:w="108" w:type="dxa"/>
              <w:right w:w="108" w:type="dxa"/>
            </w:tcMar>
            <w:vAlign w:val="center"/>
          </w:tcPr>
          <w:p w14:paraId="6A2C7B91" w14:textId="64F073C7" w:rsidR="007531D1" w:rsidRDefault="63F1196F" w:rsidP="00947E6C">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63F1196F">
              <w:rPr>
                <w:rFonts w:eastAsiaTheme="minorEastAsia"/>
              </w:rPr>
              <w:t>FL</w:t>
            </w:r>
          </w:p>
        </w:tc>
        <w:tc>
          <w:tcPr>
            <w:tcW w:w="1368" w:type="dxa"/>
            <w:tcBorders>
              <w:top w:val="single" w:sz="2" w:space="0" w:color="auto"/>
            </w:tcBorders>
            <w:tcMar>
              <w:left w:w="108" w:type="dxa"/>
              <w:right w:w="108" w:type="dxa"/>
            </w:tcMar>
            <w:vAlign w:val="center"/>
          </w:tcPr>
          <w:p w14:paraId="478D4DEE" w14:textId="779678D3" w:rsidR="007531D1" w:rsidRDefault="63F1196F" w:rsidP="00947E6C">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63F1196F">
              <w:rPr>
                <w:rFonts w:eastAsiaTheme="minorEastAsia"/>
              </w:rPr>
              <w:t>ID</w:t>
            </w:r>
          </w:p>
        </w:tc>
        <w:tc>
          <w:tcPr>
            <w:tcW w:w="1368" w:type="dxa"/>
            <w:tcBorders>
              <w:top w:val="single" w:sz="2" w:space="0" w:color="auto"/>
            </w:tcBorders>
            <w:tcMar>
              <w:left w:w="108" w:type="dxa"/>
              <w:right w:w="108" w:type="dxa"/>
            </w:tcMar>
            <w:vAlign w:val="center"/>
          </w:tcPr>
          <w:p w14:paraId="12F37EA7" w14:textId="62A62731" w:rsidR="007531D1" w:rsidRDefault="63F1196F" w:rsidP="00947E6C">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63F1196F">
              <w:rPr>
                <w:rFonts w:eastAsiaTheme="minorEastAsia"/>
              </w:rPr>
              <w:t>IL</w:t>
            </w:r>
          </w:p>
        </w:tc>
        <w:tc>
          <w:tcPr>
            <w:tcW w:w="1368" w:type="dxa"/>
            <w:tcBorders>
              <w:top w:val="single" w:sz="2" w:space="0" w:color="auto"/>
            </w:tcBorders>
            <w:tcMar>
              <w:left w:w="108" w:type="dxa"/>
              <w:right w:w="108" w:type="dxa"/>
            </w:tcMar>
            <w:vAlign w:val="center"/>
          </w:tcPr>
          <w:p w14:paraId="224E8252" w14:textId="1B3A7C69" w:rsidR="007531D1" w:rsidRDefault="63F1196F" w:rsidP="00947E6C">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63F1196F">
              <w:rPr>
                <w:rFonts w:eastAsiaTheme="minorEastAsia"/>
              </w:rPr>
              <w:t>NV</w:t>
            </w:r>
          </w:p>
        </w:tc>
        <w:tc>
          <w:tcPr>
            <w:tcW w:w="1189" w:type="dxa"/>
            <w:tcBorders>
              <w:top w:val="single" w:sz="2" w:space="0" w:color="auto"/>
            </w:tcBorders>
            <w:tcMar>
              <w:left w:w="108" w:type="dxa"/>
              <w:right w:w="108" w:type="dxa"/>
            </w:tcMar>
            <w:vAlign w:val="center"/>
          </w:tcPr>
          <w:p w14:paraId="38EA395D" w14:textId="77777777" w:rsidR="007531D1" w:rsidRDefault="007531D1" w:rsidP="00947E6C">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Theta</w:t>
            </w:r>
          </w:p>
        </w:tc>
      </w:tr>
      <w:tr w:rsidR="007531D1" w14:paraId="5152DC4F"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0FF6BA35" w14:textId="77777777" w:rsidR="007531D1" w:rsidRDefault="007531D1" w:rsidP="0080385F">
            <w:pPr>
              <w:rPr>
                <w:rFonts w:eastAsiaTheme="minorEastAsia"/>
              </w:rPr>
            </w:pPr>
            <w:r w:rsidRPr="3B86F912">
              <w:rPr>
                <w:rFonts w:eastAsiaTheme="minorEastAsia"/>
              </w:rPr>
              <w:t xml:space="preserve">exhaust UI benefits </w:t>
            </w:r>
          </w:p>
        </w:tc>
        <w:tc>
          <w:tcPr>
            <w:tcW w:w="1367" w:type="dxa"/>
            <w:tcMar>
              <w:left w:w="108" w:type="dxa"/>
              <w:right w:w="108" w:type="dxa"/>
            </w:tcMar>
          </w:tcPr>
          <w:p w14:paraId="0752359C"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-0.045</w:t>
            </w:r>
          </w:p>
        </w:tc>
        <w:tc>
          <w:tcPr>
            <w:tcW w:w="1368" w:type="dxa"/>
            <w:tcMar>
              <w:left w:w="108" w:type="dxa"/>
              <w:right w:w="108" w:type="dxa"/>
            </w:tcMar>
          </w:tcPr>
          <w:p w14:paraId="77DF578B"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-0.060</w:t>
            </w:r>
          </w:p>
        </w:tc>
        <w:tc>
          <w:tcPr>
            <w:tcW w:w="1368" w:type="dxa"/>
            <w:tcMar>
              <w:left w:w="108" w:type="dxa"/>
              <w:right w:w="108" w:type="dxa"/>
            </w:tcMar>
          </w:tcPr>
          <w:p w14:paraId="4E2E6056"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-0.025</w:t>
            </w:r>
          </w:p>
        </w:tc>
        <w:tc>
          <w:tcPr>
            <w:tcW w:w="1368" w:type="dxa"/>
            <w:tcMar>
              <w:left w:w="108" w:type="dxa"/>
              <w:right w:w="108" w:type="dxa"/>
            </w:tcMar>
          </w:tcPr>
          <w:p w14:paraId="6432B25C"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-0.261</w:t>
            </w:r>
          </w:p>
        </w:tc>
        <w:tc>
          <w:tcPr>
            <w:tcW w:w="1189" w:type="dxa"/>
            <w:tcMar>
              <w:left w:w="108" w:type="dxa"/>
              <w:right w:w="108" w:type="dxa"/>
            </w:tcMar>
          </w:tcPr>
          <w:p w14:paraId="07F15B93"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-0.100</w:t>
            </w:r>
          </w:p>
        </w:tc>
      </w:tr>
      <w:tr w:rsidR="007531D1" w14:paraId="333B0E30" w14:textId="77777777" w:rsidTr="00947E6C">
        <w:trPr>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72DAAE98" w14:textId="77777777" w:rsidR="007531D1" w:rsidRDefault="007531D1" w:rsidP="0080385F">
            <w:pPr>
              <w:rPr>
                <w:rFonts w:eastAsiaTheme="minorEastAsia"/>
              </w:rPr>
            </w:pPr>
            <w:r w:rsidRPr="3B86F912">
              <w:rPr>
                <w:rFonts w:eastAsiaTheme="minorEastAsia"/>
              </w:rPr>
              <w:t>UI</w:t>
            </w:r>
            <w:r>
              <w:rPr>
                <w:rFonts w:eastAsiaTheme="minorEastAsia"/>
              </w:rPr>
              <w:t xml:space="preserve"> Duration</w:t>
            </w:r>
          </w:p>
        </w:tc>
        <w:tc>
          <w:tcPr>
            <w:tcW w:w="1367" w:type="dxa"/>
            <w:tcMar>
              <w:left w:w="108" w:type="dxa"/>
              <w:right w:w="108" w:type="dxa"/>
            </w:tcMar>
          </w:tcPr>
          <w:p w14:paraId="4A68ECA3" w14:textId="77777777" w:rsidR="007531D1" w:rsidRDefault="007531D1" w:rsidP="0080385F">
            <w:pPr>
              <w:tabs>
                <w:tab w:val="decimal" w:pos="162"/>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-0.056</w:t>
            </w:r>
          </w:p>
        </w:tc>
        <w:tc>
          <w:tcPr>
            <w:tcW w:w="1368" w:type="dxa"/>
            <w:tcMar>
              <w:left w:w="108" w:type="dxa"/>
              <w:right w:w="108" w:type="dxa"/>
            </w:tcMar>
          </w:tcPr>
          <w:p w14:paraId="364B06F3"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-0.098</w:t>
            </w:r>
          </w:p>
        </w:tc>
        <w:tc>
          <w:tcPr>
            <w:tcW w:w="1368" w:type="dxa"/>
            <w:tcMar>
              <w:left w:w="108" w:type="dxa"/>
              <w:right w:w="108" w:type="dxa"/>
            </w:tcMar>
          </w:tcPr>
          <w:p w14:paraId="77567B08"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-0.105</w:t>
            </w:r>
          </w:p>
        </w:tc>
        <w:tc>
          <w:tcPr>
            <w:tcW w:w="1368" w:type="dxa"/>
            <w:tcMar>
              <w:left w:w="108" w:type="dxa"/>
              <w:right w:w="108" w:type="dxa"/>
            </w:tcMar>
          </w:tcPr>
          <w:p w14:paraId="4BBACB2E" w14:textId="77777777" w:rsidR="007531D1" w:rsidRDefault="007531D1" w:rsidP="0080385F">
            <w:pPr>
              <w:tabs>
                <w:tab w:val="decimal" w:pos="199"/>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-0.263</w:t>
            </w:r>
          </w:p>
        </w:tc>
        <w:tc>
          <w:tcPr>
            <w:tcW w:w="1189" w:type="dxa"/>
            <w:tcMar>
              <w:left w:w="108" w:type="dxa"/>
              <w:right w:w="108" w:type="dxa"/>
            </w:tcMar>
          </w:tcPr>
          <w:p w14:paraId="5811857E" w14:textId="77777777" w:rsidR="007531D1" w:rsidRDefault="007531D1" w:rsidP="00947E6C">
            <w:pPr>
              <w:tabs>
                <w:tab w:val="decimal" w:pos="356"/>
              </w:tabs>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-0.131**</w:t>
            </w:r>
          </w:p>
        </w:tc>
      </w:tr>
      <w:tr w:rsidR="007531D1" w14:paraId="4C445B30"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7B9C11FD" w14:textId="77777777" w:rsidR="007531D1" w:rsidRDefault="007531D1" w:rsidP="0080385F">
            <w:pPr>
              <w:rPr>
                <w:rFonts w:eastAsiaTheme="minorEastAsia"/>
              </w:rPr>
            </w:pPr>
            <w:r w:rsidRPr="3B86F912">
              <w:rPr>
                <w:rFonts w:eastAsiaTheme="minorEastAsia"/>
              </w:rPr>
              <w:t>UI benefits</w:t>
            </w:r>
            <w:r>
              <w:rPr>
                <w:rFonts w:eastAsiaTheme="minorEastAsia"/>
              </w:rPr>
              <w:t xml:space="preserve"> Received</w:t>
            </w:r>
          </w:p>
        </w:tc>
        <w:tc>
          <w:tcPr>
            <w:tcW w:w="1367" w:type="dxa"/>
            <w:tcMar>
              <w:left w:w="108" w:type="dxa"/>
              <w:right w:w="108" w:type="dxa"/>
            </w:tcMar>
          </w:tcPr>
          <w:p w14:paraId="2D6B0CD9"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-0.070</w:t>
            </w:r>
          </w:p>
        </w:tc>
        <w:tc>
          <w:tcPr>
            <w:tcW w:w="1368" w:type="dxa"/>
            <w:tcMar>
              <w:left w:w="108" w:type="dxa"/>
              <w:right w:w="108" w:type="dxa"/>
            </w:tcMar>
          </w:tcPr>
          <w:p w14:paraId="7ED8B712"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-0.067</w:t>
            </w:r>
          </w:p>
        </w:tc>
        <w:tc>
          <w:tcPr>
            <w:tcW w:w="1368" w:type="dxa"/>
            <w:tcMar>
              <w:left w:w="108" w:type="dxa"/>
              <w:right w:w="108" w:type="dxa"/>
            </w:tcMar>
          </w:tcPr>
          <w:p w14:paraId="5AF4305D"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-0.007</w:t>
            </w:r>
          </w:p>
        </w:tc>
        <w:tc>
          <w:tcPr>
            <w:tcW w:w="1368" w:type="dxa"/>
            <w:tcMar>
              <w:left w:w="108" w:type="dxa"/>
              <w:right w:w="108" w:type="dxa"/>
            </w:tcMar>
          </w:tcPr>
          <w:p w14:paraId="64F03F51"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-0.163</w:t>
            </w:r>
          </w:p>
        </w:tc>
        <w:tc>
          <w:tcPr>
            <w:tcW w:w="1189" w:type="dxa"/>
            <w:tcMar>
              <w:left w:w="108" w:type="dxa"/>
              <w:right w:w="108" w:type="dxa"/>
            </w:tcMar>
          </w:tcPr>
          <w:p w14:paraId="6FB9F6F7"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-0.082**</w:t>
            </w:r>
          </w:p>
        </w:tc>
      </w:tr>
      <w:tr w:rsidR="007531D1" w14:paraId="6863BFDE" w14:textId="77777777" w:rsidTr="00947E6C">
        <w:trPr>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756B2B35" w14:textId="77777777" w:rsidR="007531D1" w:rsidRDefault="007531D1" w:rsidP="0080385F">
            <w:pPr>
              <w:rPr>
                <w:rFonts w:eastAsiaTheme="minorEastAsia"/>
              </w:rPr>
            </w:pPr>
            <w:r>
              <w:rPr>
                <w:rFonts w:eastAsiaTheme="minorEastAsia"/>
              </w:rPr>
              <w:t>Employment</w:t>
            </w:r>
            <w:r w:rsidRPr="3B86F912">
              <w:rPr>
                <w:rFonts w:eastAsiaTheme="minorEastAsia"/>
              </w:rPr>
              <w:t xml:space="preserve"> in Q1</w:t>
            </w:r>
          </w:p>
        </w:tc>
        <w:tc>
          <w:tcPr>
            <w:tcW w:w="1367" w:type="dxa"/>
            <w:tcMar>
              <w:left w:w="108" w:type="dxa"/>
              <w:right w:w="108" w:type="dxa"/>
            </w:tcMar>
          </w:tcPr>
          <w:p w14:paraId="2B658A3D" w14:textId="77777777" w:rsidR="007531D1" w:rsidRDefault="007531D1" w:rsidP="0080385F">
            <w:pPr>
              <w:tabs>
                <w:tab w:val="decimal" w:pos="162"/>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0.021</w:t>
            </w:r>
          </w:p>
        </w:tc>
        <w:tc>
          <w:tcPr>
            <w:tcW w:w="1368" w:type="dxa"/>
            <w:tcMar>
              <w:left w:w="108" w:type="dxa"/>
              <w:right w:w="108" w:type="dxa"/>
            </w:tcMar>
          </w:tcPr>
          <w:p w14:paraId="717514E8"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33B004D0"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02B57536" w14:textId="77777777" w:rsidR="007531D1" w:rsidRDefault="007531D1" w:rsidP="0080385F">
            <w:pPr>
              <w:tabs>
                <w:tab w:val="decimal" w:pos="199"/>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0.169</w:t>
            </w:r>
          </w:p>
        </w:tc>
        <w:tc>
          <w:tcPr>
            <w:tcW w:w="1189" w:type="dxa"/>
            <w:tcMar>
              <w:left w:w="108" w:type="dxa"/>
              <w:right w:w="108" w:type="dxa"/>
            </w:tcMar>
          </w:tcPr>
          <w:p w14:paraId="065E3D56" w14:textId="77777777" w:rsidR="007531D1" w:rsidRDefault="007531D1" w:rsidP="00947E6C">
            <w:pPr>
              <w:tabs>
                <w:tab w:val="decimal" w:pos="356"/>
              </w:tabs>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0.094</w:t>
            </w:r>
          </w:p>
        </w:tc>
      </w:tr>
      <w:tr w:rsidR="007531D1" w14:paraId="6F0DD7EE"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55C49E40" w14:textId="77777777" w:rsidR="007531D1" w:rsidRDefault="007531D1" w:rsidP="0080385F">
            <w:pPr>
              <w:rPr>
                <w:rFonts w:eastAsiaTheme="minorEastAsia"/>
              </w:rPr>
            </w:pPr>
            <w:r>
              <w:rPr>
                <w:rFonts w:eastAsiaTheme="minorEastAsia"/>
              </w:rPr>
              <w:t>Employment</w:t>
            </w:r>
            <w:r w:rsidRPr="3B86F912">
              <w:rPr>
                <w:rFonts w:eastAsiaTheme="minorEastAsia"/>
              </w:rPr>
              <w:t xml:space="preserve"> in Q2</w:t>
            </w:r>
          </w:p>
        </w:tc>
        <w:tc>
          <w:tcPr>
            <w:tcW w:w="1367" w:type="dxa"/>
            <w:tcMar>
              <w:left w:w="108" w:type="dxa"/>
              <w:right w:w="108" w:type="dxa"/>
            </w:tcMar>
          </w:tcPr>
          <w:p w14:paraId="72F7DC68"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0.019</w:t>
            </w:r>
          </w:p>
        </w:tc>
        <w:tc>
          <w:tcPr>
            <w:tcW w:w="1368" w:type="dxa"/>
            <w:tcMar>
              <w:left w:w="108" w:type="dxa"/>
              <w:right w:w="108" w:type="dxa"/>
            </w:tcMar>
          </w:tcPr>
          <w:p w14:paraId="29CF75D9"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16E8C73F"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7B308550"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0.207</w:t>
            </w:r>
          </w:p>
        </w:tc>
        <w:tc>
          <w:tcPr>
            <w:tcW w:w="1189" w:type="dxa"/>
            <w:tcMar>
              <w:left w:w="108" w:type="dxa"/>
              <w:right w:w="108" w:type="dxa"/>
            </w:tcMar>
          </w:tcPr>
          <w:p w14:paraId="0F774E91"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0.112</w:t>
            </w:r>
          </w:p>
        </w:tc>
      </w:tr>
      <w:tr w:rsidR="007531D1" w14:paraId="3E6ED571" w14:textId="77777777" w:rsidTr="00947E6C">
        <w:trPr>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0121BBB4" w14:textId="77777777" w:rsidR="007531D1" w:rsidRDefault="007531D1" w:rsidP="0080385F">
            <w:pPr>
              <w:rPr>
                <w:rFonts w:eastAsiaTheme="minorEastAsia"/>
              </w:rPr>
            </w:pPr>
            <w:r>
              <w:rPr>
                <w:rFonts w:eastAsiaTheme="minorEastAsia"/>
              </w:rPr>
              <w:t>Employment</w:t>
            </w:r>
            <w:r w:rsidRPr="3B86F912">
              <w:rPr>
                <w:rFonts w:eastAsiaTheme="minorEastAsia"/>
              </w:rPr>
              <w:t xml:space="preserve"> in Q3</w:t>
            </w:r>
          </w:p>
        </w:tc>
        <w:tc>
          <w:tcPr>
            <w:tcW w:w="1367" w:type="dxa"/>
            <w:tcMar>
              <w:left w:w="108" w:type="dxa"/>
              <w:right w:w="108" w:type="dxa"/>
            </w:tcMar>
          </w:tcPr>
          <w:p w14:paraId="062A8DC9" w14:textId="77777777" w:rsidR="007531D1" w:rsidRDefault="007531D1" w:rsidP="0080385F">
            <w:pPr>
              <w:tabs>
                <w:tab w:val="decimal" w:pos="162"/>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0.030</w:t>
            </w:r>
          </w:p>
        </w:tc>
        <w:tc>
          <w:tcPr>
            <w:tcW w:w="1368" w:type="dxa"/>
            <w:tcMar>
              <w:left w:w="108" w:type="dxa"/>
              <w:right w:w="108" w:type="dxa"/>
            </w:tcMar>
          </w:tcPr>
          <w:p w14:paraId="298DFDA3"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47481C3B"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346FDEF6" w14:textId="77777777" w:rsidR="007531D1" w:rsidRDefault="007531D1" w:rsidP="0080385F">
            <w:pPr>
              <w:tabs>
                <w:tab w:val="decimal" w:pos="199"/>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0.169</w:t>
            </w:r>
          </w:p>
        </w:tc>
        <w:tc>
          <w:tcPr>
            <w:tcW w:w="1189" w:type="dxa"/>
            <w:tcMar>
              <w:left w:w="108" w:type="dxa"/>
              <w:right w:w="108" w:type="dxa"/>
            </w:tcMar>
          </w:tcPr>
          <w:p w14:paraId="42C94528" w14:textId="77777777" w:rsidR="007531D1" w:rsidRDefault="007531D1" w:rsidP="00947E6C">
            <w:pPr>
              <w:tabs>
                <w:tab w:val="decimal" w:pos="356"/>
              </w:tabs>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0.099</w:t>
            </w:r>
          </w:p>
        </w:tc>
      </w:tr>
      <w:tr w:rsidR="007531D1" w14:paraId="1B43F5A8"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3CFF1596" w14:textId="77777777" w:rsidR="007531D1" w:rsidRDefault="007531D1" w:rsidP="0080385F">
            <w:pPr>
              <w:rPr>
                <w:rFonts w:eastAsiaTheme="minorEastAsia"/>
              </w:rPr>
            </w:pPr>
            <w:r>
              <w:rPr>
                <w:rFonts w:eastAsiaTheme="minorEastAsia"/>
              </w:rPr>
              <w:t>Employment</w:t>
            </w:r>
            <w:r w:rsidRPr="3B86F912">
              <w:rPr>
                <w:rFonts w:eastAsiaTheme="minorEastAsia"/>
              </w:rPr>
              <w:t xml:space="preserve"> in Q4</w:t>
            </w:r>
          </w:p>
        </w:tc>
        <w:tc>
          <w:tcPr>
            <w:tcW w:w="1367" w:type="dxa"/>
            <w:tcMar>
              <w:left w:w="108" w:type="dxa"/>
              <w:right w:w="108" w:type="dxa"/>
            </w:tcMar>
          </w:tcPr>
          <w:p w14:paraId="20EBE48D"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0.010</w:t>
            </w:r>
          </w:p>
        </w:tc>
        <w:tc>
          <w:tcPr>
            <w:tcW w:w="1368" w:type="dxa"/>
            <w:tcMar>
              <w:left w:w="108" w:type="dxa"/>
              <w:right w:w="108" w:type="dxa"/>
            </w:tcMar>
          </w:tcPr>
          <w:p w14:paraId="14ABAC86"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1906461B"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20BC40D8"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0.150</w:t>
            </w:r>
          </w:p>
        </w:tc>
        <w:tc>
          <w:tcPr>
            <w:tcW w:w="1189" w:type="dxa"/>
            <w:tcMar>
              <w:left w:w="108" w:type="dxa"/>
              <w:right w:w="108" w:type="dxa"/>
            </w:tcMar>
          </w:tcPr>
          <w:p w14:paraId="7110596F"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0.080</w:t>
            </w:r>
          </w:p>
        </w:tc>
      </w:tr>
      <w:tr w:rsidR="007531D1" w14:paraId="175411EB" w14:textId="77777777" w:rsidTr="00947E6C">
        <w:trPr>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1933EB1A" w14:textId="77777777" w:rsidR="007531D1" w:rsidRDefault="007531D1" w:rsidP="0080385F">
            <w:pPr>
              <w:rPr>
                <w:rFonts w:eastAsiaTheme="minorEastAsia"/>
              </w:rPr>
            </w:pPr>
            <w:r w:rsidRPr="3B86F912">
              <w:rPr>
                <w:rFonts w:eastAsiaTheme="minorEastAsia"/>
              </w:rPr>
              <w:t>Wages in Q1</w:t>
            </w:r>
          </w:p>
        </w:tc>
        <w:tc>
          <w:tcPr>
            <w:tcW w:w="1367" w:type="dxa"/>
            <w:tcMar>
              <w:left w:w="108" w:type="dxa"/>
              <w:right w:w="108" w:type="dxa"/>
            </w:tcMar>
          </w:tcPr>
          <w:p w14:paraId="77CEF957" w14:textId="77777777" w:rsidR="007531D1" w:rsidRDefault="007531D1" w:rsidP="0080385F">
            <w:pPr>
              <w:tabs>
                <w:tab w:val="decimal" w:pos="162"/>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-0.005</w:t>
            </w:r>
          </w:p>
        </w:tc>
        <w:tc>
          <w:tcPr>
            <w:tcW w:w="1368" w:type="dxa"/>
            <w:tcMar>
              <w:left w:w="108" w:type="dxa"/>
              <w:right w:w="108" w:type="dxa"/>
            </w:tcMar>
          </w:tcPr>
          <w:p w14:paraId="5A4087F3"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78AC4D2A"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051946F0" w14:textId="77777777" w:rsidR="007531D1" w:rsidRDefault="007531D1" w:rsidP="0080385F">
            <w:pPr>
              <w:tabs>
                <w:tab w:val="decimal" w:pos="199"/>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0.124</w:t>
            </w:r>
          </w:p>
        </w:tc>
        <w:tc>
          <w:tcPr>
            <w:tcW w:w="1189" w:type="dxa"/>
            <w:tcMar>
              <w:left w:w="108" w:type="dxa"/>
              <w:right w:w="108" w:type="dxa"/>
            </w:tcMar>
          </w:tcPr>
          <w:p w14:paraId="35C31046" w14:textId="77777777" w:rsidR="007531D1" w:rsidRDefault="007531D1" w:rsidP="00947E6C">
            <w:pPr>
              <w:tabs>
                <w:tab w:val="decimal" w:pos="356"/>
              </w:tabs>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0.059</w:t>
            </w:r>
          </w:p>
        </w:tc>
      </w:tr>
      <w:tr w:rsidR="007531D1" w14:paraId="378F01C4"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0F401899" w14:textId="77777777" w:rsidR="007531D1" w:rsidRDefault="007531D1" w:rsidP="0080385F">
            <w:pPr>
              <w:rPr>
                <w:rFonts w:eastAsiaTheme="minorEastAsia"/>
              </w:rPr>
            </w:pPr>
            <w:r w:rsidRPr="3B86F912">
              <w:rPr>
                <w:rFonts w:eastAsiaTheme="minorEastAsia"/>
              </w:rPr>
              <w:t>Wages in Q2</w:t>
            </w:r>
          </w:p>
        </w:tc>
        <w:tc>
          <w:tcPr>
            <w:tcW w:w="1367" w:type="dxa"/>
            <w:tcMar>
              <w:left w:w="108" w:type="dxa"/>
              <w:right w:w="108" w:type="dxa"/>
            </w:tcMar>
          </w:tcPr>
          <w:p w14:paraId="28FC7036"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0.006</w:t>
            </w:r>
          </w:p>
        </w:tc>
        <w:tc>
          <w:tcPr>
            <w:tcW w:w="1368" w:type="dxa"/>
            <w:tcMar>
              <w:left w:w="108" w:type="dxa"/>
              <w:right w:w="108" w:type="dxa"/>
            </w:tcMar>
          </w:tcPr>
          <w:p w14:paraId="77699E28"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29E55CDE"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5F287FB2"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0.175</w:t>
            </w:r>
          </w:p>
        </w:tc>
        <w:tc>
          <w:tcPr>
            <w:tcW w:w="1189" w:type="dxa"/>
            <w:tcMar>
              <w:left w:w="108" w:type="dxa"/>
              <w:right w:w="108" w:type="dxa"/>
            </w:tcMar>
          </w:tcPr>
          <w:p w14:paraId="2FB7C1B5"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0.090</w:t>
            </w:r>
          </w:p>
        </w:tc>
      </w:tr>
      <w:tr w:rsidR="007531D1" w14:paraId="31A02741" w14:textId="77777777" w:rsidTr="00947E6C">
        <w:trPr>
          <w:trHeight w:val="300"/>
        </w:trPr>
        <w:tc>
          <w:tcPr>
            <w:cnfStyle w:val="001000000000" w:firstRow="0" w:lastRow="0" w:firstColumn="1" w:lastColumn="0" w:oddVBand="0" w:evenVBand="0" w:oddHBand="0" w:evenHBand="0" w:firstRowFirstColumn="0" w:firstRowLastColumn="0" w:lastRowFirstColumn="0" w:lastRowLastColumn="0"/>
            <w:tcW w:w="2520" w:type="dxa"/>
            <w:tcMar>
              <w:left w:w="108" w:type="dxa"/>
              <w:right w:w="108" w:type="dxa"/>
            </w:tcMar>
          </w:tcPr>
          <w:p w14:paraId="04437AD9" w14:textId="77777777" w:rsidR="007531D1" w:rsidRDefault="007531D1" w:rsidP="0080385F">
            <w:pPr>
              <w:rPr>
                <w:rFonts w:eastAsiaTheme="minorEastAsia"/>
              </w:rPr>
            </w:pPr>
            <w:r w:rsidRPr="3B86F912">
              <w:rPr>
                <w:rFonts w:eastAsiaTheme="minorEastAsia"/>
              </w:rPr>
              <w:t>Wages in Q3</w:t>
            </w:r>
          </w:p>
        </w:tc>
        <w:tc>
          <w:tcPr>
            <w:tcW w:w="1367" w:type="dxa"/>
            <w:tcMar>
              <w:left w:w="108" w:type="dxa"/>
              <w:right w:w="108" w:type="dxa"/>
            </w:tcMar>
          </w:tcPr>
          <w:p w14:paraId="2BCC849D" w14:textId="77777777" w:rsidR="007531D1" w:rsidRDefault="007531D1" w:rsidP="0080385F">
            <w:pPr>
              <w:tabs>
                <w:tab w:val="decimal" w:pos="162"/>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-0.001</w:t>
            </w:r>
          </w:p>
        </w:tc>
        <w:tc>
          <w:tcPr>
            <w:tcW w:w="1368" w:type="dxa"/>
            <w:tcMar>
              <w:left w:w="108" w:type="dxa"/>
              <w:right w:w="108" w:type="dxa"/>
            </w:tcMar>
          </w:tcPr>
          <w:p w14:paraId="60085433"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3A930836" w14:textId="77777777" w:rsidR="007531D1" w:rsidRDefault="007531D1" w:rsidP="0080385F">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NA</w:t>
            </w:r>
          </w:p>
        </w:tc>
        <w:tc>
          <w:tcPr>
            <w:tcW w:w="1368" w:type="dxa"/>
            <w:tcMar>
              <w:left w:w="108" w:type="dxa"/>
              <w:right w:w="108" w:type="dxa"/>
            </w:tcMar>
          </w:tcPr>
          <w:p w14:paraId="35AED7BC" w14:textId="77777777" w:rsidR="007531D1" w:rsidRDefault="007531D1" w:rsidP="0080385F">
            <w:pPr>
              <w:tabs>
                <w:tab w:val="decimal" w:pos="199"/>
              </w:tabs>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0.171</w:t>
            </w:r>
          </w:p>
        </w:tc>
        <w:tc>
          <w:tcPr>
            <w:tcW w:w="1189" w:type="dxa"/>
            <w:tcMar>
              <w:left w:w="108" w:type="dxa"/>
              <w:right w:w="108" w:type="dxa"/>
            </w:tcMar>
          </w:tcPr>
          <w:p w14:paraId="0F971227" w14:textId="77777777" w:rsidR="007531D1" w:rsidRDefault="007531D1" w:rsidP="00947E6C">
            <w:pPr>
              <w:tabs>
                <w:tab w:val="decimal" w:pos="356"/>
              </w:tabs>
              <w:cnfStyle w:val="000000000000" w:firstRow="0" w:lastRow="0" w:firstColumn="0" w:lastColumn="0" w:oddVBand="0" w:evenVBand="0" w:oddHBand="0" w:evenHBand="0" w:firstRowFirstColumn="0" w:firstRowLastColumn="0" w:lastRowFirstColumn="0" w:lastRowLastColumn="0"/>
              <w:rPr>
                <w:rFonts w:eastAsiaTheme="minorEastAsia"/>
              </w:rPr>
            </w:pPr>
            <w:r w:rsidRPr="3B86F912">
              <w:rPr>
                <w:rFonts w:eastAsiaTheme="minorEastAsia"/>
              </w:rPr>
              <w:t>0.084</w:t>
            </w:r>
          </w:p>
        </w:tc>
      </w:tr>
      <w:tr w:rsidR="007531D1" w14:paraId="56306FCD" w14:textId="77777777" w:rsidTr="00947E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tcBorders>
              <w:bottom w:val="single" w:sz="2" w:space="0" w:color="auto"/>
            </w:tcBorders>
            <w:tcMar>
              <w:left w:w="108" w:type="dxa"/>
              <w:right w:w="108" w:type="dxa"/>
            </w:tcMar>
          </w:tcPr>
          <w:p w14:paraId="680EAE38" w14:textId="77777777" w:rsidR="007531D1" w:rsidRDefault="007531D1" w:rsidP="0080385F">
            <w:pPr>
              <w:rPr>
                <w:rFonts w:eastAsiaTheme="minorEastAsia"/>
              </w:rPr>
            </w:pPr>
            <w:r w:rsidRPr="3B86F912">
              <w:rPr>
                <w:rFonts w:eastAsiaTheme="minorEastAsia"/>
              </w:rPr>
              <w:t>Wages in Q4</w:t>
            </w:r>
          </w:p>
        </w:tc>
        <w:tc>
          <w:tcPr>
            <w:tcW w:w="1367" w:type="dxa"/>
            <w:tcBorders>
              <w:bottom w:val="single" w:sz="2" w:space="0" w:color="auto"/>
            </w:tcBorders>
            <w:tcMar>
              <w:left w:w="108" w:type="dxa"/>
              <w:right w:w="108" w:type="dxa"/>
            </w:tcMar>
          </w:tcPr>
          <w:p w14:paraId="163E90BC" w14:textId="77777777" w:rsidR="007531D1" w:rsidRDefault="007531D1" w:rsidP="0080385F">
            <w:pPr>
              <w:tabs>
                <w:tab w:val="decimal" w:pos="162"/>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-0.009</w:t>
            </w:r>
          </w:p>
        </w:tc>
        <w:tc>
          <w:tcPr>
            <w:tcW w:w="1368" w:type="dxa"/>
            <w:tcBorders>
              <w:bottom w:val="single" w:sz="2" w:space="0" w:color="auto"/>
            </w:tcBorders>
            <w:tcMar>
              <w:left w:w="108" w:type="dxa"/>
              <w:right w:w="108" w:type="dxa"/>
            </w:tcMar>
          </w:tcPr>
          <w:p w14:paraId="79432F78"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Borders>
              <w:bottom w:val="single" w:sz="2" w:space="0" w:color="auto"/>
            </w:tcBorders>
            <w:tcMar>
              <w:left w:w="108" w:type="dxa"/>
              <w:right w:w="108" w:type="dxa"/>
            </w:tcMar>
          </w:tcPr>
          <w:p w14:paraId="2181111F" w14:textId="77777777" w:rsidR="007531D1" w:rsidRDefault="007531D1" w:rsidP="0080385F">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NA</w:t>
            </w:r>
          </w:p>
        </w:tc>
        <w:tc>
          <w:tcPr>
            <w:tcW w:w="1368" w:type="dxa"/>
            <w:tcBorders>
              <w:bottom w:val="single" w:sz="2" w:space="0" w:color="auto"/>
            </w:tcBorders>
            <w:tcMar>
              <w:left w:w="108" w:type="dxa"/>
              <w:right w:w="108" w:type="dxa"/>
            </w:tcMar>
          </w:tcPr>
          <w:p w14:paraId="6F7A95EB" w14:textId="77777777" w:rsidR="007531D1" w:rsidRDefault="007531D1" w:rsidP="0080385F">
            <w:pPr>
              <w:tabs>
                <w:tab w:val="decimal" w:pos="199"/>
              </w:tabs>
              <w:jc w:val="center"/>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0.146</w:t>
            </w:r>
          </w:p>
        </w:tc>
        <w:tc>
          <w:tcPr>
            <w:tcW w:w="1189" w:type="dxa"/>
            <w:tcBorders>
              <w:bottom w:val="single" w:sz="2" w:space="0" w:color="auto"/>
            </w:tcBorders>
            <w:tcMar>
              <w:left w:w="108" w:type="dxa"/>
              <w:right w:w="108" w:type="dxa"/>
            </w:tcMar>
          </w:tcPr>
          <w:p w14:paraId="4CD65966" w14:textId="77777777" w:rsidR="007531D1" w:rsidRDefault="007531D1" w:rsidP="00947E6C">
            <w:pPr>
              <w:tabs>
                <w:tab w:val="decimal" w:pos="356"/>
              </w:tabs>
              <w:cnfStyle w:val="000000100000" w:firstRow="0" w:lastRow="0" w:firstColumn="0" w:lastColumn="0" w:oddVBand="0" w:evenVBand="0" w:oddHBand="1" w:evenHBand="0" w:firstRowFirstColumn="0" w:firstRowLastColumn="0" w:lastRowFirstColumn="0" w:lastRowLastColumn="0"/>
              <w:rPr>
                <w:rFonts w:eastAsiaTheme="minorEastAsia"/>
              </w:rPr>
            </w:pPr>
            <w:r w:rsidRPr="3B86F912">
              <w:rPr>
                <w:rFonts w:eastAsiaTheme="minorEastAsia"/>
              </w:rPr>
              <w:t>0.068</w:t>
            </w:r>
          </w:p>
        </w:tc>
      </w:tr>
    </w:tbl>
    <w:p w14:paraId="1B3DEBD5" w14:textId="56BC4763" w:rsidR="007531D1" w:rsidRDefault="007531D1" w:rsidP="63F1196F">
      <w:pPr>
        <w:spacing w:after="0" w:line="257" w:lineRule="auto"/>
        <w:rPr>
          <w:rFonts w:eastAsiaTheme="minorEastAsia"/>
        </w:rPr>
      </w:pPr>
      <w:r w:rsidRPr="63F1196F">
        <w:rPr>
          <w:rFonts w:eastAsiaTheme="minorEastAsia"/>
        </w:rPr>
        <w:t xml:space="preserve"> </w:t>
      </w:r>
      <w:r w:rsidRPr="63F1196F">
        <w:rPr>
          <w:rFonts w:eastAsiaTheme="minorEastAsia"/>
          <w:i/>
          <w:iCs/>
        </w:rPr>
        <w:t>Note</w:t>
      </w:r>
      <w:r w:rsidRPr="63F1196F">
        <w:rPr>
          <w:rFonts w:eastAsiaTheme="minorEastAsia"/>
        </w:rPr>
        <w:t xml:space="preserve">. </w:t>
      </w:r>
      <w:r w:rsidR="00B16F9A">
        <w:rPr>
          <w:rFonts w:eastAsiaTheme="minorEastAsia"/>
        </w:rPr>
        <w:t>E</w:t>
      </w:r>
      <w:r w:rsidRPr="63F1196F">
        <w:rPr>
          <w:rFonts w:eastAsiaTheme="minorEastAsia"/>
        </w:rPr>
        <w:t>stimates are</w:t>
      </w:r>
      <w:r w:rsidR="63F1196F" w:rsidRPr="63F1196F">
        <w:rPr>
          <w:rFonts w:eastAsiaTheme="minorEastAsia"/>
        </w:rPr>
        <w:t xml:space="preserve"> computed as</w:t>
      </w:r>
      <w:r w:rsidRPr="63F1196F">
        <w:rPr>
          <w:rFonts w:eastAsiaTheme="minorEastAsia"/>
        </w:rPr>
        <w:t>:</w:t>
      </w:r>
      <w:r w:rsidR="0017533C">
        <w:rPr>
          <w:rFonts w:eastAsiaTheme="minorEastAsia"/>
        </w:rPr>
        <w:t xml:space="preserve"> </w:t>
      </w:r>
      <m:oMath>
        <m:f>
          <m:fPr>
            <m:type m:val="lin"/>
            <m:ctrlPr>
              <w:rPr>
                <w:rFonts w:ascii="Cambria Math" w:eastAsiaTheme="minorEastAsia" w:hAnsi="Cambria Math"/>
                <w:i/>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μ</m:t>
                </m:r>
              </m:e>
              <m:sub>
                <m:r>
                  <w:rPr>
                    <w:rFonts w:ascii="Cambria Math" w:eastAsiaTheme="minorEastAsia" w:hAnsi="Cambria Math"/>
                    <w:sz w:val="20"/>
                    <w:szCs w:val="20"/>
                  </w:rPr>
                  <m:t>t</m:t>
                </m:r>
              </m:sub>
            </m:sSub>
            <m:r>
              <w:rPr>
                <w:rFonts w:ascii="Cambria Math" w:eastAsiaTheme="minorEastAsia" w:hAnsi="Cambria Math"/>
                <w:sz w:val="20"/>
                <w:szCs w:val="20"/>
              </w:rPr>
              <m:t xml:space="preserve"> - </m:t>
            </m:r>
            <m:sSub>
              <m:sSubPr>
                <m:ctrlPr>
                  <w:rPr>
                    <w:rFonts w:ascii="Cambria Math" w:eastAsiaTheme="minorEastAsia" w:hAnsi="Cambria Math"/>
                    <w:i/>
                    <w:sz w:val="20"/>
                    <w:szCs w:val="20"/>
                  </w:rPr>
                </m:ctrlPr>
              </m:sSubPr>
              <m:e>
                <m:r>
                  <w:rPr>
                    <w:rFonts w:ascii="Cambria Math" w:eastAsiaTheme="minorEastAsia" w:hAnsi="Cambria Math"/>
                    <w:sz w:val="20"/>
                    <w:szCs w:val="20"/>
                  </w:rPr>
                  <m:t>μ</m:t>
                </m:r>
              </m:e>
              <m:sub>
                <m:r>
                  <w:rPr>
                    <w:rFonts w:ascii="Cambria Math" w:eastAsiaTheme="minorEastAsia" w:hAnsi="Cambria Math"/>
                    <w:sz w:val="20"/>
                    <w:szCs w:val="20"/>
                  </w:rPr>
                  <m:t>c</m:t>
                </m:r>
              </m:sub>
            </m:sSub>
          </m:num>
          <m:den>
            <m:sSubSup>
              <m:sSubSupPr>
                <m:ctrlPr>
                  <w:rPr>
                    <w:rFonts w:ascii="Cambria Math" w:eastAsiaTheme="minorEastAsia" w:hAnsi="Cambria Math"/>
                    <w:i/>
                    <w:sz w:val="20"/>
                    <w:szCs w:val="20"/>
                  </w:rPr>
                </m:ctrlPr>
              </m:sSubSupPr>
              <m:e>
                <m:r>
                  <w:rPr>
                    <w:rFonts w:ascii="Cambria Math" w:eastAsiaTheme="minorEastAsia" w:hAnsi="Cambria Math"/>
                    <w:sz w:val="20"/>
                    <w:szCs w:val="20"/>
                  </w:rPr>
                  <m:t>√(σ</m:t>
                </m:r>
              </m:e>
              <m:sub>
                <m:r>
                  <w:rPr>
                    <w:rFonts w:ascii="Cambria Math" w:eastAsiaTheme="minorEastAsia" w:hAnsi="Cambria Math"/>
                    <w:sz w:val="20"/>
                    <w:szCs w:val="20"/>
                  </w:rPr>
                  <m:t>t</m:t>
                </m:r>
              </m:sub>
              <m:sup>
                <m:r>
                  <w:rPr>
                    <w:rFonts w:ascii="Cambria Math" w:eastAsiaTheme="minorEastAsia" w:hAnsi="Cambria Math"/>
                    <w:sz w:val="20"/>
                    <w:szCs w:val="20"/>
                  </w:rPr>
                  <m:t>2</m:t>
                </m:r>
              </m:sup>
            </m:sSubSup>
            <m:r>
              <w:rPr>
                <w:rFonts w:ascii="Cambria Math" w:eastAsiaTheme="minorEastAsia" w:hAnsi="Cambria Math"/>
                <w:sz w:val="20"/>
                <w:szCs w:val="20"/>
              </w:rPr>
              <m:t>+</m:t>
            </m:r>
            <m:sSubSup>
              <m:sSubSupPr>
                <m:ctrlPr>
                  <w:rPr>
                    <w:rFonts w:ascii="Cambria Math" w:eastAsiaTheme="minorEastAsia" w:hAnsi="Cambria Math"/>
                    <w:i/>
                    <w:sz w:val="20"/>
                    <w:szCs w:val="20"/>
                  </w:rPr>
                </m:ctrlPr>
              </m:sSubSupPr>
              <m:e>
                <m:r>
                  <w:rPr>
                    <w:rFonts w:ascii="Cambria Math" w:eastAsiaTheme="minorEastAsia" w:hAnsi="Cambria Math"/>
                    <w:sz w:val="20"/>
                    <w:szCs w:val="20"/>
                  </w:rPr>
                  <m:t>σ</m:t>
                </m:r>
              </m:e>
              <m:sub>
                <m:r>
                  <w:rPr>
                    <w:rFonts w:ascii="Cambria Math" w:eastAsiaTheme="minorEastAsia" w:hAnsi="Cambria Math"/>
                    <w:sz w:val="20"/>
                    <w:szCs w:val="20"/>
                  </w:rPr>
                  <m:t>c</m:t>
                </m:r>
              </m:sub>
              <m:sup>
                <m:r>
                  <w:rPr>
                    <w:rFonts w:ascii="Cambria Math" w:eastAsiaTheme="minorEastAsia" w:hAnsi="Cambria Math"/>
                    <w:sz w:val="20"/>
                    <w:szCs w:val="20"/>
                  </w:rPr>
                  <m:t>2</m:t>
                </m:r>
              </m:sup>
            </m:sSubSup>
            <m:r>
              <w:rPr>
                <w:rFonts w:ascii="Cambria Math" w:eastAsiaTheme="minorEastAsia" w:hAnsi="Cambria Math"/>
                <w:sz w:val="20"/>
                <w:szCs w:val="20"/>
              </w:rPr>
              <m:t>)</m:t>
            </m:r>
          </m:den>
        </m:f>
      </m:oMath>
      <w:r w:rsidR="0017533C" w:rsidRPr="00B16F9A">
        <w:rPr>
          <w:rFonts w:eastAsiaTheme="minorEastAsia"/>
          <w:sz w:val="20"/>
          <w:szCs w:val="20"/>
        </w:rPr>
        <w:t>,</w:t>
      </w:r>
      <w:r w:rsidRPr="00B16F9A">
        <w:rPr>
          <w:rFonts w:eastAsiaTheme="minorEastAsia"/>
          <w:sz w:val="20"/>
          <w:szCs w:val="20"/>
        </w:rPr>
        <w:t xml:space="preserve"> </w:t>
      </w:r>
      <w:r w:rsidRPr="63F1196F">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t</m:t>
            </m:r>
          </m:sub>
        </m:sSub>
      </m:oMath>
      <w:r w:rsidRPr="63F1196F">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c</m:t>
            </m:r>
          </m:sub>
        </m:sSub>
      </m:oMath>
      <w:r w:rsidRPr="63F1196F">
        <w:rPr>
          <w:rFonts w:eastAsiaTheme="minorEastAsia"/>
        </w:rPr>
        <w:t xml:space="preserve"> denote the means of the outcome variables of treatment and control groups, respectively</w:t>
      </w:r>
      <w:r w:rsidR="0017533C">
        <w:rPr>
          <w:rFonts w:eastAsiaTheme="minorEastAsia"/>
        </w:rPr>
        <w:t xml:space="preserve">, and </w:t>
      </w:r>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t</m:t>
            </m:r>
          </m:sub>
          <m:sup>
            <m:r>
              <w:rPr>
                <w:rFonts w:ascii="Cambria Math" w:eastAsiaTheme="minorEastAsia" w:hAnsi="Cambria Math"/>
              </w:rPr>
              <m:t>2</m:t>
            </m:r>
          </m:sup>
        </m:sSubSup>
      </m:oMath>
      <w:r w:rsidR="0017533C">
        <w:rPr>
          <w:rFonts w:eastAsiaTheme="minorEastAsia"/>
        </w:rPr>
        <w:t xml:space="preserve"> and </w:t>
      </w:r>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c</m:t>
            </m:r>
          </m:sub>
          <m:sup>
            <m:r>
              <w:rPr>
                <w:rFonts w:ascii="Cambria Math" w:eastAsiaTheme="minorEastAsia" w:hAnsi="Cambria Math"/>
              </w:rPr>
              <m:t>2</m:t>
            </m:r>
          </m:sup>
        </m:sSubSup>
      </m:oMath>
      <w:r w:rsidR="0017533C">
        <w:rPr>
          <w:rFonts w:eastAsiaTheme="minorEastAsia"/>
        </w:rPr>
        <w:t xml:space="preserve"> refer to the standard deviation of treatment and control groups</w:t>
      </w:r>
      <w:r w:rsidRPr="63F1196F">
        <w:rPr>
          <w:rFonts w:eastAsiaTheme="minorEastAsia"/>
        </w:rPr>
        <w:t xml:space="preserve">. </w:t>
      </w:r>
      <w:r w:rsidR="63F1196F" w:rsidRPr="63F1196F">
        <w:rPr>
          <w:rFonts w:eastAsiaTheme="minorEastAsia"/>
        </w:rPr>
        <w:t>Estimates of Theta are calculated using random-effects meta-analysis using the REML method.</w:t>
      </w:r>
    </w:p>
    <w:p w14:paraId="318D147C" w14:textId="77777777" w:rsidR="007531D1" w:rsidRDefault="007531D1" w:rsidP="007531D1">
      <w:pPr>
        <w:spacing w:after="0" w:line="257" w:lineRule="auto"/>
        <w:rPr>
          <w:rFonts w:eastAsiaTheme="minorEastAsia"/>
        </w:rPr>
      </w:pPr>
    </w:p>
    <w:p w14:paraId="4DA84EB0" w14:textId="7B8810A6" w:rsidR="003C337E" w:rsidRPr="00C55523" w:rsidRDefault="69B11EE7" w:rsidP="53DA57F5">
      <w:pPr>
        <w:spacing w:after="0" w:line="240" w:lineRule="auto"/>
        <w:rPr>
          <w:rFonts w:ascii="Calibri" w:eastAsia="Calibri" w:hAnsi="Calibri" w:cs="Calibri"/>
          <w:color w:val="000000" w:themeColor="text1"/>
        </w:rPr>
      </w:pPr>
      <w:r w:rsidRPr="69B11EE7">
        <w:rPr>
          <w:rFonts w:ascii="Calibri" w:eastAsia="Calibri" w:hAnsi="Calibri" w:cs="Calibri"/>
          <w:color w:val="000000" w:themeColor="text1"/>
        </w:rPr>
        <w:t xml:space="preserve">The DOL funded a multi-state evaluation of the REA program, conducted by </w:t>
      </w:r>
      <w:proofErr w:type="spellStart"/>
      <w:r w:rsidRPr="69B11EE7">
        <w:rPr>
          <w:rFonts w:ascii="Calibri" w:eastAsia="Calibri" w:hAnsi="Calibri" w:cs="Calibri"/>
          <w:color w:val="000000" w:themeColor="text1"/>
        </w:rPr>
        <w:t>Abt</w:t>
      </w:r>
      <w:proofErr w:type="spellEnd"/>
      <w:r w:rsidRPr="69B11EE7">
        <w:rPr>
          <w:rFonts w:ascii="Calibri" w:eastAsia="Calibri" w:hAnsi="Calibri" w:cs="Calibri"/>
          <w:color w:val="000000" w:themeColor="text1"/>
        </w:rPr>
        <w:t xml:space="preserve"> Associates with partnering workforce agencies in four different states (i.e., Indiana, New York, Washington, and Wisconsin)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The aim of this evaluation was to improve understanding of the impact of REA on multiple outcomes (i.e., UI duration and benefits, employment, and earnings) and examine the mechanisms underlying such impacts. The evaluation involved randomization of claimants into multiple arms or treatment conditions, allowing for comparison of the impact </w:t>
      </w:r>
      <w:r w:rsidR="007026BA">
        <w:rPr>
          <w:rFonts w:ascii="Calibri" w:eastAsia="Calibri" w:hAnsi="Calibri" w:cs="Calibri"/>
          <w:color w:val="000000" w:themeColor="text1"/>
        </w:rPr>
        <w:t>according to</w:t>
      </w:r>
      <w:r w:rsidRPr="69B11EE7">
        <w:rPr>
          <w:rFonts w:ascii="Calibri" w:eastAsia="Calibri" w:hAnsi="Calibri" w:cs="Calibri"/>
          <w:color w:val="000000" w:themeColor="text1"/>
        </w:rPr>
        <w:t xml:space="preserve"> specific program conditions to illuminate the causal processes. The treatment arms consisted of a control condition (no REA-related enforcement or assistance), partial REA treatment (enforcement of REA program and UI requirements only), single REA treatment (enforcement</w:t>
      </w:r>
      <w:r w:rsidR="007026BA">
        <w:rPr>
          <w:rFonts w:ascii="Calibri" w:eastAsia="Calibri" w:hAnsi="Calibri" w:cs="Calibri"/>
          <w:color w:val="000000" w:themeColor="text1"/>
        </w:rPr>
        <w:t xml:space="preserve"> of requirements</w:t>
      </w:r>
      <w:r w:rsidRPr="69B11EE7">
        <w:rPr>
          <w:rFonts w:ascii="Calibri" w:eastAsia="Calibri" w:hAnsi="Calibri" w:cs="Calibri"/>
          <w:color w:val="000000" w:themeColor="text1"/>
        </w:rPr>
        <w:t xml:space="preserve"> and </w:t>
      </w:r>
      <w:r w:rsidR="007026BA">
        <w:rPr>
          <w:rFonts w:ascii="Calibri" w:eastAsia="Calibri" w:hAnsi="Calibri" w:cs="Calibri"/>
          <w:color w:val="000000" w:themeColor="text1"/>
        </w:rPr>
        <w:t xml:space="preserve">provision of </w:t>
      </w:r>
      <w:r w:rsidRPr="69B11EE7">
        <w:rPr>
          <w:rFonts w:ascii="Calibri" w:eastAsia="Calibri" w:hAnsi="Calibri" w:cs="Calibri"/>
          <w:color w:val="000000" w:themeColor="text1"/>
        </w:rPr>
        <w:t>reemployment assistance through initial meeting), and multiple REA treatments (enforcement</w:t>
      </w:r>
      <w:r w:rsidR="007026BA">
        <w:rPr>
          <w:rFonts w:ascii="Calibri" w:eastAsia="Calibri" w:hAnsi="Calibri" w:cs="Calibri"/>
          <w:color w:val="000000" w:themeColor="text1"/>
        </w:rPr>
        <w:t xml:space="preserve"> of requirements</w:t>
      </w:r>
      <w:r w:rsidRPr="69B11EE7">
        <w:rPr>
          <w:rFonts w:ascii="Calibri" w:eastAsia="Calibri" w:hAnsi="Calibri" w:cs="Calibri"/>
          <w:color w:val="000000" w:themeColor="text1"/>
        </w:rPr>
        <w:t xml:space="preserve"> and reemployment assistance through multiple meetings). In total, nearly 300,000 claimants were randomized to one of the treatment conditions. The evaluation thus had statistical power to identify even very small impacts of REA as compared to prior evaluations that were likely underpowered, especially to detect significant effects on employment outcomes. The high statistical power is notable given an expectation of limited program impacts due to the low intensity of the REA intervention, entailing only a few hours of engagement for most claimants. Yet, even very small impacts may justify the costs of the program as direct costs are modest at usually less than $100 per claimant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w:t>
      </w:r>
    </w:p>
    <w:p w14:paraId="36DDDF80" w14:textId="77777777" w:rsidR="003C337E" w:rsidRPr="00C55523" w:rsidRDefault="003C337E" w:rsidP="53DA57F5">
      <w:pPr>
        <w:spacing w:after="0" w:line="240" w:lineRule="auto"/>
        <w:rPr>
          <w:rFonts w:ascii="Calibri" w:eastAsia="Calibri" w:hAnsi="Calibri" w:cs="Calibri"/>
          <w:color w:val="000000" w:themeColor="text1"/>
        </w:rPr>
      </w:pPr>
    </w:p>
    <w:p w14:paraId="483C1C08" w14:textId="1061E0E2" w:rsidR="3850AD2F" w:rsidRPr="00C55523" w:rsidRDefault="69B11EE7" w:rsidP="00733B96">
      <w:pPr>
        <w:spacing w:after="0" w:line="240" w:lineRule="auto"/>
        <w:rPr>
          <w:rFonts w:ascii="Calibri" w:eastAsia="Calibri" w:hAnsi="Calibri" w:cs="Calibri"/>
          <w:color w:val="000000" w:themeColor="text1"/>
        </w:rPr>
      </w:pPr>
      <w:r w:rsidRPr="69B11EE7">
        <w:rPr>
          <w:rFonts w:ascii="Calibri" w:eastAsia="Calibri" w:hAnsi="Calibri" w:cs="Calibri"/>
          <w:color w:val="000000" w:themeColor="text1"/>
        </w:rPr>
        <w:t>The multi-state evaluation results indicated that assignment to REA led to significant reductions in UI duration and benefits paid coupled with more modest but still significant increases in employment likelihood and wages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Reductions in UI duration varied across the four states, ranging from half a week in Washington and Wisconsin to one-and-a-half weeks in New York and Indiana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These estimates were similar to prior evaluations, as UI duration decreased due to Nevada’s REA program by almost two weeks (</w:t>
      </w:r>
      <w:proofErr w:type="spellStart"/>
      <w:r w:rsidRPr="69B11EE7">
        <w:rPr>
          <w:rFonts w:ascii="Calibri" w:eastAsia="Calibri" w:hAnsi="Calibri" w:cs="Calibri"/>
          <w:color w:val="000000" w:themeColor="text1"/>
        </w:rPr>
        <w:t>Michaelides</w:t>
      </w:r>
      <w:proofErr w:type="spellEnd"/>
      <w:r w:rsidRPr="69B11EE7">
        <w:rPr>
          <w:rFonts w:ascii="Calibri" w:eastAsia="Calibri" w:hAnsi="Calibri" w:cs="Calibri"/>
          <w:color w:val="000000" w:themeColor="text1"/>
        </w:rPr>
        <w:t xml:space="preserve"> et al., 2012), and in North Dakota from REA by one week (</w:t>
      </w:r>
      <w:proofErr w:type="spellStart"/>
      <w:r w:rsidRPr="69B11EE7">
        <w:rPr>
          <w:rFonts w:ascii="Calibri" w:eastAsia="Calibri" w:hAnsi="Calibri" w:cs="Calibri"/>
          <w:color w:val="000000" w:themeColor="text1"/>
        </w:rPr>
        <w:t>Benus</w:t>
      </w:r>
      <w:proofErr w:type="spellEnd"/>
      <w:r w:rsidRPr="69B11EE7">
        <w:rPr>
          <w:rFonts w:ascii="Calibri" w:eastAsia="Calibri" w:hAnsi="Calibri" w:cs="Calibri"/>
          <w:color w:val="000000" w:themeColor="text1"/>
        </w:rPr>
        <w:t xml:space="preserve"> et al., 2008). Both the enforcement and reemployment assistance components </w:t>
      </w:r>
      <w:r w:rsidRPr="69B11EE7">
        <w:rPr>
          <w:rFonts w:ascii="Calibri" w:eastAsia="Calibri" w:hAnsi="Calibri" w:cs="Calibri"/>
          <w:color w:val="000000" w:themeColor="text1"/>
        </w:rPr>
        <w:lastRenderedPageBreak/>
        <w:t>explained a portion of the decrease in UI benefits in Indiana and New York, whereas only enforcement in Washington and only assistance in Wisconsin appeared to influence UI benefits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The impacts on earnings (quarter 0: WA; quarter 2: IN, NY, WI) and employment (quarter 1: WA, WI; quarter 2: IN, NY) varied across states but appeared to be largest in earlier quarters (</w:t>
      </w:r>
      <w:proofErr w:type="spellStart"/>
      <w:r w:rsidRPr="69B11EE7">
        <w:rPr>
          <w:rFonts w:ascii="Calibri" w:eastAsia="Calibri" w:hAnsi="Calibri" w:cs="Calibri"/>
          <w:color w:val="000000" w:themeColor="text1"/>
        </w:rPr>
        <w:t>Klerman</w:t>
      </w:r>
      <w:proofErr w:type="spellEnd"/>
      <w:r w:rsidRPr="69B11EE7">
        <w:rPr>
          <w:rFonts w:ascii="Calibri" w:eastAsia="Calibri" w:hAnsi="Calibri" w:cs="Calibri"/>
          <w:color w:val="000000" w:themeColor="text1"/>
        </w:rPr>
        <w:t xml:space="preserve"> et al., 2019), similar to prior evaluation of Nevada’s REA program (</w:t>
      </w:r>
      <w:proofErr w:type="spellStart"/>
      <w:r w:rsidRPr="69B11EE7">
        <w:rPr>
          <w:rFonts w:ascii="Calibri" w:eastAsia="Calibri" w:hAnsi="Calibri" w:cs="Calibri"/>
          <w:color w:val="000000" w:themeColor="text1"/>
        </w:rPr>
        <w:t>Michaelides</w:t>
      </w:r>
      <w:proofErr w:type="spellEnd"/>
      <w:r w:rsidRPr="69B11EE7">
        <w:rPr>
          <w:rFonts w:ascii="Calibri" w:eastAsia="Calibri" w:hAnsi="Calibri" w:cs="Calibri"/>
          <w:color w:val="000000" w:themeColor="text1"/>
        </w:rPr>
        <w:t xml:space="preserve"> et al., 2012).</w:t>
      </w:r>
    </w:p>
    <w:p w14:paraId="07F87E2C" w14:textId="4966272B" w:rsidR="3850AD2F" w:rsidRPr="00C55523" w:rsidRDefault="3850AD2F" w:rsidP="3850AD2F">
      <w:pPr>
        <w:spacing w:after="0" w:line="240" w:lineRule="auto"/>
        <w:ind w:firstLine="720"/>
        <w:rPr>
          <w:rFonts w:ascii="Calibri" w:eastAsia="Calibri" w:hAnsi="Calibri" w:cs="Calibri"/>
          <w:color w:val="000000" w:themeColor="text1"/>
        </w:rPr>
      </w:pPr>
    </w:p>
    <w:p w14:paraId="43541580" w14:textId="5E1A0CAF" w:rsidR="3850AD2F" w:rsidRDefault="7830D5A0" w:rsidP="1C0AE3FA">
      <w:pPr>
        <w:spacing w:after="0" w:line="240" w:lineRule="auto"/>
        <w:rPr>
          <w:rFonts w:ascii="Calibri" w:eastAsia="Calibri" w:hAnsi="Calibri" w:cs="Calibri"/>
          <w:color w:val="000000" w:themeColor="text1"/>
        </w:rPr>
      </w:pPr>
      <w:r w:rsidRPr="7830D5A0">
        <w:rPr>
          <w:rFonts w:ascii="Calibri" w:eastAsia="Calibri" w:hAnsi="Calibri" w:cs="Calibri"/>
          <w:color w:val="000000" w:themeColor="text1"/>
        </w:rPr>
        <w:t>While enforcement and assistance components both likely accounted for the impact of REA, the largest proportion of the impact appears to have resulted from the mandatory requirement to participate in REA, a form of enforcement, due to (1) the relatively high rate of non-participation (reported as 24-40% for states in the evaluation) and (2) the large impact on UI duration and benefits received for claimants losing eligibility as a result of non-participation (</w:t>
      </w:r>
      <w:proofErr w:type="spellStart"/>
      <w:r w:rsidRPr="7830D5A0">
        <w:rPr>
          <w:rFonts w:ascii="Calibri" w:eastAsia="Calibri" w:hAnsi="Calibri" w:cs="Calibri"/>
          <w:color w:val="000000" w:themeColor="text1"/>
        </w:rPr>
        <w:t>Klerman</w:t>
      </w:r>
      <w:proofErr w:type="spellEnd"/>
      <w:r w:rsidRPr="7830D5A0">
        <w:rPr>
          <w:rFonts w:ascii="Calibri" w:eastAsia="Calibri" w:hAnsi="Calibri" w:cs="Calibri"/>
          <w:color w:val="000000" w:themeColor="text1"/>
        </w:rPr>
        <w:t xml:space="preserve"> et al., 2019). Moreover, strict enforcement policies, where an indefinite hold is placed on UI benefits until the attendance requirement is met, likely led to a larger impact. Table 3 summarizes the </w:t>
      </w:r>
      <w:r w:rsidR="00AF16B8">
        <w:rPr>
          <w:rFonts w:ascii="Calibri" w:eastAsia="Calibri" w:hAnsi="Calibri" w:cs="Calibri"/>
          <w:color w:val="000000" w:themeColor="text1"/>
        </w:rPr>
        <w:t xml:space="preserve">scheduling and </w:t>
      </w:r>
      <w:r w:rsidRPr="7830D5A0">
        <w:rPr>
          <w:rFonts w:ascii="Calibri" w:eastAsia="Calibri" w:hAnsi="Calibri" w:cs="Calibri"/>
          <w:color w:val="000000" w:themeColor="text1"/>
        </w:rPr>
        <w:t>enforcement strategies used by</w:t>
      </w:r>
      <w:r w:rsidR="00AF16B8">
        <w:rPr>
          <w:rFonts w:ascii="Calibri" w:eastAsia="Calibri" w:hAnsi="Calibri" w:cs="Calibri"/>
          <w:color w:val="000000" w:themeColor="text1"/>
        </w:rPr>
        <w:t xml:space="preserve"> the</w:t>
      </w:r>
      <w:r w:rsidRPr="7830D5A0">
        <w:rPr>
          <w:rFonts w:ascii="Calibri" w:eastAsia="Calibri" w:hAnsi="Calibri" w:cs="Calibri"/>
          <w:color w:val="000000" w:themeColor="text1"/>
        </w:rPr>
        <w:t xml:space="preserve"> four states for the required REA meeting (</w:t>
      </w:r>
      <w:proofErr w:type="spellStart"/>
      <w:r w:rsidRPr="7830D5A0">
        <w:rPr>
          <w:rFonts w:ascii="Calibri" w:eastAsia="Calibri" w:hAnsi="Calibri" w:cs="Calibri"/>
          <w:color w:val="000000" w:themeColor="text1"/>
        </w:rPr>
        <w:t>Klerman</w:t>
      </w:r>
      <w:proofErr w:type="spellEnd"/>
      <w:r w:rsidRPr="7830D5A0">
        <w:rPr>
          <w:rFonts w:ascii="Calibri" w:eastAsia="Calibri" w:hAnsi="Calibri" w:cs="Calibri"/>
          <w:color w:val="000000" w:themeColor="text1"/>
        </w:rPr>
        <w:t xml:space="preserve"> et al., 2019) </w:t>
      </w:r>
      <w:r w:rsidRPr="002573D1">
        <w:rPr>
          <w:rFonts w:ascii="Calibri" w:eastAsia="Calibri" w:hAnsi="Calibri" w:cs="Calibri"/>
          <w:color w:val="000000" w:themeColor="text1"/>
        </w:rPr>
        <w:t xml:space="preserve">in comparison to Utah’s RESEA program. Compared to </w:t>
      </w:r>
      <w:r w:rsidR="00AF16B8" w:rsidRPr="002573D1">
        <w:rPr>
          <w:rFonts w:ascii="Calibri" w:eastAsia="Calibri" w:hAnsi="Calibri" w:cs="Calibri"/>
          <w:color w:val="000000" w:themeColor="text1"/>
        </w:rPr>
        <w:t>New York and Washington</w:t>
      </w:r>
      <w:r w:rsidRPr="002573D1">
        <w:rPr>
          <w:rFonts w:ascii="Calibri" w:eastAsia="Calibri" w:hAnsi="Calibri" w:cs="Calibri"/>
          <w:color w:val="000000" w:themeColor="text1"/>
        </w:rPr>
        <w:t>, Wisconsin and Indiana had stricter enforcement policies</w:t>
      </w:r>
      <w:r w:rsidR="00AF16B8" w:rsidRPr="002573D1">
        <w:rPr>
          <w:rFonts w:ascii="Calibri" w:eastAsia="Calibri" w:hAnsi="Calibri" w:cs="Calibri"/>
          <w:color w:val="000000" w:themeColor="text1"/>
        </w:rPr>
        <w:t xml:space="preserve"> </w:t>
      </w:r>
      <w:r w:rsidRPr="002573D1">
        <w:rPr>
          <w:rFonts w:ascii="Calibri" w:eastAsia="Calibri" w:hAnsi="Calibri" w:cs="Calibri"/>
          <w:color w:val="000000" w:themeColor="text1"/>
        </w:rPr>
        <w:t>plac</w:t>
      </w:r>
      <w:r w:rsidR="00AF16B8" w:rsidRPr="002573D1">
        <w:rPr>
          <w:rFonts w:ascii="Calibri" w:eastAsia="Calibri" w:hAnsi="Calibri" w:cs="Calibri"/>
          <w:color w:val="000000" w:themeColor="text1"/>
        </w:rPr>
        <w:t>ing</w:t>
      </w:r>
      <w:r w:rsidRPr="002573D1">
        <w:rPr>
          <w:rFonts w:ascii="Calibri" w:eastAsia="Calibri" w:hAnsi="Calibri" w:cs="Calibri"/>
          <w:color w:val="000000" w:themeColor="text1"/>
        </w:rPr>
        <w:t xml:space="preserve"> an indefinite ho</w:t>
      </w:r>
      <w:r w:rsidR="00AF16B8" w:rsidRPr="002573D1">
        <w:rPr>
          <w:rFonts w:ascii="Calibri" w:eastAsia="Calibri" w:hAnsi="Calibri" w:cs="Calibri"/>
          <w:color w:val="000000" w:themeColor="text1"/>
        </w:rPr>
        <w:t>l</w:t>
      </w:r>
      <w:r w:rsidRPr="002573D1">
        <w:rPr>
          <w:rFonts w:ascii="Calibri" w:eastAsia="Calibri" w:hAnsi="Calibri" w:cs="Calibri"/>
          <w:color w:val="000000" w:themeColor="text1"/>
        </w:rPr>
        <w:t>d on UI payments until the claimant attend</w:t>
      </w:r>
      <w:r w:rsidR="00AF16B8" w:rsidRPr="002573D1">
        <w:rPr>
          <w:rFonts w:ascii="Calibri" w:eastAsia="Calibri" w:hAnsi="Calibri" w:cs="Calibri"/>
          <w:color w:val="000000" w:themeColor="text1"/>
        </w:rPr>
        <w:t>ed</w:t>
      </w:r>
      <w:r w:rsidRPr="002573D1">
        <w:rPr>
          <w:rFonts w:ascii="Calibri" w:eastAsia="Calibri" w:hAnsi="Calibri" w:cs="Calibri"/>
          <w:color w:val="000000" w:themeColor="text1"/>
        </w:rPr>
        <w:t xml:space="preserve"> the REA meeting. Utah’s RESEA program </w:t>
      </w:r>
      <w:r w:rsidR="00AF16B8" w:rsidRPr="002573D1">
        <w:rPr>
          <w:rFonts w:ascii="Calibri" w:eastAsia="Calibri" w:hAnsi="Calibri" w:cs="Calibri"/>
          <w:color w:val="000000" w:themeColor="text1"/>
        </w:rPr>
        <w:t xml:space="preserve">scheduling and </w:t>
      </w:r>
      <w:r w:rsidRPr="002573D1">
        <w:rPr>
          <w:rFonts w:ascii="Calibri" w:eastAsia="Calibri" w:hAnsi="Calibri" w:cs="Calibri"/>
          <w:color w:val="000000" w:themeColor="text1"/>
        </w:rPr>
        <w:t>enforcement strategies appear to be most similar to Wisconsin.</w:t>
      </w:r>
      <w:r w:rsidRPr="7830D5A0">
        <w:rPr>
          <w:rFonts w:ascii="Calibri" w:eastAsia="Calibri" w:hAnsi="Calibri" w:cs="Calibri"/>
          <w:color w:val="000000" w:themeColor="text1"/>
        </w:rPr>
        <w:t xml:space="preserve"> </w:t>
      </w:r>
    </w:p>
    <w:p w14:paraId="1CE5E0BF" w14:textId="77777777" w:rsidR="00CE5875" w:rsidRPr="00C55523" w:rsidRDefault="00CE5875" w:rsidP="1C0AE3FA">
      <w:pPr>
        <w:spacing w:after="0" w:line="240" w:lineRule="auto"/>
        <w:rPr>
          <w:rFonts w:ascii="Calibri" w:eastAsia="Calibri" w:hAnsi="Calibri" w:cs="Calibri"/>
          <w:color w:val="000000" w:themeColor="text1"/>
        </w:rPr>
      </w:pPr>
    </w:p>
    <w:p w14:paraId="45DA4554" w14:textId="179516AF" w:rsidR="3EF1BBBD" w:rsidRDefault="526C5137" w:rsidP="00947E6C">
      <w:pPr>
        <w:spacing w:after="120" w:line="240" w:lineRule="auto"/>
        <w:rPr>
          <w:rFonts w:ascii="Calibri" w:eastAsia="Calibri" w:hAnsi="Calibri" w:cs="Calibri"/>
          <w:color w:val="000000" w:themeColor="text1"/>
        </w:rPr>
      </w:pPr>
      <w:bookmarkStart w:id="1" w:name="_Hlk143678678"/>
      <w:r w:rsidRPr="00CE5875">
        <w:rPr>
          <w:rFonts w:ascii="Calibri" w:eastAsia="Calibri" w:hAnsi="Calibri" w:cs="Calibri"/>
          <w:b/>
          <w:bCs/>
          <w:color w:val="000000" w:themeColor="text1"/>
        </w:rPr>
        <w:t xml:space="preserve">Table 3. Comparison between state enforcement strategies </w:t>
      </w:r>
      <w:r w:rsidRPr="526C5137">
        <w:rPr>
          <w:rFonts w:ascii="Calibri" w:eastAsia="Calibri" w:hAnsi="Calibri" w:cs="Calibri"/>
          <w:b/>
          <w:bCs/>
          <w:color w:val="000000" w:themeColor="text1"/>
        </w:rPr>
        <w:t xml:space="preserve">for </w:t>
      </w:r>
      <w:r w:rsidR="0043633B">
        <w:rPr>
          <w:rFonts w:ascii="Calibri" w:eastAsia="Calibri" w:hAnsi="Calibri" w:cs="Calibri"/>
          <w:b/>
          <w:bCs/>
          <w:color w:val="000000" w:themeColor="text1"/>
        </w:rPr>
        <w:t xml:space="preserve">the </w:t>
      </w:r>
      <w:r w:rsidRPr="526C5137">
        <w:rPr>
          <w:rFonts w:ascii="Calibri" w:eastAsia="Calibri" w:hAnsi="Calibri" w:cs="Calibri"/>
          <w:b/>
          <w:bCs/>
          <w:color w:val="000000" w:themeColor="text1"/>
        </w:rPr>
        <w:t xml:space="preserve">REA </w:t>
      </w:r>
      <w:r w:rsidR="0043633B">
        <w:rPr>
          <w:rFonts w:ascii="Calibri" w:eastAsia="Calibri" w:hAnsi="Calibri" w:cs="Calibri"/>
          <w:b/>
          <w:bCs/>
          <w:color w:val="000000" w:themeColor="text1"/>
        </w:rPr>
        <w:t xml:space="preserve">program during the multi-state evaluation </w:t>
      </w:r>
      <w:r w:rsidRPr="00CE5875">
        <w:rPr>
          <w:rFonts w:ascii="Calibri" w:eastAsia="Calibri" w:hAnsi="Calibri" w:cs="Calibri"/>
          <w:b/>
          <w:bCs/>
          <w:color w:val="000000" w:themeColor="text1"/>
        </w:rPr>
        <w:t>with Utah</w:t>
      </w:r>
      <w:r w:rsidR="0043633B">
        <w:rPr>
          <w:rFonts w:ascii="Calibri" w:eastAsia="Calibri" w:hAnsi="Calibri" w:cs="Calibri"/>
          <w:b/>
          <w:bCs/>
          <w:color w:val="000000" w:themeColor="text1"/>
        </w:rPr>
        <w:t>’s</w:t>
      </w:r>
      <w:r w:rsidRPr="00CE5875">
        <w:rPr>
          <w:rFonts w:ascii="Calibri" w:eastAsia="Calibri" w:hAnsi="Calibri" w:cs="Calibri"/>
          <w:b/>
          <w:bCs/>
          <w:color w:val="000000" w:themeColor="text1"/>
        </w:rPr>
        <w:t xml:space="preserve"> RESEA</w:t>
      </w:r>
      <w:r w:rsidRPr="526C5137">
        <w:rPr>
          <w:rFonts w:ascii="Calibri" w:eastAsia="Calibri" w:hAnsi="Calibri" w:cs="Calibri"/>
          <w:color w:val="000000" w:themeColor="text1"/>
        </w:rPr>
        <w:t xml:space="preserve"> </w:t>
      </w:r>
      <w:r w:rsidRPr="00CE5875">
        <w:rPr>
          <w:rFonts w:ascii="Calibri" w:eastAsia="Calibri" w:hAnsi="Calibri" w:cs="Calibri"/>
          <w:b/>
          <w:bCs/>
          <w:color w:val="000000" w:themeColor="text1"/>
        </w:rPr>
        <w:t>program</w:t>
      </w:r>
      <w:r w:rsidRPr="526C5137">
        <w:rPr>
          <w:rFonts w:ascii="Calibri" w:eastAsia="Calibri" w:hAnsi="Calibri" w:cs="Calibri"/>
          <w:b/>
          <w:bCs/>
          <w:color w:val="000000" w:themeColor="text1"/>
        </w:rPr>
        <w:t>.</w:t>
      </w:r>
    </w:p>
    <w:tbl>
      <w:tblPr>
        <w:tblW w:w="9361" w:type="dxa"/>
        <w:tblLayout w:type="fixed"/>
        <w:tblLook w:val="04A0" w:firstRow="1" w:lastRow="0" w:firstColumn="1" w:lastColumn="0" w:noHBand="0" w:noVBand="1"/>
      </w:tblPr>
      <w:tblGrid>
        <w:gridCol w:w="1800"/>
        <w:gridCol w:w="1512"/>
        <w:gridCol w:w="1512"/>
        <w:gridCol w:w="1512"/>
        <w:gridCol w:w="1512"/>
        <w:gridCol w:w="1513"/>
      </w:tblGrid>
      <w:tr w:rsidR="28097A2F" w14:paraId="2B1C9A9A" w14:textId="77777777" w:rsidTr="00947E6C">
        <w:trPr>
          <w:trHeight w:val="355"/>
        </w:trPr>
        <w:tc>
          <w:tcPr>
            <w:tcW w:w="1800" w:type="dxa"/>
            <w:tcBorders>
              <w:top w:val="single" w:sz="2" w:space="0" w:color="auto"/>
              <w:left w:val="nil"/>
              <w:bottom w:val="single" w:sz="8" w:space="0" w:color="auto"/>
              <w:right w:val="nil"/>
            </w:tcBorders>
            <w:vAlign w:val="center"/>
          </w:tcPr>
          <w:p w14:paraId="09363CAC" w14:textId="7F6C28F6" w:rsidR="28097A2F" w:rsidRDefault="28097A2F" w:rsidP="00947E6C">
            <w:pPr>
              <w:spacing w:after="0"/>
              <w:jc w:val="center"/>
            </w:pPr>
            <w:r w:rsidRPr="28097A2F">
              <w:rPr>
                <w:rFonts w:ascii="Calibri" w:eastAsia="Calibri" w:hAnsi="Calibri" w:cs="Calibri"/>
                <w:b/>
                <w:bCs/>
              </w:rPr>
              <w:t>STRATEGY</w:t>
            </w:r>
          </w:p>
        </w:tc>
        <w:tc>
          <w:tcPr>
            <w:tcW w:w="1512" w:type="dxa"/>
            <w:tcBorders>
              <w:top w:val="single" w:sz="2" w:space="0" w:color="auto"/>
              <w:left w:val="nil"/>
              <w:bottom w:val="single" w:sz="8" w:space="0" w:color="auto"/>
              <w:right w:val="nil"/>
            </w:tcBorders>
            <w:vAlign w:val="center"/>
          </w:tcPr>
          <w:p w14:paraId="47F98774" w14:textId="736C6F9B" w:rsidR="28097A2F" w:rsidRDefault="28097A2F" w:rsidP="00947E6C">
            <w:pPr>
              <w:spacing w:after="0"/>
              <w:jc w:val="center"/>
            </w:pPr>
            <w:r w:rsidRPr="28097A2F">
              <w:rPr>
                <w:rFonts w:ascii="Calibri" w:eastAsia="Calibri" w:hAnsi="Calibri" w:cs="Calibri"/>
                <w:b/>
                <w:bCs/>
              </w:rPr>
              <w:t>IN</w:t>
            </w:r>
          </w:p>
        </w:tc>
        <w:tc>
          <w:tcPr>
            <w:tcW w:w="1512" w:type="dxa"/>
            <w:tcBorders>
              <w:top w:val="single" w:sz="2" w:space="0" w:color="auto"/>
              <w:left w:val="nil"/>
              <w:bottom w:val="single" w:sz="8" w:space="0" w:color="auto"/>
              <w:right w:val="nil"/>
            </w:tcBorders>
            <w:vAlign w:val="center"/>
          </w:tcPr>
          <w:p w14:paraId="4594F3FC" w14:textId="22029275" w:rsidR="28097A2F" w:rsidRDefault="28097A2F" w:rsidP="00947E6C">
            <w:pPr>
              <w:spacing w:after="0"/>
              <w:jc w:val="center"/>
            </w:pPr>
            <w:r w:rsidRPr="28097A2F">
              <w:rPr>
                <w:rFonts w:ascii="Calibri" w:eastAsia="Calibri" w:hAnsi="Calibri" w:cs="Calibri"/>
                <w:b/>
                <w:bCs/>
              </w:rPr>
              <w:t>NY</w:t>
            </w:r>
          </w:p>
        </w:tc>
        <w:tc>
          <w:tcPr>
            <w:tcW w:w="1512" w:type="dxa"/>
            <w:tcBorders>
              <w:top w:val="single" w:sz="2" w:space="0" w:color="auto"/>
              <w:left w:val="nil"/>
              <w:bottom w:val="single" w:sz="8" w:space="0" w:color="auto"/>
              <w:right w:val="nil"/>
            </w:tcBorders>
            <w:vAlign w:val="center"/>
          </w:tcPr>
          <w:p w14:paraId="6798975F" w14:textId="57B963CD" w:rsidR="28097A2F" w:rsidRDefault="28097A2F" w:rsidP="00947E6C">
            <w:pPr>
              <w:spacing w:after="0"/>
              <w:jc w:val="center"/>
            </w:pPr>
            <w:r w:rsidRPr="28097A2F">
              <w:rPr>
                <w:rFonts w:ascii="Calibri" w:eastAsia="Calibri" w:hAnsi="Calibri" w:cs="Calibri"/>
                <w:b/>
                <w:bCs/>
              </w:rPr>
              <w:t>WA</w:t>
            </w:r>
          </w:p>
        </w:tc>
        <w:tc>
          <w:tcPr>
            <w:tcW w:w="1512" w:type="dxa"/>
            <w:tcBorders>
              <w:top w:val="single" w:sz="2" w:space="0" w:color="auto"/>
              <w:left w:val="nil"/>
              <w:bottom w:val="single" w:sz="8" w:space="0" w:color="auto"/>
              <w:right w:val="nil"/>
            </w:tcBorders>
            <w:vAlign w:val="center"/>
          </w:tcPr>
          <w:p w14:paraId="417781EE" w14:textId="7E368C61" w:rsidR="28097A2F" w:rsidRDefault="28097A2F" w:rsidP="00947E6C">
            <w:pPr>
              <w:spacing w:after="0"/>
              <w:jc w:val="center"/>
            </w:pPr>
            <w:r w:rsidRPr="28097A2F">
              <w:rPr>
                <w:rFonts w:ascii="Calibri" w:eastAsia="Calibri" w:hAnsi="Calibri" w:cs="Calibri"/>
                <w:b/>
                <w:bCs/>
              </w:rPr>
              <w:t>WI</w:t>
            </w:r>
          </w:p>
        </w:tc>
        <w:tc>
          <w:tcPr>
            <w:tcW w:w="1513" w:type="dxa"/>
            <w:tcBorders>
              <w:top w:val="single" w:sz="2" w:space="0" w:color="auto"/>
              <w:left w:val="nil"/>
              <w:bottom w:val="single" w:sz="8" w:space="0" w:color="auto"/>
              <w:right w:val="nil"/>
            </w:tcBorders>
            <w:vAlign w:val="center"/>
          </w:tcPr>
          <w:p w14:paraId="04980920" w14:textId="0DB46E6F" w:rsidR="28097A2F" w:rsidRDefault="28097A2F" w:rsidP="00947E6C">
            <w:pPr>
              <w:spacing w:after="0"/>
              <w:jc w:val="center"/>
            </w:pPr>
            <w:r w:rsidRPr="28097A2F">
              <w:rPr>
                <w:rFonts w:ascii="Calibri" w:eastAsia="Calibri" w:hAnsi="Calibri" w:cs="Calibri"/>
                <w:b/>
                <w:bCs/>
              </w:rPr>
              <w:t>UT</w:t>
            </w:r>
          </w:p>
        </w:tc>
      </w:tr>
      <w:tr w:rsidR="28097A2F" w14:paraId="40A79B0B" w14:textId="77777777" w:rsidTr="00205E1C">
        <w:trPr>
          <w:trHeight w:val="300"/>
        </w:trPr>
        <w:tc>
          <w:tcPr>
            <w:tcW w:w="1800" w:type="dxa"/>
            <w:tcBorders>
              <w:top w:val="single" w:sz="8" w:space="0" w:color="auto"/>
              <w:left w:val="nil"/>
              <w:bottom w:val="nil"/>
              <w:right w:val="single" w:sz="8" w:space="0" w:color="auto"/>
            </w:tcBorders>
            <w:shd w:val="clear" w:color="auto" w:fill="F2F2F2" w:themeFill="background1" w:themeFillShade="F2"/>
          </w:tcPr>
          <w:p w14:paraId="5557E471" w14:textId="6B0BBE69" w:rsidR="28097A2F" w:rsidRDefault="28097A2F" w:rsidP="00947E6C">
            <w:pPr>
              <w:spacing w:after="120"/>
            </w:pPr>
            <w:r w:rsidRPr="28097A2F">
              <w:rPr>
                <w:rFonts w:ascii="Calibri" w:eastAsia="Calibri" w:hAnsi="Calibri" w:cs="Calibri"/>
                <w:b/>
                <w:bCs/>
                <w:color w:val="000000" w:themeColor="text1"/>
              </w:rPr>
              <w:t xml:space="preserve">Who schedules the </w:t>
            </w:r>
            <w:r w:rsidR="00CE5875">
              <w:rPr>
                <w:rFonts w:ascii="Calibri" w:eastAsia="Calibri" w:hAnsi="Calibri" w:cs="Calibri"/>
                <w:b/>
                <w:bCs/>
                <w:color w:val="000000" w:themeColor="text1"/>
              </w:rPr>
              <w:t>meeting</w:t>
            </w:r>
            <w:r w:rsidRPr="28097A2F">
              <w:rPr>
                <w:rFonts w:ascii="Calibri" w:eastAsia="Calibri" w:hAnsi="Calibri" w:cs="Calibri"/>
                <w:b/>
                <w:bCs/>
                <w:color w:val="000000" w:themeColor="text1"/>
              </w:rPr>
              <w:t>?</w:t>
            </w:r>
          </w:p>
        </w:tc>
        <w:tc>
          <w:tcPr>
            <w:tcW w:w="1512" w:type="dxa"/>
            <w:tcBorders>
              <w:top w:val="single" w:sz="8" w:space="0" w:color="auto"/>
              <w:left w:val="single" w:sz="8" w:space="0" w:color="auto"/>
              <w:bottom w:val="nil"/>
              <w:right w:val="nil"/>
            </w:tcBorders>
            <w:shd w:val="clear" w:color="auto" w:fill="F2F2F2" w:themeFill="background1" w:themeFillShade="F2"/>
          </w:tcPr>
          <w:p w14:paraId="56BD360D" w14:textId="1DC87E0F" w:rsidR="28097A2F" w:rsidRDefault="00CE5875" w:rsidP="00947E6C">
            <w:pPr>
              <w:spacing w:after="120"/>
              <w:jc w:val="center"/>
            </w:pPr>
            <w:r>
              <w:rPr>
                <w:rFonts w:ascii="Calibri" w:eastAsia="Calibri" w:hAnsi="Calibri" w:cs="Calibri"/>
                <w:color w:val="000000" w:themeColor="text1"/>
              </w:rPr>
              <w:t>Department</w:t>
            </w:r>
          </w:p>
        </w:tc>
        <w:tc>
          <w:tcPr>
            <w:tcW w:w="1512" w:type="dxa"/>
            <w:tcBorders>
              <w:top w:val="single" w:sz="8" w:space="0" w:color="auto"/>
              <w:left w:val="nil"/>
              <w:bottom w:val="nil"/>
              <w:right w:val="nil"/>
            </w:tcBorders>
            <w:shd w:val="clear" w:color="auto" w:fill="F2F2F2" w:themeFill="background1" w:themeFillShade="F2"/>
          </w:tcPr>
          <w:p w14:paraId="2F64DCF8" w14:textId="1B58C853" w:rsidR="28097A2F" w:rsidRDefault="00CE5875" w:rsidP="00947E6C">
            <w:pPr>
              <w:spacing w:after="120"/>
              <w:jc w:val="center"/>
            </w:pPr>
            <w:r>
              <w:rPr>
                <w:rFonts w:ascii="Calibri" w:eastAsia="Calibri" w:hAnsi="Calibri" w:cs="Calibri"/>
                <w:color w:val="000000" w:themeColor="text1"/>
              </w:rPr>
              <w:t>Department</w:t>
            </w:r>
          </w:p>
        </w:tc>
        <w:tc>
          <w:tcPr>
            <w:tcW w:w="1512" w:type="dxa"/>
            <w:tcBorders>
              <w:top w:val="single" w:sz="8" w:space="0" w:color="auto"/>
              <w:left w:val="nil"/>
              <w:bottom w:val="nil"/>
              <w:right w:val="nil"/>
            </w:tcBorders>
            <w:shd w:val="clear" w:color="auto" w:fill="F2F2F2" w:themeFill="background1" w:themeFillShade="F2"/>
          </w:tcPr>
          <w:p w14:paraId="015582D7" w14:textId="6C0F0310" w:rsidR="28097A2F" w:rsidRDefault="00CE5875" w:rsidP="00947E6C">
            <w:pPr>
              <w:spacing w:after="120"/>
              <w:jc w:val="center"/>
            </w:pPr>
            <w:r>
              <w:rPr>
                <w:rFonts w:ascii="Calibri" w:eastAsia="Calibri" w:hAnsi="Calibri" w:cs="Calibri"/>
                <w:color w:val="000000" w:themeColor="text1"/>
              </w:rPr>
              <w:t>Department</w:t>
            </w:r>
          </w:p>
        </w:tc>
        <w:tc>
          <w:tcPr>
            <w:tcW w:w="1512" w:type="dxa"/>
            <w:tcBorders>
              <w:top w:val="single" w:sz="8" w:space="0" w:color="auto"/>
              <w:left w:val="nil"/>
              <w:bottom w:val="nil"/>
              <w:right w:val="nil"/>
            </w:tcBorders>
            <w:shd w:val="clear" w:color="auto" w:fill="F2F2F2" w:themeFill="background1" w:themeFillShade="F2"/>
          </w:tcPr>
          <w:p w14:paraId="020943C1" w14:textId="1C598FF9" w:rsidR="28097A2F" w:rsidRDefault="00CE5875" w:rsidP="00947E6C">
            <w:pPr>
              <w:spacing w:after="120"/>
              <w:jc w:val="center"/>
            </w:pPr>
            <w:r>
              <w:rPr>
                <w:rFonts w:ascii="Calibri" w:eastAsia="Calibri" w:hAnsi="Calibri" w:cs="Calibri"/>
                <w:color w:val="000000" w:themeColor="text1"/>
              </w:rPr>
              <w:t>Claimant</w:t>
            </w:r>
          </w:p>
        </w:tc>
        <w:tc>
          <w:tcPr>
            <w:tcW w:w="1513" w:type="dxa"/>
            <w:tcBorders>
              <w:top w:val="single" w:sz="8" w:space="0" w:color="auto"/>
              <w:left w:val="nil"/>
              <w:bottom w:val="nil"/>
              <w:right w:val="nil"/>
            </w:tcBorders>
            <w:shd w:val="clear" w:color="auto" w:fill="F2F2F2" w:themeFill="background1" w:themeFillShade="F2"/>
          </w:tcPr>
          <w:p w14:paraId="7D09D0D4" w14:textId="6593D51A" w:rsidR="28097A2F" w:rsidRDefault="00CE5875" w:rsidP="00947E6C">
            <w:pPr>
              <w:spacing w:after="120"/>
              <w:jc w:val="center"/>
            </w:pPr>
            <w:r>
              <w:rPr>
                <w:rFonts w:ascii="Calibri" w:eastAsia="Calibri" w:hAnsi="Calibri" w:cs="Calibri"/>
                <w:color w:val="000000" w:themeColor="text1"/>
              </w:rPr>
              <w:t>Claimant</w:t>
            </w:r>
          </w:p>
        </w:tc>
      </w:tr>
      <w:tr w:rsidR="28097A2F" w14:paraId="629C1412" w14:textId="77777777" w:rsidTr="00205E1C">
        <w:trPr>
          <w:trHeight w:val="300"/>
        </w:trPr>
        <w:tc>
          <w:tcPr>
            <w:tcW w:w="1800" w:type="dxa"/>
            <w:tcBorders>
              <w:top w:val="nil"/>
              <w:left w:val="nil"/>
              <w:bottom w:val="nil"/>
              <w:right w:val="single" w:sz="8" w:space="0" w:color="auto"/>
            </w:tcBorders>
          </w:tcPr>
          <w:p w14:paraId="06A461D0" w14:textId="6B1B5EED" w:rsidR="28097A2F" w:rsidRDefault="28097A2F" w:rsidP="00947E6C">
            <w:pPr>
              <w:spacing w:after="120"/>
            </w:pPr>
            <w:r w:rsidRPr="28097A2F">
              <w:rPr>
                <w:rFonts w:ascii="Calibri" w:eastAsia="Calibri" w:hAnsi="Calibri" w:cs="Calibri"/>
                <w:b/>
                <w:bCs/>
              </w:rPr>
              <w:t>Attend</w:t>
            </w:r>
            <w:r w:rsidR="00205E1C">
              <w:rPr>
                <w:rFonts w:ascii="Calibri" w:eastAsia="Calibri" w:hAnsi="Calibri" w:cs="Calibri"/>
                <w:b/>
                <w:bCs/>
              </w:rPr>
              <w:t>ed</w:t>
            </w:r>
            <w:r w:rsidRPr="28097A2F">
              <w:rPr>
                <w:rFonts w:ascii="Calibri" w:eastAsia="Calibri" w:hAnsi="Calibri" w:cs="Calibri"/>
                <w:b/>
                <w:bCs/>
              </w:rPr>
              <w:t xml:space="preserve"> </w:t>
            </w:r>
            <w:r w:rsidR="00CE5875">
              <w:rPr>
                <w:rFonts w:ascii="Calibri" w:eastAsia="Calibri" w:hAnsi="Calibri" w:cs="Calibri"/>
                <w:b/>
                <w:bCs/>
              </w:rPr>
              <w:t>meeting</w:t>
            </w:r>
            <w:r w:rsidRPr="28097A2F">
              <w:rPr>
                <w:rFonts w:ascii="Calibri" w:eastAsia="Calibri" w:hAnsi="Calibri" w:cs="Calibri"/>
                <w:b/>
                <w:bCs/>
              </w:rPr>
              <w:t xml:space="preserve"> on time</w:t>
            </w:r>
          </w:p>
        </w:tc>
        <w:tc>
          <w:tcPr>
            <w:tcW w:w="1512" w:type="dxa"/>
            <w:tcBorders>
              <w:top w:val="nil"/>
              <w:left w:val="single" w:sz="8" w:space="0" w:color="auto"/>
              <w:bottom w:val="nil"/>
              <w:right w:val="nil"/>
            </w:tcBorders>
          </w:tcPr>
          <w:p w14:paraId="26086ABA" w14:textId="08752CC0" w:rsidR="28097A2F" w:rsidRDefault="28097A2F" w:rsidP="00947E6C">
            <w:pPr>
              <w:spacing w:after="120"/>
              <w:jc w:val="center"/>
            </w:pPr>
            <w:r w:rsidRPr="28097A2F">
              <w:rPr>
                <w:rFonts w:ascii="Calibri" w:eastAsia="Calibri" w:hAnsi="Calibri" w:cs="Calibri"/>
              </w:rPr>
              <w:t>39%</w:t>
            </w:r>
          </w:p>
        </w:tc>
        <w:tc>
          <w:tcPr>
            <w:tcW w:w="1512" w:type="dxa"/>
          </w:tcPr>
          <w:p w14:paraId="18889BEB" w14:textId="29AFC8EC" w:rsidR="28097A2F" w:rsidRDefault="28097A2F" w:rsidP="00947E6C">
            <w:pPr>
              <w:spacing w:after="120"/>
              <w:jc w:val="center"/>
            </w:pPr>
            <w:r w:rsidRPr="28097A2F">
              <w:rPr>
                <w:rFonts w:ascii="Calibri" w:eastAsia="Calibri" w:hAnsi="Calibri" w:cs="Calibri"/>
              </w:rPr>
              <w:t>53%</w:t>
            </w:r>
          </w:p>
        </w:tc>
        <w:tc>
          <w:tcPr>
            <w:tcW w:w="1512" w:type="dxa"/>
          </w:tcPr>
          <w:p w14:paraId="374C72DA" w14:textId="17882820" w:rsidR="28097A2F" w:rsidRDefault="28097A2F" w:rsidP="00947E6C">
            <w:pPr>
              <w:spacing w:after="120"/>
              <w:jc w:val="center"/>
            </w:pPr>
            <w:r w:rsidRPr="28097A2F">
              <w:rPr>
                <w:rFonts w:ascii="Calibri" w:eastAsia="Calibri" w:hAnsi="Calibri" w:cs="Calibri"/>
              </w:rPr>
              <w:t>55%</w:t>
            </w:r>
          </w:p>
        </w:tc>
        <w:tc>
          <w:tcPr>
            <w:tcW w:w="1512" w:type="dxa"/>
          </w:tcPr>
          <w:p w14:paraId="760E1619" w14:textId="2DBDF013" w:rsidR="28097A2F" w:rsidRDefault="1E01D615" w:rsidP="00947E6C">
            <w:pPr>
              <w:spacing w:after="120"/>
              <w:jc w:val="center"/>
              <w:rPr>
                <w:rFonts w:ascii="Calibri" w:eastAsia="Calibri" w:hAnsi="Calibri" w:cs="Calibri"/>
              </w:rPr>
            </w:pPr>
            <w:r w:rsidRPr="1E01D615">
              <w:rPr>
                <w:rFonts w:ascii="Calibri" w:eastAsia="Calibri" w:hAnsi="Calibri" w:cs="Calibri"/>
              </w:rPr>
              <w:t>57%</w:t>
            </w:r>
          </w:p>
        </w:tc>
        <w:tc>
          <w:tcPr>
            <w:tcW w:w="1513" w:type="dxa"/>
          </w:tcPr>
          <w:p w14:paraId="609EA7B8" w14:textId="006851CD" w:rsidR="28097A2F" w:rsidRDefault="00317DDE" w:rsidP="00947E6C">
            <w:pPr>
              <w:spacing w:after="120"/>
              <w:jc w:val="center"/>
            </w:pPr>
            <w:r w:rsidRPr="00317DDE">
              <w:rPr>
                <w:rFonts w:ascii="Calibri" w:eastAsia="Calibri" w:hAnsi="Calibri" w:cs="Calibri"/>
                <w:color w:val="000000" w:themeColor="text1"/>
              </w:rPr>
              <w:t>Unknown</w:t>
            </w:r>
          </w:p>
        </w:tc>
      </w:tr>
      <w:tr w:rsidR="28097A2F" w14:paraId="52C7C6E2" w14:textId="77777777" w:rsidTr="00205E1C">
        <w:trPr>
          <w:trHeight w:val="270"/>
        </w:trPr>
        <w:tc>
          <w:tcPr>
            <w:tcW w:w="1800" w:type="dxa"/>
            <w:tcBorders>
              <w:top w:val="nil"/>
              <w:left w:val="nil"/>
              <w:right w:val="single" w:sz="8" w:space="0" w:color="auto"/>
            </w:tcBorders>
            <w:shd w:val="clear" w:color="auto" w:fill="F2F2F2" w:themeFill="background1" w:themeFillShade="F2"/>
          </w:tcPr>
          <w:p w14:paraId="60396336" w14:textId="675BA913" w:rsidR="28097A2F" w:rsidRDefault="28097A2F" w:rsidP="00947E6C">
            <w:pPr>
              <w:spacing w:after="120"/>
            </w:pPr>
            <w:r w:rsidRPr="28097A2F">
              <w:rPr>
                <w:rFonts w:ascii="Calibri" w:eastAsia="Calibri" w:hAnsi="Calibri" w:cs="Calibri"/>
                <w:b/>
                <w:bCs/>
                <w:color w:val="000000" w:themeColor="text1"/>
              </w:rPr>
              <w:t>Ever attended m</w:t>
            </w:r>
            <w:r w:rsidR="00205E1C">
              <w:rPr>
                <w:rFonts w:ascii="Calibri" w:eastAsia="Calibri" w:hAnsi="Calibri" w:cs="Calibri"/>
                <w:b/>
                <w:bCs/>
                <w:color w:val="000000" w:themeColor="text1"/>
              </w:rPr>
              <w:t>ee</w:t>
            </w:r>
            <w:r w:rsidRPr="28097A2F">
              <w:rPr>
                <w:rFonts w:ascii="Calibri" w:eastAsia="Calibri" w:hAnsi="Calibri" w:cs="Calibri"/>
                <w:b/>
                <w:bCs/>
                <w:color w:val="000000" w:themeColor="text1"/>
              </w:rPr>
              <w:t>t</w:t>
            </w:r>
            <w:r w:rsidR="00205E1C">
              <w:rPr>
                <w:rFonts w:ascii="Calibri" w:eastAsia="Calibri" w:hAnsi="Calibri" w:cs="Calibri"/>
                <w:b/>
                <w:bCs/>
                <w:color w:val="000000" w:themeColor="text1"/>
              </w:rPr>
              <w:t>in</w:t>
            </w:r>
            <w:r w:rsidRPr="28097A2F">
              <w:rPr>
                <w:rFonts w:ascii="Calibri" w:eastAsia="Calibri" w:hAnsi="Calibri" w:cs="Calibri"/>
                <w:b/>
                <w:bCs/>
                <w:color w:val="000000" w:themeColor="text1"/>
              </w:rPr>
              <w:t>g</w:t>
            </w:r>
          </w:p>
        </w:tc>
        <w:tc>
          <w:tcPr>
            <w:tcW w:w="1512" w:type="dxa"/>
            <w:tcBorders>
              <w:top w:val="nil"/>
              <w:left w:val="single" w:sz="8" w:space="0" w:color="auto"/>
              <w:right w:val="nil"/>
            </w:tcBorders>
            <w:shd w:val="clear" w:color="auto" w:fill="F2F2F2" w:themeFill="background1" w:themeFillShade="F2"/>
          </w:tcPr>
          <w:p w14:paraId="50DACBFF" w14:textId="248D715D" w:rsidR="28097A2F" w:rsidRDefault="28097A2F" w:rsidP="00947E6C">
            <w:pPr>
              <w:spacing w:after="120"/>
              <w:jc w:val="center"/>
            </w:pPr>
            <w:r w:rsidRPr="28097A2F">
              <w:rPr>
                <w:rFonts w:ascii="Calibri" w:eastAsia="Calibri" w:hAnsi="Calibri" w:cs="Calibri"/>
                <w:color w:val="000000" w:themeColor="text1"/>
              </w:rPr>
              <w:t>62%</w:t>
            </w:r>
          </w:p>
        </w:tc>
        <w:tc>
          <w:tcPr>
            <w:tcW w:w="1512" w:type="dxa"/>
            <w:shd w:val="clear" w:color="auto" w:fill="F2F2F2" w:themeFill="background1" w:themeFillShade="F2"/>
          </w:tcPr>
          <w:p w14:paraId="29AC27FF" w14:textId="1E2D9BC8" w:rsidR="28097A2F" w:rsidRDefault="28097A2F" w:rsidP="00947E6C">
            <w:pPr>
              <w:spacing w:after="120"/>
              <w:jc w:val="center"/>
            </w:pPr>
            <w:r w:rsidRPr="28097A2F">
              <w:rPr>
                <w:rFonts w:ascii="Calibri" w:eastAsia="Calibri" w:hAnsi="Calibri" w:cs="Calibri"/>
                <w:color w:val="000000" w:themeColor="text1"/>
              </w:rPr>
              <w:t>76%</w:t>
            </w:r>
          </w:p>
        </w:tc>
        <w:tc>
          <w:tcPr>
            <w:tcW w:w="1512" w:type="dxa"/>
            <w:shd w:val="clear" w:color="auto" w:fill="F2F2F2" w:themeFill="background1" w:themeFillShade="F2"/>
          </w:tcPr>
          <w:p w14:paraId="1E584630" w14:textId="553406C3" w:rsidR="28097A2F" w:rsidRDefault="28097A2F" w:rsidP="00947E6C">
            <w:pPr>
              <w:spacing w:after="120"/>
              <w:jc w:val="center"/>
            </w:pPr>
            <w:r w:rsidRPr="28097A2F">
              <w:rPr>
                <w:rFonts w:ascii="Calibri" w:eastAsia="Calibri" w:hAnsi="Calibri" w:cs="Calibri"/>
                <w:color w:val="000000" w:themeColor="text1"/>
              </w:rPr>
              <w:t>60%</w:t>
            </w:r>
          </w:p>
        </w:tc>
        <w:tc>
          <w:tcPr>
            <w:tcW w:w="1512" w:type="dxa"/>
            <w:shd w:val="clear" w:color="auto" w:fill="F2F2F2" w:themeFill="background1" w:themeFillShade="F2"/>
          </w:tcPr>
          <w:p w14:paraId="4CC0F8CD" w14:textId="462792E9" w:rsidR="28097A2F" w:rsidRDefault="0C2A397B" w:rsidP="00947E6C">
            <w:pPr>
              <w:spacing w:after="120"/>
              <w:jc w:val="center"/>
              <w:rPr>
                <w:rFonts w:ascii="Calibri" w:eastAsia="Calibri" w:hAnsi="Calibri" w:cs="Calibri"/>
                <w:color w:val="000000" w:themeColor="text1"/>
              </w:rPr>
            </w:pPr>
            <w:r w:rsidRPr="0C2A397B">
              <w:rPr>
                <w:rFonts w:ascii="Calibri" w:eastAsia="Calibri" w:hAnsi="Calibri" w:cs="Calibri"/>
                <w:color w:val="000000" w:themeColor="text1"/>
              </w:rPr>
              <w:t>68%</w:t>
            </w:r>
          </w:p>
        </w:tc>
        <w:tc>
          <w:tcPr>
            <w:tcW w:w="1513" w:type="dxa"/>
            <w:shd w:val="clear" w:color="auto" w:fill="F2F2F2" w:themeFill="background1" w:themeFillShade="F2"/>
          </w:tcPr>
          <w:p w14:paraId="060845D2" w14:textId="07DB9680" w:rsidR="28097A2F" w:rsidRDefault="28097A2F" w:rsidP="00947E6C">
            <w:pPr>
              <w:spacing w:after="120"/>
              <w:jc w:val="center"/>
            </w:pPr>
            <w:r w:rsidRPr="28097A2F">
              <w:rPr>
                <w:rFonts w:ascii="Calibri" w:eastAsia="Calibri" w:hAnsi="Calibri" w:cs="Calibri"/>
                <w:color w:val="000000" w:themeColor="text1"/>
              </w:rPr>
              <w:t>70%</w:t>
            </w:r>
          </w:p>
        </w:tc>
      </w:tr>
      <w:tr w:rsidR="28097A2F" w14:paraId="3F11D81F" w14:textId="77777777" w:rsidTr="00205E1C">
        <w:trPr>
          <w:trHeight w:val="300"/>
        </w:trPr>
        <w:tc>
          <w:tcPr>
            <w:tcW w:w="1800" w:type="dxa"/>
            <w:tcBorders>
              <w:top w:val="nil"/>
              <w:left w:val="nil"/>
              <w:bottom w:val="single" w:sz="2" w:space="0" w:color="auto"/>
              <w:right w:val="single" w:sz="8" w:space="0" w:color="auto"/>
            </w:tcBorders>
          </w:tcPr>
          <w:p w14:paraId="2AC9457A" w14:textId="023056E6" w:rsidR="28097A2F" w:rsidRDefault="28097A2F" w:rsidP="00947E6C">
            <w:pPr>
              <w:spacing w:after="120"/>
            </w:pPr>
            <w:r w:rsidRPr="28097A2F">
              <w:rPr>
                <w:rFonts w:ascii="Calibri" w:eastAsia="Calibri" w:hAnsi="Calibri" w:cs="Calibri"/>
                <w:b/>
                <w:bCs/>
              </w:rPr>
              <w:t>Penalty for “no show”</w:t>
            </w:r>
          </w:p>
        </w:tc>
        <w:tc>
          <w:tcPr>
            <w:tcW w:w="1512" w:type="dxa"/>
            <w:tcBorders>
              <w:top w:val="nil"/>
              <w:left w:val="single" w:sz="8" w:space="0" w:color="auto"/>
              <w:bottom w:val="single" w:sz="2" w:space="0" w:color="auto"/>
              <w:right w:val="nil"/>
            </w:tcBorders>
          </w:tcPr>
          <w:p w14:paraId="6B18F692" w14:textId="6986F265" w:rsidR="28097A2F" w:rsidRDefault="18942DC4" w:rsidP="00947E6C">
            <w:pPr>
              <w:spacing w:after="120"/>
              <w:jc w:val="center"/>
              <w:rPr>
                <w:rFonts w:ascii="Calibri" w:eastAsia="Calibri" w:hAnsi="Calibri" w:cs="Calibri"/>
                <w:color w:val="000000" w:themeColor="text1"/>
              </w:rPr>
            </w:pPr>
            <w:r w:rsidRPr="18942DC4">
              <w:rPr>
                <w:rFonts w:ascii="Calibri" w:eastAsia="Calibri" w:hAnsi="Calibri" w:cs="Calibri"/>
                <w:color w:val="000000" w:themeColor="text1"/>
              </w:rPr>
              <w:t xml:space="preserve">Indefinite hold on </w:t>
            </w:r>
            <w:r w:rsidR="00CE01C0">
              <w:rPr>
                <w:rFonts w:ascii="Calibri" w:eastAsia="Calibri" w:hAnsi="Calibri" w:cs="Calibri"/>
                <w:color w:val="000000" w:themeColor="text1"/>
              </w:rPr>
              <w:t>UI payments</w:t>
            </w:r>
            <w:r w:rsidRPr="18942DC4">
              <w:rPr>
                <w:rFonts w:ascii="Calibri" w:eastAsia="Calibri" w:hAnsi="Calibri" w:cs="Calibri"/>
                <w:color w:val="000000" w:themeColor="text1"/>
              </w:rPr>
              <w:t xml:space="preserve"> until claimant reschedules or attends </w:t>
            </w:r>
            <w:r w:rsidR="00205E1C">
              <w:rPr>
                <w:rFonts w:ascii="Calibri" w:eastAsia="Calibri" w:hAnsi="Calibri" w:cs="Calibri"/>
                <w:color w:val="000000" w:themeColor="text1"/>
              </w:rPr>
              <w:t>meeting</w:t>
            </w:r>
          </w:p>
        </w:tc>
        <w:tc>
          <w:tcPr>
            <w:tcW w:w="1512" w:type="dxa"/>
            <w:tcBorders>
              <w:bottom w:val="single" w:sz="2" w:space="0" w:color="auto"/>
            </w:tcBorders>
          </w:tcPr>
          <w:p w14:paraId="362B44CF" w14:textId="27714A2A" w:rsidR="28097A2F" w:rsidRDefault="2212A514" w:rsidP="00947E6C">
            <w:pPr>
              <w:spacing w:after="120"/>
              <w:jc w:val="center"/>
            </w:pPr>
            <w:r w:rsidRPr="2212A514">
              <w:rPr>
                <w:rFonts w:ascii="Calibri" w:eastAsia="Calibri" w:hAnsi="Calibri" w:cs="Calibri"/>
                <w:color w:val="000000" w:themeColor="text1"/>
              </w:rPr>
              <w:t>4</w:t>
            </w:r>
            <w:r w:rsidR="00CE5875">
              <w:rPr>
                <w:rFonts w:ascii="Calibri" w:eastAsia="Calibri" w:hAnsi="Calibri" w:cs="Calibri"/>
                <w:color w:val="000000" w:themeColor="text1"/>
              </w:rPr>
              <w:t>-</w:t>
            </w:r>
            <w:r w:rsidRPr="2212A514">
              <w:rPr>
                <w:rFonts w:ascii="Calibri" w:eastAsia="Calibri" w:hAnsi="Calibri" w:cs="Calibri"/>
                <w:color w:val="000000" w:themeColor="text1"/>
              </w:rPr>
              <w:t>w</w:t>
            </w:r>
            <w:r w:rsidR="00CE5875">
              <w:rPr>
                <w:rFonts w:ascii="Calibri" w:eastAsia="Calibri" w:hAnsi="Calibri" w:cs="Calibri"/>
                <w:color w:val="000000" w:themeColor="text1"/>
              </w:rPr>
              <w:t>ee</w:t>
            </w:r>
            <w:r w:rsidRPr="2212A514">
              <w:rPr>
                <w:rFonts w:ascii="Calibri" w:eastAsia="Calibri" w:hAnsi="Calibri" w:cs="Calibri"/>
                <w:color w:val="000000" w:themeColor="text1"/>
              </w:rPr>
              <w:t>k hold on</w:t>
            </w:r>
            <w:r w:rsidR="00CE01C0">
              <w:rPr>
                <w:rFonts w:ascii="Calibri" w:eastAsia="Calibri" w:hAnsi="Calibri" w:cs="Calibri"/>
                <w:color w:val="000000" w:themeColor="text1"/>
              </w:rPr>
              <w:t xml:space="preserve"> UI</w:t>
            </w:r>
            <w:r w:rsidRPr="2212A514">
              <w:rPr>
                <w:rFonts w:ascii="Calibri" w:eastAsia="Calibri" w:hAnsi="Calibri" w:cs="Calibri"/>
                <w:color w:val="000000" w:themeColor="text1"/>
              </w:rPr>
              <w:t xml:space="preserve"> </w:t>
            </w:r>
            <w:r w:rsidR="00CE01C0">
              <w:rPr>
                <w:rFonts w:ascii="Calibri" w:eastAsia="Calibri" w:hAnsi="Calibri" w:cs="Calibri"/>
                <w:color w:val="000000" w:themeColor="text1"/>
              </w:rPr>
              <w:t>payments</w:t>
            </w:r>
            <w:r w:rsidRPr="2212A514">
              <w:rPr>
                <w:rFonts w:ascii="Calibri" w:eastAsia="Calibri" w:hAnsi="Calibri" w:cs="Calibri"/>
                <w:color w:val="000000" w:themeColor="text1"/>
              </w:rPr>
              <w:t xml:space="preserve"> unless attend</w:t>
            </w:r>
            <w:r w:rsidR="00CE5875">
              <w:rPr>
                <w:rFonts w:ascii="Calibri" w:eastAsia="Calibri" w:hAnsi="Calibri" w:cs="Calibri"/>
                <w:color w:val="000000" w:themeColor="text1"/>
              </w:rPr>
              <w:t>ing meeting</w:t>
            </w:r>
            <w:r w:rsidRPr="2212A514">
              <w:rPr>
                <w:rFonts w:ascii="Calibri" w:eastAsia="Calibri" w:hAnsi="Calibri" w:cs="Calibri"/>
                <w:color w:val="000000" w:themeColor="text1"/>
              </w:rPr>
              <w:t xml:space="preserve"> </w:t>
            </w:r>
            <w:r w:rsidR="00CE5875">
              <w:rPr>
                <w:rFonts w:ascii="Calibri" w:eastAsia="Calibri" w:hAnsi="Calibri" w:cs="Calibri"/>
                <w:color w:val="000000" w:themeColor="text1"/>
              </w:rPr>
              <w:t>sooner</w:t>
            </w:r>
          </w:p>
        </w:tc>
        <w:tc>
          <w:tcPr>
            <w:tcW w:w="1512" w:type="dxa"/>
            <w:tcBorders>
              <w:bottom w:val="single" w:sz="2" w:space="0" w:color="auto"/>
            </w:tcBorders>
          </w:tcPr>
          <w:p w14:paraId="0F3CB3E5" w14:textId="350DA116" w:rsidR="28097A2F" w:rsidRDefault="4F3BC30C" w:rsidP="00947E6C">
            <w:pPr>
              <w:spacing w:after="120"/>
              <w:jc w:val="center"/>
            </w:pPr>
            <w:r w:rsidRPr="4F3BC30C">
              <w:rPr>
                <w:rFonts w:ascii="Calibri" w:eastAsia="Calibri" w:hAnsi="Calibri" w:cs="Calibri"/>
                <w:color w:val="000000" w:themeColor="text1"/>
              </w:rPr>
              <w:t xml:space="preserve">No hold on </w:t>
            </w:r>
            <w:r w:rsidR="00CE01C0">
              <w:rPr>
                <w:rFonts w:ascii="Calibri" w:eastAsia="Calibri" w:hAnsi="Calibri" w:cs="Calibri"/>
                <w:color w:val="000000" w:themeColor="text1"/>
              </w:rPr>
              <w:t>UI payments</w:t>
            </w:r>
            <w:r w:rsidRPr="4F3BC30C">
              <w:rPr>
                <w:rFonts w:ascii="Calibri" w:eastAsia="Calibri" w:hAnsi="Calibri" w:cs="Calibri"/>
                <w:color w:val="000000" w:themeColor="text1"/>
              </w:rPr>
              <w:t xml:space="preserve">; non-payment for the </w:t>
            </w:r>
            <w:r w:rsidR="00CE5875">
              <w:rPr>
                <w:rFonts w:ascii="Calibri" w:eastAsia="Calibri" w:hAnsi="Calibri" w:cs="Calibri"/>
                <w:color w:val="000000" w:themeColor="text1"/>
              </w:rPr>
              <w:t>week</w:t>
            </w:r>
            <w:r w:rsidRPr="4F3BC30C">
              <w:rPr>
                <w:rFonts w:ascii="Calibri" w:eastAsia="Calibri" w:hAnsi="Calibri" w:cs="Calibri"/>
                <w:color w:val="000000" w:themeColor="text1"/>
              </w:rPr>
              <w:t xml:space="preserve"> of missed m</w:t>
            </w:r>
            <w:r w:rsidR="00CE5875">
              <w:rPr>
                <w:rFonts w:ascii="Calibri" w:eastAsia="Calibri" w:hAnsi="Calibri" w:cs="Calibri"/>
                <w:color w:val="000000" w:themeColor="text1"/>
              </w:rPr>
              <w:t>eeting</w:t>
            </w:r>
          </w:p>
        </w:tc>
        <w:tc>
          <w:tcPr>
            <w:tcW w:w="1512" w:type="dxa"/>
            <w:tcBorders>
              <w:bottom w:val="single" w:sz="2" w:space="0" w:color="auto"/>
            </w:tcBorders>
          </w:tcPr>
          <w:p w14:paraId="0ED8E5F6" w14:textId="721C6482" w:rsidR="28097A2F" w:rsidRDefault="4F3BC30C" w:rsidP="00947E6C">
            <w:pPr>
              <w:spacing w:after="120"/>
              <w:jc w:val="center"/>
            </w:pPr>
            <w:r w:rsidRPr="4F3BC30C">
              <w:rPr>
                <w:rFonts w:ascii="Calibri" w:eastAsia="Calibri" w:hAnsi="Calibri" w:cs="Calibri"/>
                <w:color w:val="000000" w:themeColor="text1"/>
              </w:rPr>
              <w:t xml:space="preserve">Indefinite hold on </w:t>
            </w:r>
            <w:r w:rsidR="00CE01C0">
              <w:rPr>
                <w:rFonts w:ascii="Calibri" w:eastAsia="Calibri" w:hAnsi="Calibri" w:cs="Calibri"/>
                <w:color w:val="000000" w:themeColor="text1"/>
              </w:rPr>
              <w:t>UI payment</w:t>
            </w:r>
            <w:r w:rsidRPr="4F3BC30C">
              <w:rPr>
                <w:rFonts w:ascii="Calibri" w:eastAsia="Calibri" w:hAnsi="Calibri" w:cs="Calibri"/>
                <w:color w:val="000000" w:themeColor="text1"/>
              </w:rPr>
              <w:t xml:space="preserve"> until claimant reschedules </w:t>
            </w:r>
            <w:r w:rsidR="00CE5875">
              <w:rPr>
                <w:rFonts w:ascii="Calibri" w:eastAsia="Calibri" w:hAnsi="Calibri" w:cs="Calibri"/>
                <w:color w:val="000000" w:themeColor="text1"/>
              </w:rPr>
              <w:t>meeting</w:t>
            </w:r>
          </w:p>
        </w:tc>
        <w:tc>
          <w:tcPr>
            <w:tcW w:w="1513" w:type="dxa"/>
            <w:tcBorders>
              <w:bottom w:val="single" w:sz="2" w:space="0" w:color="auto"/>
            </w:tcBorders>
          </w:tcPr>
          <w:p w14:paraId="1E842392" w14:textId="3AB5A40D" w:rsidR="28097A2F" w:rsidRDefault="00CE5875" w:rsidP="00947E6C">
            <w:pPr>
              <w:spacing w:after="120"/>
              <w:jc w:val="center"/>
            </w:pPr>
            <w:r>
              <w:rPr>
                <w:rFonts w:ascii="Calibri" w:eastAsia="Calibri" w:hAnsi="Calibri" w:cs="Calibri"/>
              </w:rPr>
              <w:t xml:space="preserve">Indefinite hold on </w:t>
            </w:r>
            <w:r w:rsidR="00CE01C0">
              <w:rPr>
                <w:rFonts w:ascii="Calibri" w:eastAsia="Calibri" w:hAnsi="Calibri" w:cs="Calibri"/>
              </w:rPr>
              <w:t>UI payment</w:t>
            </w:r>
            <w:r>
              <w:rPr>
                <w:rFonts w:ascii="Calibri" w:eastAsia="Calibri" w:hAnsi="Calibri" w:cs="Calibri"/>
              </w:rPr>
              <w:t xml:space="preserve"> </w:t>
            </w:r>
            <w:r w:rsidR="18216F0A" w:rsidRPr="18216F0A">
              <w:rPr>
                <w:rFonts w:ascii="Calibri" w:eastAsia="Calibri" w:hAnsi="Calibri" w:cs="Calibri"/>
              </w:rPr>
              <w:t xml:space="preserve">until claimant reschedules and attends </w:t>
            </w:r>
            <w:r w:rsidR="00205E1C">
              <w:rPr>
                <w:rFonts w:ascii="Calibri" w:eastAsia="Calibri" w:hAnsi="Calibri" w:cs="Calibri"/>
                <w:color w:val="000000" w:themeColor="text1"/>
              </w:rPr>
              <w:t>meeting</w:t>
            </w:r>
          </w:p>
        </w:tc>
      </w:tr>
    </w:tbl>
    <w:bookmarkEnd w:id="1"/>
    <w:p w14:paraId="4E868D8D" w14:textId="1F0ADF67" w:rsidR="6ED23EC0" w:rsidRDefault="11145AA9" w:rsidP="6D2CB736">
      <w:pPr>
        <w:spacing w:after="0" w:line="240" w:lineRule="auto"/>
        <w:rPr>
          <w:rFonts w:eastAsiaTheme="minorEastAsia"/>
        </w:rPr>
      </w:pPr>
      <w:r w:rsidRPr="11145AA9">
        <w:rPr>
          <w:rFonts w:eastAsiaTheme="minorEastAsia"/>
          <w:i/>
          <w:iCs/>
        </w:rPr>
        <w:t>Note</w:t>
      </w:r>
      <w:r w:rsidRPr="11145AA9">
        <w:rPr>
          <w:rFonts w:eastAsiaTheme="minorEastAsia"/>
        </w:rPr>
        <w:t xml:space="preserve">. </w:t>
      </w:r>
      <w:r w:rsidR="00E8569C">
        <w:rPr>
          <w:rFonts w:eastAsiaTheme="minorEastAsia"/>
        </w:rPr>
        <w:t xml:space="preserve">Attendance rates refer to the first REA meeting for </w:t>
      </w:r>
      <w:r w:rsidR="00317DDE">
        <w:rPr>
          <w:rFonts w:eastAsiaTheme="minorEastAsia"/>
        </w:rPr>
        <w:t>WI who required</w:t>
      </w:r>
      <w:r w:rsidR="00E8569C">
        <w:rPr>
          <w:rFonts w:eastAsiaTheme="minorEastAsia"/>
        </w:rPr>
        <w:t xml:space="preserve"> multiple meetings.  </w:t>
      </w:r>
    </w:p>
    <w:p w14:paraId="789AB369" w14:textId="3BE4ECDB" w:rsidR="6ED23EC0" w:rsidRDefault="6ED23EC0" w:rsidP="6ED23EC0">
      <w:pPr>
        <w:spacing w:after="0" w:line="240" w:lineRule="auto"/>
        <w:rPr>
          <w:rFonts w:eastAsiaTheme="minorEastAsia"/>
        </w:rPr>
      </w:pPr>
    </w:p>
    <w:p w14:paraId="3D93564A" w14:textId="42CEB682" w:rsidR="00123FD9" w:rsidRDefault="0003087D" w:rsidP="00123FD9">
      <w:pPr>
        <w:rPr>
          <w:color w:val="000000"/>
        </w:rPr>
      </w:pPr>
      <w:r>
        <w:rPr>
          <w:rStyle w:val="contentpasted0"/>
          <w:color w:val="000000"/>
        </w:rPr>
        <w:t xml:space="preserve">Heterogeneity in the impact </w:t>
      </w:r>
      <w:r w:rsidR="00123FD9">
        <w:rPr>
          <w:rStyle w:val="contentpasted0"/>
          <w:color w:val="000000"/>
        </w:rPr>
        <w:t>o</w:t>
      </w:r>
      <w:r>
        <w:rPr>
          <w:rStyle w:val="contentpasted0"/>
          <w:color w:val="000000"/>
        </w:rPr>
        <w:t>f REA o</w:t>
      </w:r>
      <w:r w:rsidR="00123FD9">
        <w:rPr>
          <w:rStyle w:val="contentpasted0"/>
          <w:color w:val="000000"/>
        </w:rPr>
        <w:t xml:space="preserve">n UI duration </w:t>
      </w:r>
      <w:r w:rsidR="00CE01C0">
        <w:rPr>
          <w:rStyle w:val="contentpasted0"/>
          <w:color w:val="000000"/>
        </w:rPr>
        <w:t xml:space="preserve">and UI benefits received </w:t>
      </w:r>
      <w:r w:rsidR="00123FD9">
        <w:rPr>
          <w:rStyle w:val="contentpasted0"/>
          <w:color w:val="000000"/>
        </w:rPr>
        <w:t xml:space="preserve">may also </w:t>
      </w:r>
      <w:r>
        <w:rPr>
          <w:rStyle w:val="contentpasted0"/>
          <w:color w:val="000000"/>
        </w:rPr>
        <w:t>result from</w:t>
      </w:r>
      <w:r w:rsidR="00123FD9">
        <w:rPr>
          <w:rStyle w:val="contentpasted0"/>
          <w:color w:val="000000"/>
        </w:rPr>
        <w:t xml:space="preserve"> the timing of </w:t>
      </w:r>
      <w:r>
        <w:rPr>
          <w:rStyle w:val="contentpasted0"/>
          <w:color w:val="000000"/>
        </w:rPr>
        <w:t>selection into the program</w:t>
      </w:r>
      <w:r w:rsidR="00123FD9">
        <w:rPr>
          <w:rStyle w:val="contentpasted0"/>
          <w:color w:val="000000"/>
        </w:rPr>
        <w:t xml:space="preserve">. </w:t>
      </w:r>
      <w:r w:rsidR="00123FD9">
        <w:rPr>
          <w:rStyle w:val="contentpasted0"/>
          <w:color w:val="000000"/>
          <w:shd w:val="clear" w:color="auto" w:fill="FFFFFF"/>
        </w:rPr>
        <w:t xml:space="preserve">In the </w:t>
      </w:r>
      <w:r w:rsidR="00002606">
        <w:rPr>
          <w:rStyle w:val="contentpasted0"/>
          <w:color w:val="000000"/>
          <w:shd w:val="clear" w:color="auto" w:fill="FFFFFF"/>
        </w:rPr>
        <w:t>multi-state</w:t>
      </w:r>
      <w:r w:rsidR="00123FD9">
        <w:rPr>
          <w:rStyle w:val="contentpasted0"/>
          <w:color w:val="000000"/>
          <w:shd w:val="clear" w:color="auto" w:fill="FFFFFF"/>
        </w:rPr>
        <w:t xml:space="preserve"> evaluation, states</w:t>
      </w:r>
      <w:r>
        <w:rPr>
          <w:rStyle w:val="contentpasted0"/>
          <w:color w:val="000000"/>
          <w:shd w:val="clear" w:color="auto" w:fill="FFFFFF"/>
        </w:rPr>
        <w:t xml:space="preserve"> had different </w:t>
      </w:r>
      <w:r w:rsidR="00CE01C0">
        <w:rPr>
          <w:rStyle w:val="contentpasted0"/>
          <w:color w:val="000000"/>
          <w:shd w:val="clear" w:color="auto" w:fill="FFFFFF"/>
        </w:rPr>
        <w:t>timelines for implementing</w:t>
      </w:r>
      <w:r>
        <w:rPr>
          <w:rStyle w:val="contentpasted0"/>
          <w:color w:val="000000"/>
          <w:shd w:val="clear" w:color="auto" w:fill="FFFFFF"/>
        </w:rPr>
        <w:t xml:space="preserve"> randomization relative to </w:t>
      </w:r>
      <w:r w:rsidR="00002606">
        <w:rPr>
          <w:rStyle w:val="contentpasted0"/>
          <w:color w:val="000000"/>
          <w:shd w:val="clear" w:color="auto" w:fill="FFFFFF"/>
        </w:rPr>
        <w:t xml:space="preserve">when </w:t>
      </w:r>
      <w:r>
        <w:rPr>
          <w:rStyle w:val="contentpasted0"/>
          <w:color w:val="000000"/>
          <w:shd w:val="clear" w:color="auto" w:fill="FFFFFF"/>
        </w:rPr>
        <w:t>a UI</w:t>
      </w:r>
      <w:r w:rsidR="00123FD9">
        <w:rPr>
          <w:rStyle w:val="contentpasted0"/>
          <w:color w:val="000000"/>
          <w:shd w:val="clear" w:color="auto" w:fill="FFFFFF"/>
        </w:rPr>
        <w:t xml:space="preserve"> </w:t>
      </w:r>
      <w:r w:rsidR="00ED5DCA">
        <w:rPr>
          <w:rStyle w:val="contentpasted0"/>
          <w:color w:val="000000"/>
          <w:shd w:val="clear" w:color="auto" w:fill="FFFFFF"/>
        </w:rPr>
        <w:t>benefit year began (i.e., the first payment received)</w:t>
      </w:r>
      <w:r w:rsidR="00CE01C0" w:rsidDel="00D8564D">
        <w:rPr>
          <w:rStyle w:val="contentpasted0"/>
          <w:color w:val="000000"/>
          <w:shd w:val="clear" w:color="auto" w:fill="FFFFFF"/>
        </w:rPr>
        <w:t>,</w:t>
      </w:r>
      <w:r w:rsidR="00CE01C0">
        <w:rPr>
          <w:rStyle w:val="contentpasted0"/>
          <w:color w:val="000000"/>
          <w:shd w:val="clear" w:color="auto" w:fill="FFFFFF"/>
        </w:rPr>
        <w:t xml:space="preserve"> </w:t>
      </w:r>
      <w:r w:rsidR="00ED5DCA" w:rsidRPr="3141F127">
        <w:rPr>
          <w:rStyle w:val="contentpasted0"/>
          <w:color w:val="000000"/>
          <w:shd w:val="clear" w:color="auto" w:fill="FFFFFF"/>
        </w:rPr>
        <w:t>with</w:t>
      </w:r>
      <w:r w:rsidR="00CE01C0" w:rsidRPr="3141F127">
        <w:rPr>
          <w:rStyle w:val="contentpasted0"/>
          <w:color w:val="000000"/>
          <w:shd w:val="clear" w:color="auto" w:fill="FFFFFF"/>
        </w:rPr>
        <w:t xml:space="preserve"> t</w:t>
      </w:r>
      <w:r w:rsidR="00123FD9" w:rsidRPr="3141F127">
        <w:rPr>
          <w:rStyle w:val="contentpasted0"/>
          <w:color w:val="000000"/>
          <w:shd w:val="clear" w:color="auto" w:fill="FFFFFF"/>
        </w:rPr>
        <w:t xml:space="preserve">he median number of weeks to randomization </w:t>
      </w:r>
      <w:r w:rsidR="00ED5DCA" w:rsidRPr="3141F127">
        <w:rPr>
          <w:rStyle w:val="contentpasted0"/>
          <w:color w:val="000000"/>
          <w:shd w:val="clear" w:color="auto" w:fill="FFFFFF"/>
        </w:rPr>
        <w:t>being</w:t>
      </w:r>
      <w:r w:rsidR="00123FD9" w:rsidRPr="3141F127">
        <w:rPr>
          <w:rStyle w:val="contentpasted0"/>
          <w:color w:val="000000"/>
          <w:shd w:val="clear" w:color="auto" w:fill="FFFFFF"/>
        </w:rPr>
        <w:t xml:space="preserve"> two weeks in Washington, three weeks in Wisconsin and New York, and five weeks in Indiana (</w:t>
      </w:r>
      <w:proofErr w:type="spellStart"/>
      <w:r w:rsidR="00123FD9" w:rsidRPr="3141F127">
        <w:rPr>
          <w:rStyle w:val="contentpasted0"/>
          <w:color w:val="000000"/>
          <w:shd w:val="clear" w:color="auto" w:fill="FFFFFF"/>
        </w:rPr>
        <w:t>Klerman</w:t>
      </w:r>
      <w:proofErr w:type="spellEnd"/>
      <w:r w:rsidR="00123FD9" w:rsidRPr="3141F127">
        <w:rPr>
          <w:rStyle w:val="contentpasted0"/>
          <w:color w:val="000000"/>
          <w:shd w:val="clear" w:color="auto" w:fill="FFFFFF"/>
        </w:rPr>
        <w:t xml:space="preserve"> et al., 2019).</w:t>
      </w:r>
      <w:r w:rsidR="00123FD9">
        <w:rPr>
          <w:rStyle w:val="contentpasted0"/>
          <w:color w:val="000000"/>
          <w:shd w:val="clear" w:color="auto" w:fill="FFFFFF"/>
        </w:rPr>
        <w:t xml:space="preserve"> </w:t>
      </w:r>
      <w:r w:rsidR="00123FD9" w:rsidDel="00D8564D">
        <w:rPr>
          <w:rStyle w:val="contentpasted0"/>
          <w:color w:val="000000"/>
          <w:shd w:val="clear" w:color="auto" w:fill="FFFFFF"/>
        </w:rPr>
        <w:t xml:space="preserve">Earlier selection into REA </w:t>
      </w:r>
      <w:r w:rsidR="00ED5DCA" w:rsidDel="00D8564D">
        <w:rPr>
          <w:rStyle w:val="contentpasted0"/>
          <w:color w:val="000000"/>
          <w:shd w:val="clear" w:color="auto" w:fill="FFFFFF"/>
        </w:rPr>
        <w:t>is likely</w:t>
      </w:r>
      <w:r w:rsidR="00123FD9" w:rsidDel="00D8564D">
        <w:rPr>
          <w:rStyle w:val="contentpasted0"/>
          <w:color w:val="000000"/>
          <w:shd w:val="clear" w:color="auto" w:fill="FFFFFF"/>
        </w:rPr>
        <w:t xml:space="preserve"> lead to a larger </w:t>
      </w:r>
      <w:r w:rsidR="00CE01C0" w:rsidDel="00D8564D">
        <w:rPr>
          <w:rStyle w:val="contentpasted0"/>
          <w:color w:val="000000"/>
          <w:shd w:val="clear" w:color="auto" w:fill="FFFFFF"/>
        </w:rPr>
        <w:t xml:space="preserve">decrease in UI duration and benefits primarily </w:t>
      </w:r>
      <w:r w:rsidR="00ED5DCA" w:rsidDel="00D8564D">
        <w:rPr>
          <w:rStyle w:val="xcontentpasted0"/>
          <w:rFonts w:eastAsia="Times New Roman"/>
          <w:color w:val="000000"/>
          <w:shd w:val="clear" w:color="auto" w:fill="FFFFFF"/>
        </w:rPr>
        <w:t xml:space="preserve">through earlier </w:t>
      </w:r>
      <w:r w:rsidR="00CE01C0" w:rsidDel="00D8564D">
        <w:rPr>
          <w:rStyle w:val="xcontentpasted0"/>
          <w:rFonts w:eastAsia="Times New Roman"/>
          <w:color w:val="000000"/>
          <w:shd w:val="clear" w:color="auto" w:fill="FFFFFF"/>
        </w:rPr>
        <w:t xml:space="preserve">enforcement of REA and UI program requirements in the UI </w:t>
      </w:r>
      <w:r w:rsidR="00ED5DCA" w:rsidDel="00D8564D">
        <w:rPr>
          <w:rStyle w:val="xcontentpasted0"/>
          <w:rFonts w:eastAsia="Times New Roman"/>
          <w:color w:val="000000"/>
          <w:shd w:val="clear" w:color="auto" w:fill="FFFFFF"/>
        </w:rPr>
        <w:t>benefit year</w:t>
      </w:r>
      <w:r w:rsidR="00CE01C0" w:rsidDel="00D8564D">
        <w:rPr>
          <w:rStyle w:val="xcontentpasted0"/>
          <w:rFonts w:eastAsia="Times New Roman"/>
          <w:color w:val="000000"/>
          <w:shd w:val="clear" w:color="auto" w:fill="FFFFFF"/>
        </w:rPr>
        <w:t xml:space="preserve">, such that </w:t>
      </w:r>
      <w:r w:rsidR="00881F70">
        <w:rPr>
          <w:rStyle w:val="xcontentpasted0"/>
          <w:rFonts w:eastAsia="Times New Roman"/>
          <w:color w:val="000000"/>
          <w:shd w:val="clear" w:color="auto" w:fill="FFFFFF"/>
        </w:rPr>
        <w:t>denial of benefits</w:t>
      </w:r>
      <w:r w:rsidR="00ED5DCA" w:rsidDel="00D8564D">
        <w:rPr>
          <w:rStyle w:val="xcontentpasted0"/>
          <w:rFonts w:eastAsia="Times New Roman"/>
          <w:color w:val="000000"/>
          <w:shd w:val="clear" w:color="auto" w:fill="FFFFFF"/>
        </w:rPr>
        <w:t xml:space="preserve"> from </w:t>
      </w:r>
      <w:r w:rsidR="00CE01C0" w:rsidDel="00D8564D">
        <w:rPr>
          <w:rStyle w:val="xcontentpasted0"/>
          <w:rFonts w:eastAsia="Times New Roman"/>
          <w:color w:val="000000"/>
          <w:shd w:val="clear" w:color="auto" w:fill="FFFFFF"/>
        </w:rPr>
        <w:t xml:space="preserve">non-participation </w:t>
      </w:r>
      <w:r w:rsidR="00CE01C0" w:rsidDel="00D8564D">
        <w:rPr>
          <w:rStyle w:val="xcontentpasted0"/>
          <w:rFonts w:eastAsia="Times New Roman"/>
          <w:color w:val="000000"/>
          <w:shd w:val="clear" w:color="auto" w:fill="FFFFFF"/>
        </w:rPr>
        <w:lastRenderedPageBreak/>
        <w:t xml:space="preserve">would result in </w:t>
      </w:r>
      <w:r w:rsidR="00ED5DCA" w:rsidDel="00D8564D">
        <w:rPr>
          <w:rStyle w:val="xcontentpasted0"/>
          <w:rFonts w:eastAsia="Times New Roman"/>
          <w:color w:val="000000"/>
          <w:shd w:val="clear" w:color="auto" w:fill="FFFFFF"/>
        </w:rPr>
        <w:t>a greater number of weeks lost than if claimants were assigned to REA in a later week and thus would have received additional UI payments in the interim.</w:t>
      </w:r>
      <w:r w:rsidR="00123FD9" w:rsidDel="00D8564D">
        <w:rPr>
          <w:rStyle w:val="contentpasted0"/>
          <w:color w:val="000000"/>
          <w:shd w:val="clear" w:color="auto" w:fill="FFFFFF"/>
        </w:rPr>
        <w:t> </w:t>
      </w:r>
    </w:p>
    <w:p w14:paraId="324BC408" w14:textId="54ABF6A9" w:rsidR="24F28C0C" w:rsidRDefault="00EE702D" w:rsidP="24F28C0C">
      <w:pPr>
        <w:spacing w:after="0" w:line="240" w:lineRule="auto"/>
        <w:rPr>
          <w:rFonts w:ascii="Calibri" w:eastAsia="Calibri" w:hAnsi="Calibri" w:cs="Calibri"/>
          <w:color w:val="000000" w:themeColor="text1"/>
        </w:rPr>
      </w:pPr>
      <w:r>
        <w:rPr>
          <w:rFonts w:ascii="Calibri" w:eastAsia="Calibri" w:hAnsi="Calibri" w:cs="Calibri"/>
          <w:color w:val="000000" w:themeColor="text1"/>
        </w:rPr>
        <w:t>Estimates indicate that r</w:t>
      </w:r>
      <w:r w:rsidR="11145AA9" w:rsidRPr="11145AA9">
        <w:rPr>
          <w:rFonts w:ascii="Calibri" w:eastAsia="Calibri" w:hAnsi="Calibri" w:cs="Calibri"/>
          <w:color w:val="000000" w:themeColor="text1"/>
        </w:rPr>
        <w:t>eemployment assistance decreased UI duration by about one-quarter of a week and increased employment likelihood and job tenure (</w:t>
      </w:r>
      <w:proofErr w:type="spellStart"/>
      <w:r w:rsidR="11145AA9" w:rsidRPr="11145AA9">
        <w:rPr>
          <w:rFonts w:ascii="Calibri" w:eastAsia="Calibri" w:hAnsi="Calibri" w:cs="Calibri"/>
          <w:color w:val="000000" w:themeColor="text1"/>
        </w:rPr>
        <w:t>Klerman</w:t>
      </w:r>
      <w:proofErr w:type="spellEnd"/>
      <w:r w:rsidR="11145AA9" w:rsidRPr="11145AA9">
        <w:rPr>
          <w:rFonts w:ascii="Calibri" w:eastAsia="Calibri" w:hAnsi="Calibri" w:cs="Calibri"/>
          <w:color w:val="000000" w:themeColor="text1"/>
        </w:rPr>
        <w:t xml:space="preserve"> et al., 2019). States varied in the duration and content of the required REA meeting, which may account for between</w:t>
      </w:r>
      <w:r w:rsidR="00990733">
        <w:rPr>
          <w:rFonts w:ascii="Calibri" w:eastAsia="Calibri" w:hAnsi="Calibri" w:cs="Calibri"/>
          <w:color w:val="000000" w:themeColor="text1"/>
        </w:rPr>
        <w:t>-</w:t>
      </w:r>
      <w:r w:rsidR="11145AA9" w:rsidRPr="11145AA9">
        <w:rPr>
          <w:rFonts w:ascii="Calibri" w:eastAsia="Calibri" w:hAnsi="Calibri" w:cs="Calibri"/>
          <w:color w:val="000000" w:themeColor="text1"/>
        </w:rPr>
        <w:t>state differences in the impact of REA on employment and wages. Table 4 compares state assistance strategies for the mandatory REA meeting (</w:t>
      </w:r>
      <w:proofErr w:type="spellStart"/>
      <w:r w:rsidR="11145AA9" w:rsidRPr="11145AA9">
        <w:rPr>
          <w:rFonts w:ascii="Calibri" w:eastAsia="Calibri" w:hAnsi="Calibri" w:cs="Calibri"/>
          <w:color w:val="000000" w:themeColor="text1"/>
        </w:rPr>
        <w:t>Minzner</w:t>
      </w:r>
      <w:proofErr w:type="spellEnd"/>
      <w:r w:rsidR="11145AA9" w:rsidRPr="11145AA9">
        <w:rPr>
          <w:rFonts w:ascii="Calibri" w:eastAsia="Calibri" w:hAnsi="Calibri" w:cs="Calibri"/>
          <w:color w:val="000000" w:themeColor="text1"/>
        </w:rPr>
        <w:t xml:space="preserve"> et al., 2017) to Utah’s RESEA program. Utah’s RESEA meeting duration and contents are most similar to New York’s REA program</w:t>
      </w:r>
      <w:r w:rsidR="00881F70">
        <w:rPr>
          <w:rFonts w:ascii="Calibri" w:eastAsia="Calibri" w:hAnsi="Calibri" w:cs="Calibri"/>
          <w:color w:val="000000" w:themeColor="text1"/>
        </w:rPr>
        <w:t xml:space="preserve">, </w:t>
      </w:r>
      <w:r w:rsidR="11145AA9" w:rsidRPr="11145AA9">
        <w:rPr>
          <w:rFonts w:ascii="Calibri" w:eastAsia="Calibri" w:hAnsi="Calibri" w:cs="Calibri"/>
          <w:color w:val="000000" w:themeColor="text1"/>
        </w:rPr>
        <w:t>allowing for more tailored and in-depth assistance to claimants</w:t>
      </w:r>
      <w:r w:rsidR="00881F70">
        <w:rPr>
          <w:rFonts w:ascii="Calibri" w:eastAsia="Calibri" w:hAnsi="Calibri" w:cs="Calibri"/>
          <w:color w:val="000000" w:themeColor="text1"/>
        </w:rPr>
        <w:t>. However,</w:t>
      </w:r>
      <w:r w:rsidR="00881F70" w:rsidRPr="11145AA9">
        <w:rPr>
          <w:rFonts w:ascii="Calibri" w:eastAsia="Calibri" w:hAnsi="Calibri" w:cs="Calibri"/>
          <w:color w:val="000000" w:themeColor="text1"/>
        </w:rPr>
        <w:t xml:space="preserve"> other states where evaluations have been conducted had similar meeting duration (i.e., FL: 45, ID: 40, IL: 40, NV: 50)</w:t>
      </w:r>
      <w:r w:rsidR="11145AA9" w:rsidRPr="11145AA9">
        <w:rPr>
          <w:rFonts w:ascii="Calibri" w:eastAsia="Calibri" w:hAnsi="Calibri" w:cs="Calibri"/>
          <w:color w:val="000000" w:themeColor="text1"/>
        </w:rPr>
        <w:t xml:space="preserve"> (Poe-Yamagata et al., 2011). </w:t>
      </w:r>
    </w:p>
    <w:p w14:paraId="22D0B209" w14:textId="77777777" w:rsidR="00947E6C" w:rsidRDefault="00947E6C" w:rsidP="24F28C0C">
      <w:pPr>
        <w:spacing w:after="0" w:line="240" w:lineRule="auto"/>
        <w:rPr>
          <w:rFonts w:ascii="Calibri" w:eastAsia="Calibri" w:hAnsi="Calibri" w:cs="Calibri"/>
          <w:color w:val="000000" w:themeColor="text1"/>
          <w:highlight w:val="yellow"/>
        </w:rPr>
      </w:pPr>
    </w:p>
    <w:p w14:paraId="1463F46B" w14:textId="4A0E7BA5" w:rsidR="625FE0BC" w:rsidRDefault="526C5137" w:rsidP="00947E6C">
      <w:pPr>
        <w:spacing w:after="120" w:line="240" w:lineRule="auto"/>
        <w:rPr>
          <w:rFonts w:ascii="Calibri" w:eastAsia="Calibri" w:hAnsi="Calibri" w:cs="Calibri"/>
          <w:color w:val="000000" w:themeColor="text1"/>
        </w:rPr>
      </w:pPr>
      <w:r w:rsidRPr="002B2AC8">
        <w:rPr>
          <w:rFonts w:ascii="Calibri" w:eastAsia="Calibri" w:hAnsi="Calibri" w:cs="Calibri"/>
          <w:b/>
          <w:bCs/>
          <w:color w:val="000000" w:themeColor="text1"/>
        </w:rPr>
        <w:t xml:space="preserve">Table 4. </w:t>
      </w:r>
      <w:r w:rsidRPr="526C5137">
        <w:rPr>
          <w:rFonts w:ascii="Calibri" w:eastAsia="Calibri" w:hAnsi="Calibri" w:cs="Calibri"/>
          <w:b/>
          <w:bCs/>
          <w:color w:val="000000" w:themeColor="text1"/>
        </w:rPr>
        <w:t xml:space="preserve">Comparison between required REA </w:t>
      </w:r>
      <w:r w:rsidR="00D81801">
        <w:rPr>
          <w:rFonts w:ascii="Calibri" w:eastAsia="Calibri" w:hAnsi="Calibri" w:cs="Calibri"/>
          <w:b/>
          <w:bCs/>
          <w:color w:val="000000" w:themeColor="text1"/>
        </w:rPr>
        <w:t xml:space="preserve">duration and </w:t>
      </w:r>
      <w:r w:rsidRPr="526C5137">
        <w:rPr>
          <w:rFonts w:ascii="Calibri" w:eastAsia="Calibri" w:hAnsi="Calibri" w:cs="Calibri"/>
          <w:b/>
          <w:bCs/>
          <w:color w:val="000000" w:themeColor="text1"/>
        </w:rPr>
        <w:t>meeting content with Utah</w:t>
      </w:r>
      <w:r w:rsidR="0043633B">
        <w:rPr>
          <w:rFonts w:ascii="Calibri" w:eastAsia="Calibri" w:hAnsi="Calibri" w:cs="Calibri"/>
          <w:b/>
          <w:bCs/>
          <w:color w:val="000000" w:themeColor="text1"/>
        </w:rPr>
        <w:t>’s</w:t>
      </w:r>
      <w:r w:rsidRPr="526C5137">
        <w:rPr>
          <w:rFonts w:ascii="Calibri" w:eastAsia="Calibri" w:hAnsi="Calibri" w:cs="Calibri"/>
          <w:b/>
          <w:bCs/>
          <w:color w:val="000000" w:themeColor="text1"/>
        </w:rPr>
        <w:t xml:space="preserve"> RESEA</w:t>
      </w:r>
      <w:r w:rsidRPr="526C5137">
        <w:rPr>
          <w:rFonts w:ascii="Calibri" w:eastAsia="Calibri" w:hAnsi="Calibri" w:cs="Calibri"/>
          <w:color w:val="000000" w:themeColor="text1"/>
        </w:rPr>
        <w:t xml:space="preserve"> </w:t>
      </w:r>
      <w:r w:rsidRPr="526C5137">
        <w:rPr>
          <w:rFonts w:ascii="Calibri" w:eastAsia="Calibri" w:hAnsi="Calibri" w:cs="Calibri"/>
          <w:b/>
          <w:bCs/>
          <w:color w:val="000000" w:themeColor="text1"/>
        </w:rPr>
        <w:t>program.</w:t>
      </w:r>
    </w:p>
    <w:tbl>
      <w:tblPr>
        <w:tblW w:w="9360" w:type="dxa"/>
        <w:tblLayout w:type="fixed"/>
        <w:tblLook w:val="04A0" w:firstRow="1" w:lastRow="0" w:firstColumn="1" w:lastColumn="0" w:noHBand="0" w:noVBand="1"/>
      </w:tblPr>
      <w:tblGrid>
        <w:gridCol w:w="1350"/>
        <w:gridCol w:w="1350"/>
        <w:gridCol w:w="1687"/>
        <w:gridCol w:w="1643"/>
        <w:gridCol w:w="1530"/>
        <w:gridCol w:w="1800"/>
      </w:tblGrid>
      <w:tr w:rsidR="1FDBE804" w14:paraId="0CA0CAEB" w14:textId="77777777" w:rsidTr="00317DDE">
        <w:trPr>
          <w:trHeight w:val="300"/>
        </w:trPr>
        <w:tc>
          <w:tcPr>
            <w:tcW w:w="1350" w:type="dxa"/>
            <w:tcBorders>
              <w:top w:val="single" w:sz="2" w:space="0" w:color="auto"/>
              <w:left w:val="nil"/>
              <w:bottom w:val="single" w:sz="8" w:space="0" w:color="auto"/>
              <w:right w:val="nil"/>
            </w:tcBorders>
          </w:tcPr>
          <w:p w14:paraId="652E057B" w14:textId="79FF3F0B" w:rsidR="1FDBE804" w:rsidRDefault="1FDBE804" w:rsidP="00947E6C">
            <w:pPr>
              <w:spacing w:after="0"/>
              <w:jc w:val="center"/>
            </w:pPr>
            <w:r w:rsidRPr="1FDBE804">
              <w:rPr>
                <w:rFonts w:ascii="Calibri" w:eastAsia="Calibri" w:hAnsi="Calibri" w:cs="Calibri"/>
                <w:b/>
                <w:bCs/>
              </w:rPr>
              <w:t>STRATEGY</w:t>
            </w:r>
          </w:p>
        </w:tc>
        <w:tc>
          <w:tcPr>
            <w:tcW w:w="1350" w:type="dxa"/>
            <w:tcBorders>
              <w:top w:val="single" w:sz="2" w:space="0" w:color="auto"/>
              <w:left w:val="nil"/>
              <w:bottom w:val="single" w:sz="8" w:space="0" w:color="auto"/>
              <w:right w:val="nil"/>
            </w:tcBorders>
          </w:tcPr>
          <w:p w14:paraId="6A06A9C3" w14:textId="6B6AEC3C" w:rsidR="1FDBE804" w:rsidRDefault="1FDBE804" w:rsidP="00947E6C">
            <w:pPr>
              <w:spacing w:after="0"/>
              <w:jc w:val="center"/>
            </w:pPr>
            <w:r w:rsidRPr="1FDBE804">
              <w:rPr>
                <w:rFonts w:ascii="Calibri" w:eastAsia="Calibri" w:hAnsi="Calibri" w:cs="Calibri"/>
                <w:b/>
                <w:bCs/>
              </w:rPr>
              <w:t>IN</w:t>
            </w:r>
          </w:p>
        </w:tc>
        <w:tc>
          <w:tcPr>
            <w:tcW w:w="1687" w:type="dxa"/>
            <w:tcBorders>
              <w:top w:val="single" w:sz="2" w:space="0" w:color="auto"/>
              <w:left w:val="nil"/>
              <w:bottom w:val="single" w:sz="8" w:space="0" w:color="auto"/>
              <w:right w:val="nil"/>
            </w:tcBorders>
          </w:tcPr>
          <w:p w14:paraId="6AFC7CFC" w14:textId="482B51F9" w:rsidR="1FDBE804" w:rsidRDefault="1FDBE804" w:rsidP="00947E6C">
            <w:pPr>
              <w:spacing w:after="0"/>
              <w:jc w:val="center"/>
            </w:pPr>
            <w:r w:rsidRPr="1FDBE804">
              <w:rPr>
                <w:rFonts w:ascii="Calibri" w:eastAsia="Calibri" w:hAnsi="Calibri" w:cs="Calibri"/>
                <w:b/>
                <w:bCs/>
              </w:rPr>
              <w:t>NY</w:t>
            </w:r>
          </w:p>
        </w:tc>
        <w:tc>
          <w:tcPr>
            <w:tcW w:w="1643" w:type="dxa"/>
            <w:tcBorders>
              <w:top w:val="single" w:sz="2" w:space="0" w:color="auto"/>
              <w:left w:val="nil"/>
              <w:bottom w:val="single" w:sz="8" w:space="0" w:color="auto"/>
              <w:right w:val="nil"/>
            </w:tcBorders>
          </w:tcPr>
          <w:p w14:paraId="6BB3E237" w14:textId="689D980F" w:rsidR="1FDBE804" w:rsidRDefault="1FDBE804" w:rsidP="00947E6C">
            <w:pPr>
              <w:spacing w:after="0"/>
              <w:jc w:val="center"/>
            </w:pPr>
            <w:r w:rsidRPr="1FDBE804">
              <w:rPr>
                <w:rFonts w:ascii="Calibri" w:eastAsia="Calibri" w:hAnsi="Calibri" w:cs="Calibri"/>
                <w:b/>
                <w:bCs/>
              </w:rPr>
              <w:t>WA</w:t>
            </w:r>
          </w:p>
        </w:tc>
        <w:tc>
          <w:tcPr>
            <w:tcW w:w="1530" w:type="dxa"/>
            <w:tcBorders>
              <w:top w:val="single" w:sz="2" w:space="0" w:color="auto"/>
              <w:left w:val="nil"/>
              <w:bottom w:val="single" w:sz="8" w:space="0" w:color="auto"/>
              <w:right w:val="nil"/>
            </w:tcBorders>
          </w:tcPr>
          <w:p w14:paraId="009AB2E8" w14:textId="5409066A" w:rsidR="1FDBE804" w:rsidRDefault="1FDBE804" w:rsidP="00947E6C">
            <w:pPr>
              <w:spacing w:after="0"/>
              <w:jc w:val="center"/>
            </w:pPr>
            <w:r w:rsidRPr="1FDBE804">
              <w:rPr>
                <w:rFonts w:ascii="Calibri" w:eastAsia="Calibri" w:hAnsi="Calibri" w:cs="Calibri"/>
                <w:b/>
                <w:bCs/>
              </w:rPr>
              <w:t>WI</w:t>
            </w:r>
          </w:p>
        </w:tc>
        <w:tc>
          <w:tcPr>
            <w:tcW w:w="1800" w:type="dxa"/>
            <w:tcBorders>
              <w:top w:val="single" w:sz="2" w:space="0" w:color="auto"/>
              <w:left w:val="nil"/>
              <w:bottom w:val="single" w:sz="8" w:space="0" w:color="auto"/>
              <w:right w:val="nil"/>
            </w:tcBorders>
          </w:tcPr>
          <w:p w14:paraId="3B0E3AC8" w14:textId="6FAB643B" w:rsidR="1FDBE804" w:rsidRDefault="1FDBE804" w:rsidP="00947E6C">
            <w:pPr>
              <w:spacing w:after="0"/>
              <w:jc w:val="center"/>
            </w:pPr>
            <w:r w:rsidRPr="1FDBE804">
              <w:rPr>
                <w:rFonts w:ascii="Calibri" w:eastAsia="Calibri" w:hAnsi="Calibri" w:cs="Calibri"/>
                <w:b/>
                <w:bCs/>
              </w:rPr>
              <w:t>UT</w:t>
            </w:r>
          </w:p>
        </w:tc>
      </w:tr>
      <w:tr w:rsidR="1FDBE804" w14:paraId="362089E1" w14:textId="77777777" w:rsidTr="00317DDE">
        <w:trPr>
          <w:trHeight w:val="300"/>
        </w:trPr>
        <w:tc>
          <w:tcPr>
            <w:tcW w:w="1350" w:type="dxa"/>
            <w:tcBorders>
              <w:top w:val="single" w:sz="8" w:space="0" w:color="auto"/>
              <w:left w:val="nil"/>
              <w:bottom w:val="nil"/>
              <w:right w:val="single" w:sz="8" w:space="0" w:color="auto"/>
            </w:tcBorders>
            <w:shd w:val="clear" w:color="auto" w:fill="F2F2F2" w:themeFill="background1" w:themeFillShade="F2"/>
          </w:tcPr>
          <w:p w14:paraId="16E0E01B" w14:textId="52FC766E" w:rsidR="1FDBE804" w:rsidRDefault="002B2AC8" w:rsidP="00947E6C">
            <w:pPr>
              <w:spacing w:after="120"/>
              <w:jc w:val="center"/>
            </w:pPr>
            <w:r>
              <w:rPr>
                <w:rFonts w:ascii="Calibri" w:eastAsia="Calibri" w:hAnsi="Calibri" w:cs="Calibri"/>
                <w:b/>
                <w:bCs/>
                <w:color w:val="000000" w:themeColor="text1"/>
              </w:rPr>
              <w:t>M</w:t>
            </w:r>
            <w:r w:rsidR="00205E1C">
              <w:rPr>
                <w:rFonts w:ascii="Calibri" w:eastAsia="Calibri" w:hAnsi="Calibri" w:cs="Calibri"/>
                <w:b/>
                <w:bCs/>
                <w:color w:val="000000" w:themeColor="text1"/>
              </w:rPr>
              <w:t>eeting</w:t>
            </w:r>
            <w:r>
              <w:rPr>
                <w:rFonts w:ascii="Calibri" w:eastAsia="Calibri" w:hAnsi="Calibri" w:cs="Calibri"/>
                <w:b/>
                <w:bCs/>
                <w:color w:val="000000" w:themeColor="text1"/>
              </w:rPr>
              <w:t xml:space="preserve"> </w:t>
            </w:r>
            <w:r w:rsidR="1FDBE804" w:rsidRPr="1FDBE804">
              <w:rPr>
                <w:rFonts w:ascii="Calibri" w:eastAsia="Calibri" w:hAnsi="Calibri" w:cs="Calibri"/>
                <w:b/>
                <w:bCs/>
                <w:color w:val="000000" w:themeColor="text1"/>
              </w:rPr>
              <w:t>length (min)</w:t>
            </w:r>
          </w:p>
        </w:tc>
        <w:tc>
          <w:tcPr>
            <w:tcW w:w="1350" w:type="dxa"/>
            <w:tcBorders>
              <w:top w:val="single" w:sz="8" w:space="0" w:color="auto"/>
              <w:left w:val="single" w:sz="8" w:space="0" w:color="auto"/>
              <w:bottom w:val="nil"/>
              <w:right w:val="nil"/>
            </w:tcBorders>
            <w:shd w:val="clear" w:color="auto" w:fill="F2F2F2" w:themeFill="background1" w:themeFillShade="F2"/>
          </w:tcPr>
          <w:p w14:paraId="7B441843" w14:textId="58E6E212" w:rsidR="1FDBE804" w:rsidRDefault="1FDBE804" w:rsidP="00947E6C">
            <w:pPr>
              <w:spacing w:after="120"/>
              <w:jc w:val="center"/>
            </w:pPr>
            <w:r w:rsidRPr="1FDBE804">
              <w:rPr>
                <w:rFonts w:ascii="Calibri" w:eastAsia="Calibri" w:hAnsi="Calibri" w:cs="Calibri"/>
                <w:color w:val="000000" w:themeColor="text1"/>
              </w:rPr>
              <w:t>5-10</w:t>
            </w:r>
          </w:p>
        </w:tc>
        <w:tc>
          <w:tcPr>
            <w:tcW w:w="1687" w:type="dxa"/>
            <w:tcBorders>
              <w:top w:val="single" w:sz="8" w:space="0" w:color="auto"/>
              <w:left w:val="nil"/>
              <w:bottom w:val="nil"/>
              <w:right w:val="nil"/>
            </w:tcBorders>
            <w:shd w:val="clear" w:color="auto" w:fill="F2F2F2" w:themeFill="background1" w:themeFillShade="F2"/>
          </w:tcPr>
          <w:p w14:paraId="74249F91" w14:textId="10CE4578" w:rsidR="1FDBE804" w:rsidRDefault="1FDBE804" w:rsidP="00947E6C">
            <w:pPr>
              <w:spacing w:after="120"/>
              <w:jc w:val="center"/>
            </w:pPr>
            <w:r w:rsidRPr="1FDBE804">
              <w:rPr>
                <w:rFonts w:ascii="Calibri" w:eastAsia="Calibri" w:hAnsi="Calibri" w:cs="Calibri"/>
                <w:color w:val="000000" w:themeColor="text1"/>
              </w:rPr>
              <w:t>40-50</w:t>
            </w:r>
          </w:p>
        </w:tc>
        <w:tc>
          <w:tcPr>
            <w:tcW w:w="1643" w:type="dxa"/>
            <w:tcBorders>
              <w:top w:val="single" w:sz="8" w:space="0" w:color="auto"/>
              <w:left w:val="nil"/>
              <w:bottom w:val="nil"/>
              <w:right w:val="nil"/>
            </w:tcBorders>
            <w:shd w:val="clear" w:color="auto" w:fill="F2F2F2" w:themeFill="background1" w:themeFillShade="F2"/>
          </w:tcPr>
          <w:p w14:paraId="5F18C6AF" w14:textId="74F8578C" w:rsidR="1FDBE804" w:rsidRDefault="1FDBE804" w:rsidP="00947E6C">
            <w:pPr>
              <w:spacing w:after="120"/>
              <w:jc w:val="center"/>
            </w:pPr>
            <w:r w:rsidRPr="1FDBE804">
              <w:rPr>
                <w:rFonts w:ascii="Calibri" w:eastAsia="Calibri" w:hAnsi="Calibri" w:cs="Calibri"/>
                <w:color w:val="000000" w:themeColor="text1"/>
              </w:rPr>
              <w:t>5-15</w:t>
            </w:r>
          </w:p>
        </w:tc>
        <w:tc>
          <w:tcPr>
            <w:tcW w:w="1530" w:type="dxa"/>
            <w:tcBorders>
              <w:top w:val="single" w:sz="8" w:space="0" w:color="auto"/>
              <w:left w:val="nil"/>
              <w:bottom w:val="nil"/>
              <w:right w:val="nil"/>
            </w:tcBorders>
            <w:shd w:val="clear" w:color="auto" w:fill="F2F2F2" w:themeFill="background1" w:themeFillShade="F2"/>
          </w:tcPr>
          <w:p w14:paraId="73158D58" w14:textId="49F03BA5" w:rsidR="1FDBE804" w:rsidRDefault="1FDBE804" w:rsidP="00947E6C">
            <w:pPr>
              <w:spacing w:after="120"/>
              <w:jc w:val="center"/>
            </w:pPr>
            <w:r w:rsidRPr="1FDBE804">
              <w:rPr>
                <w:rFonts w:ascii="Calibri" w:eastAsia="Calibri" w:hAnsi="Calibri" w:cs="Calibri"/>
                <w:color w:val="000000" w:themeColor="text1"/>
              </w:rPr>
              <w:t>10-15</w:t>
            </w:r>
          </w:p>
        </w:tc>
        <w:tc>
          <w:tcPr>
            <w:tcW w:w="1800" w:type="dxa"/>
            <w:tcBorders>
              <w:top w:val="single" w:sz="8" w:space="0" w:color="auto"/>
              <w:left w:val="nil"/>
              <w:bottom w:val="nil"/>
              <w:right w:val="nil"/>
            </w:tcBorders>
            <w:shd w:val="clear" w:color="auto" w:fill="F2F2F2" w:themeFill="background1" w:themeFillShade="F2"/>
          </w:tcPr>
          <w:p w14:paraId="50AEFD00" w14:textId="1C79F064" w:rsidR="1FDBE804" w:rsidRPr="00D81801" w:rsidRDefault="62C5AB0D" w:rsidP="00947E6C">
            <w:pPr>
              <w:spacing w:after="120"/>
              <w:jc w:val="center"/>
              <w:rPr>
                <w:rFonts w:ascii="Calibri" w:eastAsia="Calibri" w:hAnsi="Calibri" w:cs="Calibri"/>
                <w:color w:val="000000" w:themeColor="text1"/>
              </w:rPr>
            </w:pPr>
            <w:r w:rsidRPr="00D81801">
              <w:rPr>
                <w:rFonts w:ascii="Calibri" w:eastAsia="Calibri" w:hAnsi="Calibri" w:cs="Calibri"/>
                <w:color w:val="000000" w:themeColor="text1"/>
              </w:rPr>
              <w:t>30-</w:t>
            </w:r>
            <w:r w:rsidR="00205E1C" w:rsidRPr="00D81801">
              <w:rPr>
                <w:rFonts w:ascii="Calibri" w:eastAsia="Calibri" w:hAnsi="Calibri" w:cs="Calibri"/>
                <w:color w:val="000000" w:themeColor="text1"/>
              </w:rPr>
              <w:t>45</w:t>
            </w:r>
          </w:p>
        </w:tc>
      </w:tr>
      <w:tr w:rsidR="1FDBE804" w14:paraId="3FB58C0A" w14:textId="77777777" w:rsidTr="00317DDE">
        <w:trPr>
          <w:trHeight w:val="300"/>
        </w:trPr>
        <w:tc>
          <w:tcPr>
            <w:tcW w:w="1350" w:type="dxa"/>
            <w:tcBorders>
              <w:top w:val="nil"/>
              <w:left w:val="nil"/>
              <w:right w:val="single" w:sz="8" w:space="0" w:color="auto"/>
            </w:tcBorders>
          </w:tcPr>
          <w:p w14:paraId="3405896B" w14:textId="582C738F" w:rsidR="1FDBE804" w:rsidRDefault="0000747E" w:rsidP="00947E6C">
            <w:pPr>
              <w:spacing w:after="120"/>
              <w:jc w:val="center"/>
            </w:pPr>
            <w:r>
              <w:rPr>
                <w:rFonts w:ascii="Calibri" w:eastAsia="Calibri" w:hAnsi="Calibri" w:cs="Calibri"/>
                <w:b/>
                <w:bCs/>
              </w:rPr>
              <w:t>Staff attending meeting</w:t>
            </w:r>
          </w:p>
        </w:tc>
        <w:tc>
          <w:tcPr>
            <w:tcW w:w="1350" w:type="dxa"/>
            <w:tcBorders>
              <w:top w:val="nil"/>
              <w:left w:val="single" w:sz="8" w:space="0" w:color="auto"/>
              <w:right w:val="nil"/>
            </w:tcBorders>
          </w:tcPr>
          <w:p w14:paraId="5AF8FE7B" w14:textId="16880BCC" w:rsidR="1FDBE804" w:rsidRDefault="1FDBE804" w:rsidP="00947E6C">
            <w:pPr>
              <w:spacing w:after="120"/>
              <w:jc w:val="center"/>
            </w:pPr>
            <w:r w:rsidRPr="1FDBE804">
              <w:rPr>
                <w:rFonts w:ascii="Calibri" w:eastAsia="Calibri" w:hAnsi="Calibri" w:cs="Calibri"/>
                <w:color w:val="000000" w:themeColor="text1"/>
              </w:rPr>
              <w:t>REA staff member</w:t>
            </w:r>
          </w:p>
        </w:tc>
        <w:tc>
          <w:tcPr>
            <w:tcW w:w="1687" w:type="dxa"/>
          </w:tcPr>
          <w:p w14:paraId="539BE59F" w14:textId="54EE9A7F" w:rsidR="1FDBE804" w:rsidRDefault="1FDBE804" w:rsidP="00947E6C">
            <w:pPr>
              <w:spacing w:after="120"/>
              <w:jc w:val="center"/>
            </w:pPr>
            <w:r w:rsidRPr="1FDBE804">
              <w:rPr>
                <w:rFonts w:ascii="Calibri" w:eastAsia="Calibri" w:hAnsi="Calibri" w:cs="Calibri"/>
                <w:color w:val="000000" w:themeColor="text1"/>
              </w:rPr>
              <w:t>REA staff member</w:t>
            </w:r>
          </w:p>
        </w:tc>
        <w:tc>
          <w:tcPr>
            <w:tcW w:w="1643" w:type="dxa"/>
          </w:tcPr>
          <w:p w14:paraId="133BFAF9" w14:textId="53BE59F0" w:rsidR="1FDBE804" w:rsidRDefault="1FDBE804" w:rsidP="00947E6C">
            <w:pPr>
              <w:spacing w:after="120"/>
              <w:jc w:val="center"/>
            </w:pPr>
            <w:r w:rsidRPr="1FDBE804">
              <w:rPr>
                <w:rFonts w:ascii="Calibri" w:eastAsia="Calibri" w:hAnsi="Calibri" w:cs="Calibri"/>
                <w:color w:val="000000" w:themeColor="text1"/>
              </w:rPr>
              <w:t>REA staff member</w:t>
            </w:r>
          </w:p>
        </w:tc>
        <w:tc>
          <w:tcPr>
            <w:tcW w:w="1530" w:type="dxa"/>
          </w:tcPr>
          <w:p w14:paraId="57914C40" w14:textId="62BE9A84" w:rsidR="1FDBE804" w:rsidRDefault="1FDBE804" w:rsidP="00947E6C">
            <w:pPr>
              <w:spacing w:after="120"/>
              <w:jc w:val="center"/>
            </w:pPr>
            <w:r w:rsidRPr="1FDBE804">
              <w:rPr>
                <w:rFonts w:ascii="Calibri" w:eastAsia="Calibri" w:hAnsi="Calibri" w:cs="Calibri"/>
                <w:color w:val="000000" w:themeColor="text1"/>
              </w:rPr>
              <w:t>REA staff member and UI adjudicator</w:t>
            </w:r>
          </w:p>
        </w:tc>
        <w:tc>
          <w:tcPr>
            <w:tcW w:w="1800" w:type="dxa"/>
          </w:tcPr>
          <w:p w14:paraId="77C3CEFD" w14:textId="3C0C0A1A" w:rsidR="1FDBE804" w:rsidRDefault="1FDBE804" w:rsidP="00947E6C">
            <w:pPr>
              <w:spacing w:after="120"/>
              <w:jc w:val="center"/>
            </w:pPr>
            <w:r w:rsidRPr="1FDBE804">
              <w:rPr>
                <w:rFonts w:ascii="Calibri" w:eastAsia="Calibri" w:hAnsi="Calibri" w:cs="Calibri"/>
              </w:rPr>
              <w:t>RESEA staff member</w:t>
            </w:r>
          </w:p>
        </w:tc>
      </w:tr>
      <w:tr w:rsidR="1FDBE804" w14:paraId="482D3483" w14:textId="77777777" w:rsidTr="00317DDE">
        <w:trPr>
          <w:trHeight w:val="300"/>
        </w:trPr>
        <w:tc>
          <w:tcPr>
            <w:tcW w:w="1350" w:type="dxa"/>
            <w:tcBorders>
              <w:top w:val="nil"/>
              <w:left w:val="nil"/>
              <w:bottom w:val="single" w:sz="2" w:space="0" w:color="auto"/>
              <w:right w:val="single" w:sz="8" w:space="0" w:color="auto"/>
            </w:tcBorders>
            <w:shd w:val="clear" w:color="auto" w:fill="F2F2F2" w:themeFill="background1" w:themeFillShade="F2"/>
          </w:tcPr>
          <w:p w14:paraId="3162A49E" w14:textId="59CDEE15" w:rsidR="1FDBE804" w:rsidRDefault="1FDBE804" w:rsidP="00947E6C">
            <w:pPr>
              <w:spacing w:after="120"/>
              <w:jc w:val="center"/>
            </w:pPr>
            <w:r w:rsidRPr="1FDBE804">
              <w:rPr>
                <w:rFonts w:ascii="Calibri" w:eastAsia="Calibri" w:hAnsi="Calibri" w:cs="Calibri"/>
                <w:b/>
                <w:bCs/>
                <w:color w:val="000000" w:themeColor="text1"/>
              </w:rPr>
              <w:t>Content discussed</w:t>
            </w:r>
          </w:p>
        </w:tc>
        <w:tc>
          <w:tcPr>
            <w:tcW w:w="1350" w:type="dxa"/>
            <w:tcBorders>
              <w:top w:val="nil"/>
              <w:left w:val="single" w:sz="8" w:space="0" w:color="auto"/>
              <w:bottom w:val="single" w:sz="2" w:space="0" w:color="auto"/>
              <w:right w:val="nil"/>
            </w:tcBorders>
            <w:shd w:val="clear" w:color="auto" w:fill="F2F2F2" w:themeFill="background1" w:themeFillShade="F2"/>
          </w:tcPr>
          <w:p w14:paraId="574EC729" w14:textId="4DC1FDDD" w:rsidR="1FDBE804" w:rsidRDefault="1FDBE804" w:rsidP="00947E6C">
            <w:pPr>
              <w:spacing w:after="120"/>
              <w:jc w:val="center"/>
            </w:pPr>
            <w:r w:rsidRPr="1FDBE804">
              <w:rPr>
                <w:rFonts w:ascii="Calibri" w:eastAsia="Calibri" w:hAnsi="Calibri" w:cs="Calibri"/>
                <w:color w:val="000000" w:themeColor="text1"/>
              </w:rPr>
              <w:t>Barriers, resume review, reemployment plan</w:t>
            </w:r>
          </w:p>
        </w:tc>
        <w:tc>
          <w:tcPr>
            <w:tcW w:w="1687" w:type="dxa"/>
            <w:tcBorders>
              <w:bottom w:val="single" w:sz="2" w:space="0" w:color="auto"/>
            </w:tcBorders>
            <w:shd w:val="clear" w:color="auto" w:fill="F2F2F2" w:themeFill="background1" w:themeFillShade="F2"/>
          </w:tcPr>
          <w:p w14:paraId="26750D84" w14:textId="517B7F32" w:rsidR="1FDBE804" w:rsidRDefault="1FDBE804" w:rsidP="00947E6C">
            <w:pPr>
              <w:spacing w:after="120"/>
              <w:jc w:val="center"/>
            </w:pPr>
            <w:r w:rsidRPr="1FDBE804">
              <w:rPr>
                <w:rFonts w:ascii="Calibri" w:eastAsia="Calibri" w:hAnsi="Calibri" w:cs="Calibri"/>
                <w:color w:val="000000" w:themeColor="text1"/>
              </w:rPr>
              <w:t>Barriers, online resource demo, resume review, customized LMI, job referral, reemployment plan</w:t>
            </w:r>
          </w:p>
        </w:tc>
        <w:tc>
          <w:tcPr>
            <w:tcW w:w="1643" w:type="dxa"/>
            <w:tcBorders>
              <w:bottom w:val="single" w:sz="2" w:space="0" w:color="auto"/>
            </w:tcBorders>
            <w:shd w:val="clear" w:color="auto" w:fill="F2F2F2" w:themeFill="background1" w:themeFillShade="F2"/>
          </w:tcPr>
          <w:p w14:paraId="77355E76" w14:textId="4B046B30" w:rsidR="1FDBE804" w:rsidRDefault="1FDBE804" w:rsidP="00947E6C">
            <w:pPr>
              <w:spacing w:after="120"/>
              <w:jc w:val="center"/>
            </w:pPr>
            <w:r w:rsidRPr="1FDBE804">
              <w:rPr>
                <w:rFonts w:ascii="Calibri" w:eastAsia="Calibri" w:hAnsi="Calibri" w:cs="Calibri"/>
                <w:color w:val="000000" w:themeColor="text1"/>
              </w:rPr>
              <w:t>Barriers, resume review, customized LMI, reemployment plan (in-depth for the plan)</w:t>
            </w:r>
          </w:p>
        </w:tc>
        <w:tc>
          <w:tcPr>
            <w:tcW w:w="1530" w:type="dxa"/>
            <w:tcBorders>
              <w:bottom w:val="single" w:sz="2" w:space="0" w:color="auto"/>
            </w:tcBorders>
            <w:shd w:val="clear" w:color="auto" w:fill="F2F2F2" w:themeFill="background1" w:themeFillShade="F2"/>
          </w:tcPr>
          <w:p w14:paraId="537EB490" w14:textId="0E428E37" w:rsidR="1FDBE804" w:rsidRDefault="2EBD7DA5" w:rsidP="00947E6C">
            <w:pPr>
              <w:spacing w:after="120"/>
              <w:jc w:val="center"/>
            </w:pPr>
            <w:r w:rsidRPr="2EBD7DA5">
              <w:rPr>
                <w:rFonts w:ascii="Calibri" w:eastAsia="Calibri" w:hAnsi="Calibri" w:cs="Calibri"/>
                <w:color w:val="000000" w:themeColor="text1"/>
              </w:rPr>
              <w:t xml:space="preserve">Barriers, resume review, customized LMI, reemployment plan </w:t>
            </w:r>
          </w:p>
        </w:tc>
        <w:tc>
          <w:tcPr>
            <w:tcW w:w="1800" w:type="dxa"/>
            <w:tcBorders>
              <w:bottom w:val="single" w:sz="2" w:space="0" w:color="auto"/>
            </w:tcBorders>
            <w:shd w:val="clear" w:color="auto" w:fill="F2F2F2" w:themeFill="background1" w:themeFillShade="F2"/>
          </w:tcPr>
          <w:p w14:paraId="76129F2D" w14:textId="6AD706AB" w:rsidR="1FDBE804" w:rsidRDefault="1FDBE804" w:rsidP="00947E6C">
            <w:pPr>
              <w:spacing w:after="120"/>
              <w:jc w:val="center"/>
            </w:pPr>
            <w:r w:rsidRPr="0000747E">
              <w:rPr>
                <w:rFonts w:ascii="Calibri" w:eastAsia="Calibri" w:hAnsi="Calibri" w:cs="Calibri"/>
                <w:color w:val="000000" w:themeColor="text1"/>
              </w:rPr>
              <w:t xml:space="preserve">ER, LMI, reemployment plan, </w:t>
            </w:r>
            <w:r w:rsidR="0000747E" w:rsidRPr="0000747E">
              <w:rPr>
                <w:rFonts w:ascii="Calibri" w:eastAsia="Calibri" w:hAnsi="Calibri" w:cs="Calibri"/>
                <w:color w:val="000000" w:themeColor="text1"/>
              </w:rPr>
              <w:t xml:space="preserve">referral to </w:t>
            </w:r>
            <w:r w:rsidRPr="0000747E">
              <w:rPr>
                <w:rFonts w:ascii="Calibri" w:eastAsia="Calibri" w:hAnsi="Calibri" w:cs="Calibri"/>
                <w:color w:val="000000" w:themeColor="text1"/>
              </w:rPr>
              <w:t>employment centers, enrollment in employment services</w:t>
            </w:r>
          </w:p>
        </w:tc>
      </w:tr>
    </w:tbl>
    <w:p w14:paraId="0C97A65D" w14:textId="25874290" w:rsidR="625FE0BC" w:rsidRDefault="1FDBE804" w:rsidP="67D6E967">
      <w:pPr>
        <w:spacing w:after="0" w:line="240" w:lineRule="auto"/>
        <w:rPr>
          <w:rFonts w:eastAsiaTheme="minorEastAsia"/>
        </w:rPr>
      </w:pPr>
      <w:r w:rsidRPr="1FDBE804">
        <w:rPr>
          <w:rFonts w:eastAsiaTheme="minorEastAsia"/>
          <w:i/>
          <w:iCs/>
        </w:rPr>
        <w:t>Note</w:t>
      </w:r>
      <w:r w:rsidRPr="1FDBE804">
        <w:rPr>
          <w:rFonts w:eastAsiaTheme="minorEastAsia"/>
        </w:rPr>
        <w:t>. In addition to the one-on-one meeting, IN, NY, WA, and WI included an orientation to American Job Center Services that ranged from 20 minutes to three hours.</w:t>
      </w:r>
    </w:p>
    <w:p w14:paraId="01D83FA3" w14:textId="2DDCB756" w:rsidR="718B2E62" w:rsidRDefault="718B2E62" w:rsidP="0B62E825">
      <w:pPr>
        <w:spacing w:after="0" w:line="240" w:lineRule="auto"/>
        <w:rPr>
          <w:rFonts w:ascii="Calibri" w:eastAsia="Calibri" w:hAnsi="Calibri" w:cs="Calibri"/>
        </w:rPr>
      </w:pPr>
    </w:p>
    <w:p w14:paraId="5CD9F21B" w14:textId="6245A3DA" w:rsidR="3850AD2F" w:rsidRDefault="5C97E857" w:rsidP="5C97E857">
      <w:pPr>
        <w:spacing w:after="0" w:line="240" w:lineRule="auto"/>
        <w:rPr>
          <w:rFonts w:ascii="Calibri" w:eastAsia="Calibri" w:hAnsi="Calibri" w:cs="Calibri"/>
          <w:color w:val="000000" w:themeColor="text1"/>
        </w:rPr>
      </w:pPr>
      <w:r w:rsidRPr="00EC48F1">
        <w:rPr>
          <w:rFonts w:ascii="Calibri" w:eastAsia="Calibri" w:hAnsi="Calibri" w:cs="Calibri"/>
          <w:color w:val="000000" w:themeColor="text1"/>
        </w:rPr>
        <w:t xml:space="preserve">Several gaps in </w:t>
      </w:r>
      <w:r w:rsidR="00221120" w:rsidRPr="00EC48F1">
        <w:rPr>
          <w:rFonts w:ascii="Calibri" w:eastAsia="Calibri" w:hAnsi="Calibri" w:cs="Calibri"/>
          <w:color w:val="000000" w:themeColor="text1"/>
        </w:rPr>
        <w:t>the</w:t>
      </w:r>
      <w:r w:rsidRPr="00EC48F1">
        <w:rPr>
          <w:rFonts w:ascii="Calibri" w:eastAsia="Calibri" w:hAnsi="Calibri" w:cs="Calibri"/>
          <w:color w:val="000000" w:themeColor="text1"/>
        </w:rPr>
        <w:t xml:space="preserve"> evidence</w:t>
      </w:r>
      <w:r w:rsidR="00221120" w:rsidRPr="00EC48F1">
        <w:rPr>
          <w:rFonts w:ascii="Calibri" w:eastAsia="Calibri" w:hAnsi="Calibri" w:cs="Calibri"/>
          <w:color w:val="000000" w:themeColor="text1"/>
        </w:rPr>
        <w:t xml:space="preserve"> for the RESEA program</w:t>
      </w:r>
      <w:r w:rsidRPr="00EC48F1">
        <w:rPr>
          <w:rFonts w:ascii="Calibri" w:eastAsia="Calibri" w:hAnsi="Calibri" w:cs="Calibri"/>
          <w:color w:val="000000" w:themeColor="text1"/>
        </w:rPr>
        <w:t xml:space="preserve"> exist</w:t>
      </w:r>
      <w:r w:rsidRPr="5C97E857">
        <w:rPr>
          <w:rFonts w:ascii="Calibri" w:eastAsia="Calibri" w:hAnsi="Calibri" w:cs="Calibri"/>
          <w:color w:val="000000" w:themeColor="text1"/>
        </w:rPr>
        <w:t xml:space="preserve">. Most notably, prior evaluations </w:t>
      </w:r>
      <w:r w:rsidR="00E7467C">
        <w:rPr>
          <w:rFonts w:ascii="Calibri" w:eastAsia="Calibri" w:hAnsi="Calibri" w:cs="Calibri"/>
          <w:color w:val="000000" w:themeColor="text1"/>
        </w:rPr>
        <w:t>were conducted for</w:t>
      </w:r>
      <w:r w:rsidRPr="5C97E857">
        <w:rPr>
          <w:rFonts w:ascii="Calibri" w:eastAsia="Calibri" w:hAnsi="Calibri" w:cs="Calibri"/>
          <w:color w:val="000000" w:themeColor="text1"/>
        </w:rPr>
        <w:t xml:space="preserve"> the REA program, </w:t>
      </w:r>
      <w:r w:rsidR="00221120">
        <w:rPr>
          <w:rFonts w:ascii="Calibri" w:eastAsia="Calibri" w:hAnsi="Calibri" w:cs="Calibri"/>
          <w:color w:val="000000" w:themeColor="text1"/>
        </w:rPr>
        <w:t>which predated</w:t>
      </w:r>
      <w:r w:rsidRPr="5C97E857">
        <w:rPr>
          <w:rFonts w:ascii="Calibri" w:eastAsia="Calibri" w:hAnsi="Calibri" w:cs="Calibri"/>
          <w:color w:val="000000" w:themeColor="text1"/>
        </w:rPr>
        <w:t xml:space="preserve"> the RESEA program</w:t>
      </w:r>
      <w:r w:rsidR="00EE702D">
        <w:rPr>
          <w:rFonts w:ascii="Calibri" w:eastAsia="Calibri" w:hAnsi="Calibri" w:cs="Calibri"/>
          <w:color w:val="000000" w:themeColor="text1"/>
        </w:rPr>
        <w:t xml:space="preserve">. </w:t>
      </w:r>
      <w:r w:rsidR="00221120">
        <w:rPr>
          <w:rFonts w:ascii="Calibri" w:eastAsia="Calibri" w:hAnsi="Calibri" w:cs="Calibri"/>
          <w:color w:val="000000" w:themeColor="text1"/>
        </w:rPr>
        <w:t xml:space="preserve">RESEA offers </w:t>
      </w:r>
      <w:r w:rsidR="00EE702D">
        <w:rPr>
          <w:rFonts w:ascii="Calibri" w:eastAsia="Calibri" w:hAnsi="Calibri" w:cs="Calibri"/>
          <w:color w:val="000000" w:themeColor="text1"/>
        </w:rPr>
        <w:t>greater flexibility in how funds can be used for reemployment services and change</w:t>
      </w:r>
      <w:r w:rsidR="00221120">
        <w:rPr>
          <w:rFonts w:ascii="Calibri" w:eastAsia="Calibri" w:hAnsi="Calibri" w:cs="Calibri"/>
          <w:color w:val="000000" w:themeColor="text1"/>
        </w:rPr>
        <w:t>d requirements for how</w:t>
      </w:r>
      <w:r w:rsidR="00EE702D">
        <w:rPr>
          <w:rFonts w:ascii="Calibri" w:eastAsia="Calibri" w:hAnsi="Calibri" w:cs="Calibri"/>
          <w:color w:val="000000" w:themeColor="text1"/>
        </w:rPr>
        <w:t xml:space="preserve"> claimants </w:t>
      </w:r>
      <w:r w:rsidR="00221120">
        <w:rPr>
          <w:rFonts w:ascii="Calibri" w:eastAsia="Calibri" w:hAnsi="Calibri" w:cs="Calibri"/>
          <w:color w:val="000000" w:themeColor="text1"/>
        </w:rPr>
        <w:t xml:space="preserve">are </w:t>
      </w:r>
      <w:r w:rsidR="00EE702D">
        <w:rPr>
          <w:rFonts w:ascii="Calibri" w:eastAsia="Calibri" w:hAnsi="Calibri" w:cs="Calibri"/>
          <w:color w:val="000000" w:themeColor="text1"/>
        </w:rPr>
        <w:t>targeted for selection into RESEA</w:t>
      </w:r>
      <w:r w:rsidRPr="5C97E857">
        <w:rPr>
          <w:rFonts w:ascii="Calibri" w:eastAsia="Calibri" w:hAnsi="Calibri" w:cs="Calibri"/>
          <w:color w:val="000000" w:themeColor="text1"/>
        </w:rPr>
        <w:t>. Relatedly, although prior evaluations of REA have produced credible evidence of its impact on UI duration and employment outcomes, wh</w:t>
      </w:r>
      <w:r w:rsidR="00D36D9A">
        <w:rPr>
          <w:rFonts w:ascii="Calibri" w:eastAsia="Calibri" w:hAnsi="Calibri" w:cs="Calibri"/>
          <w:color w:val="000000" w:themeColor="text1"/>
        </w:rPr>
        <w:t>ich</w:t>
      </w:r>
      <w:r w:rsidRPr="5C97E857">
        <w:rPr>
          <w:rFonts w:ascii="Calibri" w:eastAsia="Calibri" w:hAnsi="Calibri" w:cs="Calibri"/>
          <w:color w:val="000000" w:themeColor="text1"/>
        </w:rPr>
        <w:t xml:space="preserve"> specific services and contents </w:t>
      </w:r>
      <w:r w:rsidR="00997F3D">
        <w:rPr>
          <w:rFonts w:ascii="Calibri" w:eastAsia="Calibri" w:hAnsi="Calibri" w:cs="Calibri"/>
          <w:color w:val="000000" w:themeColor="text1"/>
        </w:rPr>
        <w:t>contribute to this impact</w:t>
      </w:r>
      <w:r w:rsidRPr="5C97E857">
        <w:rPr>
          <w:rFonts w:ascii="Calibri" w:eastAsia="Calibri" w:hAnsi="Calibri" w:cs="Calibri"/>
          <w:color w:val="000000" w:themeColor="text1"/>
        </w:rPr>
        <w:t xml:space="preserve"> is still not well understood. </w:t>
      </w:r>
      <w:r w:rsidR="00221120">
        <w:rPr>
          <w:rFonts w:ascii="Calibri" w:eastAsia="Calibri" w:hAnsi="Calibri" w:cs="Calibri"/>
          <w:color w:val="000000" w:themeColor="text1"/>
        </w:rPr>
        <w:t>Moreover</w:t>
      </w:r>
      <w:r w:rsidR="00881F70">
        <w:rPr>
          <w:rFonts w:ascii="Calibri" w:eastAsia="Calibri" w:hAnsi="Calibri" w:cs="Calibri"/>
          <w:color w:val="000000" w:themeColor="text1"/>
        </w:rPr>
        <w:t>,</w:t>
      </w:r>
      <w:r w:rsidRPr="5C97E857">
        <w:rPr>
          <w:rFonts w:ascii="Calibri" w:eastAsia="Calibri" w:hAnsi="Calibri" w:cs="Calibri"/>
          <w:color w:val="000000" w:themeColor="text1"/>
        </w:rPr>
        <w:t xml:space="preserve"> who is most affected by RESEA</w:t>
      </w:r>
      <w:r w:rsidR="00881F70">
        <w:rPr>
          <w:rFonts w:ascii="Calibri" w:eastAsia="Calibri" w:hAnsi="Calibri" w:cs="Calibri"/>
          <w:color w:val="000000" w:themeColor="text1"/>
        </w:rPr>
        <w:t xml:space="preserve"> is unknown</w:t>
      </w:r>
      <w:r w:rsidRPr="5C97E857">
        <w:rPr>
          <w:rFonts w:ascii="Calibri" w:eastAsia="Calibri" w:hAnsi="Calibri" w:cs="Calibri"/>
          <w:color w:val="000000" w:themeColor="text1"/>
        </w:rPr>
        <w:t xml:space="preserve">. The </w:t>
      </w:r>
      <w:r w:rsidR="00997F3D">
        <w:rPr>
          <w:rFonts w:ascii="Calibri" w:eastAsia="Calibri" w:hAnsi="Calibri" w:cs="Calibri"/>
          <w:color w:val="000000" w:themeColor="text1"/>
        </w:rPr>
        <w:t xml:space="preserve">RESEA </w:t>
      </w:r>
      <w:r w:rsidRPr="5C97E857">
        <w:rPr>
          <w:rFonts w:ascii="Calibri" w:eastAsia="Calibri" w:hAnsi="Calibri" w:cs="Calibri"/>
          <w:color w:val="000000" w:themeColor="text1"/>
        </w:rPr>
        <w:t>program</w:t>
      </w:r>
      <w:r w:rsidR="00997F3D">
        <w:rPr>
          <w:rFonts w:ascii="Calibri" w:eastAsia="Calibri" w:hAnsi="Calibri" w:cs="Calibri"/>
          <w:color w:val="000000" w:themeColor="text1"/>
        </w:rPr>
        <w:t xml:space="preserve"> historically </w:t>
      </w:r>
      <w:r w:rsidRPr="5C97E857">
        <w:rPr>
          <w:rFonts w:ascii="Calibri" w:eastAsia="Calibri" w:hAnsi="Calibri" w:cs="Calibri"/>
          <w:color w:val="000000" w:themeColor="text1"/>
        </w:rPr>
        <w:t>require</w:t>
      </w:r>
      <w:r w:rsidR="00997F3D">
        <w:rPr>
          <w:rFonts w:ascii="Calibri" w:eastAsia="Calibri" w:hAnsi="Calibri" w:cs="Calibri"/>
          <w:color w:val="000000" w:themeColor="text1"/>
        </w:rPr>
        <w:t>d</w:t>
      </w:r>
      <w:r w:rsidRPr="5C97E857">
        <w:rPr>
          <w:rFonts w:ascii="Calibri" w:eastAsia="Calibri" w:hAnsi="Calibri" w:cs="Calibri"/>
          <w:color w:val="000000" w:themeColor="text1"/>
        </w:rPr>
        <w:t xml:space="preserve"> priority be given to claimants who are likely to exhaust benefits, but </w:t>
      </w:r>
      <w:proofErr w:type="spellStart"/>
      <w:r w:rsidRPr="5C97E857">
        <w:rPr>
          <w:rFonts w:ascii="Calibri" w:eastAsia="Calibri" w:hAnsi="Calibri" w:cs="Calibri"/>
          <w:color w:val="000000" w:themeColor="text1"/>
        </w:rPr>
        <w:t>Klerman</w:t>
      </w:r>
      <w:proofErr w:type="spellEnd"/>
      <w:r w:rsidRPr="5C97E857">
        <w:rPr>
          <w:rFonts w:ascii="Calibri" w:eastAsia="Calibri" w:hAnsi="Calibri" w:cs="Calibri"/>
          <w:color w:val="000000" w:themeColor="text1"/>
        </w:rPr>
        <w:t xml:space="preserve"> et al. (2019) found that </w:t>
      </w:r>
      <w:r w:rsidR="00221120">
        <w:rPr>
          <w:rFonts w:ascii="Calibri" w:eastAsia="Calibri" w:hAnsi="Calibri" w:cs="Calibri"/>
          <w:color w:val="000000" w:themeColor="text1"/>
        </w:rPr>
        <w:t>likelihood to exhaust benefits</w:t>
      </w:r>
      <w:r w:rsidRPr="5C97E857">
        <w:rPr>
          <w:rFonts w:ascii="Calibri" w:eastAsia="Calibri" w:hAnsi="Calibri" w:cs="Calibri"/>
          <w:color w:val="000000" w:themeColor="text1"/>
        </w:rPr>
        <w:t xml:space="preserve"> did not moderate the impact of REA, and that the REA impact was larger among claimants who were younger, had less education, and had lower recent earnings. Thus, future evaluations should assess </w:t>
      </w:r>
      <w:r w:rsidR="00881F70">
        <w:rPr>
          <w:rFonts w:ascii="Calibri" w:eastAsia="Calibri" w:hAnsi="Calibri" w:cs="Calibri"/>
          <w:color w:val="000000" w:themeColor="text1"/>
        </w:rPr>
        <w:t>heterogeneity in the program impact based on</w:t>
      </w:r>
      <w:r w:rsidRPr="5C97E857">
        <w:rPr>
          <w:rFonts w:ascii="Calibri" w:eastAsia="Calibri" w:hAnsi="Calibri" w:cs="Calibri"/>
          <w:color w:val="000000" w:themeColor="text1"/>
        </w:rPr>
        <w:t xml:space="preserve"> </w:t>
      </w:r>
      <w:r w:rsidR="00881F70">
        <w:rPr>
          <w:rFonts w:ascii="Calibri" w:eastAsia="Calibri" w:hAnsi="Calibri" w:cs="Calibri"/>
          <w:color w:val="000000" w:themeColor="text1"/>
        </w:rPr>
        <w:t xml:space="preserve">claimant </w:t>
      </w:r>
      <w:r w:rsidR="00997F3D">
        <w:rPr>
          <w:rFonts w:ascii="Calibri" w:eastAsia="Calibri" w:hAnsi="Calibri" w:cs="Calibri"/>
          <w:color w:val="000000" w:themeColor="text1"/>
        </w:rPr>
        <w:t>characteristics</w:t>
      </w:r>
      <w:r w:rsidRPr="5C97E857">
        <w:rPr>
          <w:rFonts w:ascii="Calibri" w:eastAsia="Calibri" w:hAnsi="Calibri" w:cs="Calibri"/>
          <w:color w:val="000000" w:themeColor="text1"/>
        </w:rPr>
        <w:t xml:space="preserve"> (</w:t>
      </w:r>
      <w:r w:rsidRPr="5C97E857">
        <w:rPr>
          <w:rFonts w:eastAsia="Calibri"/>
          <w:color w:val="000000" w:themeColor="text1"/>
        </w:rPr>
        <w:t>DOL &amp; ETA, 2022</w:t>
      </w:r>
      <w:r w:rsidRPr="5C97E857">
        <w:rPr>
          <w:rFonts w:ascii="Calibri" w:eastAsia="Calibri" w:hAnsi="Calibri" w:cs="Calibri"/>
          <w:color w:val="000000" w:themeColor="text1"/>
        </w:rPr>
        <w:t xml:space="preserve">). Larger sample sizes are also required to detect effects on short-term and long-term employment and earnings (see </w:t>
      </w:r>
      <w:proofErr w:type="spellStart"/>
      <w:r w:rsidRPr="5C97E857">
        <w:rPr>
          <w:rFonts w:ascii="Calibri" w:eastAsia="Calibri" w:hAnsi="Calibri" w:cs="Calibri"/>
          <w:color w:val="000000" w:themeColor="text1"/>
        </w:rPr>
        <w:t>Michaelides</w:t>
      </w:r>
      <w:proofErr w:type="spellEnd"/>
      <w:r w:rsidRPr="5C97E857">
        <w:rPr>
          <w:rFonts w:ascii="Calibri" w:eastAsia="Calibri" w:hAnsi="Calibri" w:cs="Calibri"/>
          <w:color w:val="000000" w:themeColor="text1"/>
        </w:rPr>
        <w:t xml:space="preserve"> et al., 2012) as well as differential impacts of REA by claimant characteristics (</w:t>
      </w:r>
      <w:proofErr w:type="spellStart"/>
      <w:r w:rsidRPr="5C97E857">
        <w:rPr>
          <w:rFonts w:ascii="Calibri" w:eastAsia="Calibri" w:hAnsi="Calibri" w:cs="Calibri"/>
          <w:color w:val="000000" w:themeColor="text1"/>
        </w:rPr>
        <w:t>Klerman</w:t>
      </w:r>
      <w:proofErr w:type="spellEnd"/>
      <w:r w:rsidRPr="5C97E857">
        <w:rPr>
          <w:rFonts w:ascii="Calibri" w:eastAsia="Calibri" w:hAnsi="Calibri" w:cs="Calibri"/>
          <w:color w:val="000000" w:themeColor="text1"/>
        </w:rPr>
        <w:t xml:space="preserve"> et al., 2019). Additionally, macro-economic conditions, such as state unemployment levels might moderate program effects but prior evidence has been inconclusive (</w:t>
      </w:r>
      <w:proofErr w:type="spellStart"/>
      <w:r w:rsidRPr="5C97E857">
        <w:rPr>
          <w:rFonts w:ascii="Calibri" w:eastAsia="Calibri" w:hAnsi="Calibri" w:cs="Calibri"/>
          <w:color w:val="000000" w:themeColor="text1"/>
        </w:rPr>
        <w:t>Klerman</w:t>
      </w:r>
      <w:proofErr w:type="spellEnd"/>
      <w:r w:rsidRPr="5C97E857">
        <w:rPr>
          <w:rFonts w:ascii="Calibri" w:eastAsia="Calibri" w:hAnsi="Calibri" w:cs="Calibri"/>
          <w:color w:val="000000" w:themeColor="text1"/>
        </w:rPr>
        <w:t xml:space="preserve"> et al., 2019). Industry-specific unemployment </w:t>
      </w:r>
      <w:r w:rsidRPr="5C97E857">
        <w:rPr>
          <w:rFonts w:ascii="Calibri" w:eastAsia="Calibri" w:hAnsi="Calibri" w:cs="Calibri"/>
          <w:color w:val="000000" w:themeColor="text1"/>
        </w:rPr>
        <w:lastRenderedPageBreak/>
        <w:t xml:space="preserve">rates may offer a more sensitive test of impact heterogeneity due to greater variation and a closer proxy of likely employment opportunities for respective claimants </w:t>
      </w:r>
    </w:p>
    <w:p w14:paraId="28A5F542" w14:textId="77777777" w:rsidR="0000747E" w:rsidRPr="00C55523" w:rsidRDefault="0000747E" w:rsidP="3850AD2F">
      <w:pPr>
        <w:spacing w:after="0" w:line="240" w:lineRule="auto"/>
        <w:rPr>
          <w:rFonts w:ascii="Calibri" w:eastAsia="Calibri" w:hAnsi="Calibri" w:cs="Calibri"/>
          <w:color w:val="000000" w:themeColor="text1"/>
        </w:rPr>
      </w:pPr>
    </w:p>
    <w:p w14:paraId="10109A54" w14:textId="2AEABE86" w:rsidR="70997D29" w:rsidRDefault="5C97E857" w:rsidP="24E2BD1C">
      <w:pPr>
        <w:spacing w:after="0" w:line="240" w:lineRule="auto"/>
        <w:rPr>
          <w:rFonts w:ascii="Calibri" w:eastAsia="Calibri" w:hAnsi="Calibri" w:cs="Calibri"/>
          <w:color w:val="000000" w:themeColor="text1"/>
        </w:rPr>
      </w:pPr>
      <w:r w:rsidRPr="5C97E857">
        <w:rPr>
          <w:rFonts w:ascii="Calibri" w:eastAsia="Calibri" w:hAnsi="Calibri" w:cs="Calibri"/>
          <w:color w:val="000000" w:themeColor="text1"/>
        </w:rPr>
        <w:t xml:space="preserve">Like REA, RESEA </w:t>
      </w:r>
      <w:r w:rsidR="00997F3D">
        <w:rPr>
          <w:rFonts w:ascii="Calibri" w:eastAsia="Calibri" w:hAnsi="Calibri" w:cs="Calibri"/>
          <w:color w:val="000000" w:themeColor="text1"/>
        </w:rPr>
        <w:t xml:space="preserve">programs </w:t>
      </w:r>
      <w:r w:rsidRPr="5C97E857">
        <w:rPr>
          <w:rFonts w:ascii="Calibri" w:eastAsia="Calibri" w:hAnsi="Calibri" w:cs="Calibri"/>
          <w:color w:val="000000" w:themeColor="text1"/>
        </w:rPr>
        <w:t>var</w:t>
      </w:r>
      <w:r w:rsidR="00997F3D">
        <w:rPr>
          <w:rFonts w:ascii="Calibri" w:eastAsia="Calibri" w:hAnsi="Calibri" w:cs="Calibri"/>
          <w:color w:val="000000" w:themeColor="text1"/>
        </w:rPr>
        <w:t>y</w:t>
      </w:r>
      <w:r w:rsidRPr="5C97E857">
        <w:rPr>
          <w:rFonts w:ascii="Calibri" w:eastAsia="Calibri" w:hAnsi="Calibri" w:cs="Calibri"/>
          <w:color w:val="000000" w:themeColor="text1"/>
        </w:rPr>
        <w:t xml:space="preserve"> across states in the enforcement strategies</w:t>
      </w:r>
      <w:r w:rsidR="00A50F3A">
        <w:rPr>
          <w:rFonts w:ascii="Calibri" w:eastAsia="Calibri" w:hAnsi="Calibri" w:cs="Calibri"/>
          <w:color w:val="000000" w:themeColor="text1"/>
        </w:rPr>
        <w:t xml:space="preserve"> employed, the timing of selection for RESEA, and the duration and </w:t>
      </w:r>
      <w:r w:rsidRPr="5C97E857">
        <w:rPr>
          <w:rFonts w:ascii="Calibri" w:eastAsia="Calibri" w:hAnsi="Calibri" w:cs="Calibri"/>
          <w:color w:val="000000" w:themeColor="text1"/>
        </w:rPr>
        <w:t>content of the RESEA meeting (</w:t>
      </w:r>
      <w:r w:rsidRPr="5C97E857">
        <w:rPr>
          <w:rFonts w:eastAsia="Calibri"/>
          <w:color w:val="000000" w:themeColor="text1"/>
        </w:rPr>
        <w:t>DOL &amp; ETA, 2022</w:t>
      </w:r>
      <w:r w:rsidRPr="5C97E857">
        <w:rPr>
          <w:rFonts w:ascii="Calibri" w:eastAsia="Calibri" w:hAnsi="Calibri" w:cs="Calibri"/>
          <w:color w:val="000000" w:themeColor="text1"/>
        </w:rPr>
        <w:t>). In 2021, approximately 17 states began experimental evaluations of RESEA, and their public reports are expected starting in 2025 (</w:t>
      </w:r>
      <w:proofErr w:type="spellStart"/>
      <w:r w:rsidRPr="5C97E857">
        <w:rPr>
          <w:rFonts w:ascii="Calibri" w:eastAsia="Calibri" w:hAnsi="Calibri" w:cs="Calibri"/>
          <w:color w:val="000000" w:themeColor="text1"/>
        </w:rPr>
        <w:t>Klerman</w:t>
      </w:r>
      <w:proofErr w:type="spellEnd"/>
      <w:r w:rsidRPr="5C97E857">
        <w:rPr>
          <w:rFonts w:ascii="Calibri" w:eastAsia="Calibri" w:hAnsi="Calibri" w:cs="Calibri"/>
          <w:color w:val="000000" w:themeColor="text1"/>
        </w:rPr>
        <w:t xml:space="preserve"> et al., 2022). Recommendations for future evaluations include: (1)</w:t>
      </w:r>
      <w:r w:rsidR="00A50F3A">
        <w:rPr>
          <w:rFonts w:ascii="Calibri" w:eastAsia="Calibri" w:hAnsi="Calibri" w:cs="Calibri"/>
          <w:color w:val="000000" w:themeColor="text1"/>
        </w:rPr>
        <w:t xml:space="preserve"> examining how claimant</w:t>
      </w:r>
      <w:r w:rsidRPr="5C97E857">
        <w:rPr>
          <w:rFonts w:ascii="Calibri" w:eastAsia="Calibri" w:hAnsi="Calibri" w:cs="Calibri"/>
          <w:color w:val="000000" w:themeColor="text1"/>
        </w:rPr>
        <w:t xml:space="preserve"> selection </w:t>
      </w:r>
      <w:r w:rsidR="00A50F3A">
        <w:rPr>
          <w:rFonts w:ascii="Calibri" w:eastAsia="Calibri" w:hAnsi="Calibri" w:cs="Calibri"/>
          <w:color w:val="000000" w:themeColor="text1"/>
        </w:rPr>
        <w:t>into RESEA influence</w:t>
      </w:r>
      <w:r w:rsidR="00885A56">
        <w:rPr>
          <w:rFonts w:ascii="Calibri" w:eastAsia="Calibri" w:hAnsi="Calibri" w:cs="Calibri"/>
          <w:color w:val="000000" w:themeColor="text1"/>
        </w:rPr>
        <w:t>s</w:t>
      </w:r>
      <w:r w:rsidR="00A50F3A">
        <w:rPr>
          <w:rFonts w:ascii="Calibri" w:eastAsia="Calibri" w:hAnsi="Calibri" w:cs="Calibri"/>
          <w:color w:val="000000" w:themeColor="text1"/>
        </w:rPr>
        <w:t xml:space="preserve"> program impact</w:t>
      </w:r>
      <w:r w:rsidRPr="5C97E857">
        <w:rPr>
          <w:rFonts w:ascii="Calibri" w:eastAsia="Calibri" w:hAnsi="Calibri" w:cs="Calibri"/>
          <w:color w:val="000000" w:themeColor="text1"/>
        </w:rPr>
        <w:t xml:space="preserve"> (e.g., </w:t>
      </w:r>
      <w:r w:rsidR="00A05034">
        <w:rPr>
          <w:rFonts w:ascii="Calibri" w:eastAsia="Calibri" w:hAnsi="Calibri" w:cs="Calibri"/>
          <w:color w:val="000000" w:themeColor="text1"/>
        </w:rPr>
        <w:t>inclusion of claimants w</w:t>
      </w:r>
      <w:r w:rsidR="00885A56">
        <w:rPr>
          <w:rFonts w:ascii="Calibri" w:eastAsia="Calibri" w:hAnsi="Calibri" w:cs="Calibri"/>
          <w:color w:val="000000" w:themeColor="text1"/>
        </w:rPr>
        <w:t xml:space="preserve">ith wide </w:t>
      </w:r>
      <w:r w:rsidR="00A05034">
        <w:rPr>
          <w:rFonts w:ascii="Calibri" w:eastAsia="Calibri" w:hAnsi="Calibri" w:cs="Calibri"/>
          <w:color w:val="000000" w:themeColor="text1"/>
        </w:rPr>
        <w:t xml:space="preserve">range of </w:t>
      </w:r>
      <w:r w:rsidRPr="5C97E857">
        <w:rPr>
          <w:rFonts w:ascii="Calibri" w:eastAsia="Calibri" w:hAnsi="Calibri" w:cs="Calibri"/>
          <w:color w:val="000000" w:themeColor="text1"/>
        </w:rPr>
        <w:t>profiling</w:t>
      </w:r>
      <w:r w:rsidR="00A05034">
        <w:rPr>
          <w:rFonts w:ascii="Calibri" w:eastAsia="Calibri" w:hAnsi="Calibri" w:cs="Calibri"/>
          <w:color w:val="000000" w:themeColor="text1"/>
        </w:rPr>
        <w:t xml:space="preserve"> scores</w:t>
      </w:r>
      <w:r w:rsidR="00885A56">
        <w:rPr>
          <w:rFonts w:ascii="Calibri" w:eastAsia="Calibri" w:hAnsi="Calibri" w:cs="Calibri"/>
          <w:color w:val="000000" w:themeColor="text1"/>
        </w:rPr>
        <w:t xml:space="preserve"> [likelihood to exhaust benefits]</w:t>
      </w:r>
      <w:r w:rsidRPr="5C97E857">
        <w:rPr>
          <w:rFonts w:ascii="Calibri" w:eastAsia="Calibri" w:hAnsi="Calibri" w:cs="Calibri"/>
          <w:color w:val="000000" w:themeColor="text1"/>
        </w:rPr>
        <w:t xml:space="preserve">); (2) examining use of self-scheduling on RESEA meeting attendance; and (3) use of larger sample sizes to detect differential impacts by claimant characteristics and impacts on short- and long-term employment and earnings (Epstein et al., 2022a; Epstein et al., 2022b; </w:t>
      </w:r>
      <w:proofErr w:type="spellStart"/>
      <w:r w:rsidRPr="5C97E857">
        <w:rPr>
          <w:rFonts w:ascii="Calibri" w:eastAsia="Calibri" w:hAnsi="Calibri" w:cs="Calibri"/>
          <w:color w:val="000000" w:themeColor="text1"/>
        </w:rPr>
        <w:t>Klerman</w:t>
      </w:r>
      <w:proofErr w:type="spellEnd"/>
      <w:r w:rsidRPr="5C97E857">
        <w:rPr>
          <w:rFonts w:ascii="Calibri" w:eastAsia="Calibri" w:hAnsi="Calibri" w:cs="Calibri"/>
          <w:color w:val="000000" w:themeColor="text1"/>
        </w:rPr>
        <w:t xml:space="preserve"> et al., 2019). These identified gaps and prior REA findings have informed this evaluation to understand the impact of Utah’s RESEA program.</w:t>
      </w:r>
    </w:p>
    <w:p w14:paraId="0A9BF2A7" w14:textId="77777777" w:rsidR="0086716F" w:rsidRDefault="0086716F" w:rsidP="24E2BD1C">
      <w:pPr>
        <w:spacing w:after="0" w:line="240" w:lineRule="auto"/>
        <w:rPr>
          <w:rFonts w:ascii="Calibri" w:eastAsia="Calibri" w:hAnsi="Calibri" w:cs="Calibri"/>
          <w:color w:val="000000" w:themeColor="text1"/>
        </w:rPr>
      </w:pPr>
    </w:p>
    <w:p w14:paraId="472E5B7B" w14:textId="6C7E8943" w:rsidR="00510243" w:rsidRPr="00300CC5" w:rsidRDefault="002F4957" w:rsidP="0086716F">
      <w:pPr>
        <w:pStyle w:val="Heading1"/>
        <w:spacing w:before="0"/>
        <w:rPr>
          <w:rFonts w:eastAsiaTheme="minorEastAsia"/>
          <w:shd w:val="clear" w:color="auto" w:fill="FFFFFF"/>
        </w:rPr>
      </w:pPr>
      <w:r>
        <w:rPr>
          <w:rFonts w:eastAsiaTheme="minorEastAsia"/>
          <w:shd w:val="clear" w:color="auto" w:fill="FFFFFF"/>
        </w:rPr>
        <w:t xml:space="preserve">2 </w:t>
      </w:r>
      <w:r w:rsidR="00510243" w:rsidRPr="00300CC5">
        <w:rPr>
          <w:rFonts w:eastAsiaTheme="minorEastAsia"/>
          <w:shd w:val="clear" w:color="auto" w:fill="FFFFFF"/>
        </w:rPr>
        <w:t>Evaluation Purpose and Research Questions</w:t>
      </w:r>
    </w:p>
    <w:p w14:paraId="7541A816" w14:textId="77777777" w:rsidR="004E3023" w:rsidRPr="00C55523" w:rsidRDefault="004E3023" w:rsidP="002352C7">
      <w:pPr>
        <w:spacing w:after="0" w:line="240" w:lineRule="auto"/>
        <w:rPr>
          <w:rFonts w:eastAsiaTheme="minorEastAsia"/>
          <w:b/>
          <w:bCs/>
          <w:shd w:val="clear" w:color="auto" w:fill="FFFFFF"/>
        </w:rPr>
      </w:pPr>
    </w:p>
    <w:p w14:paraId="026FE48E" w14:textId="0258FCE6" w:rsidR="00505BCB" w:rsidRPr="00C55523" w:rsidRDefault="00505BCB" w:rsidP="00505BCB">
      <w:pPr>
        <w:spacing w:after="0" w:line="240" w:lineRule="auto"/>
        <w:rPr>
          <w:rFonts w:eastAsiaTheme="minorEastAsia"/>
        </w:rPr>
      </w:pPr>
      <w:r w:rsidRPr="00C55523">
        <w:rPr>
          <w:rFonts w:eastAsiaTheme="minorEastAsia"/>
        </w:rPr>
        <w:t xml:space="preserve">The primary aim of the evaluation is to identify the impact of assignment to Utah’s RESEA program on 1) UI duration and 2) likelihood of reemployment. Secondary aims are to identify the impact of assignment to RESEA on </w:t>
      </w:r>
      <w:r w:rsidR="00AD1B3F">
        <w:rPr>
          <w:rFonts w:eastAsiaTheme="minorEastAsia"/>
        </w:rPr>
        <w:t xml:space="preserve">UI benefits received, quarterly </w:t>
      </w:r>
      <w:r w:rsidRPr="00C55523">
        <w:rPr>
          <w:rFonts w:eastAsiaTheme="minorEastAsia"/>
        </w:rPr>
        <w:t>earnings</w:t>
      </w:r>
      <w:r w:rsidR="00AD1B3F">
        <w:rPr>
          <w:rFonts w:eastAsiaTheme="minorEastAsia"/>
        </w:rPr>
        <w:t>, and</w:t>
      </w:r>
      <w:r w:rsidRPr="00C55523">
        <w:rPr>
          <w:rFonts w:eastAsiaTheme="minorEastAsia"/>
        </w:rPr>
        <w:t xml:space="preserve"> process-related outcomes (i.e., </w:t>
      </w:r>
      <w:r w:rsidR="0057172C">
        <w:rPr>
          <w:rFonts w:eastAsiaTheme="minorEastAsia"/>
        </w:rPr>
        <w:t xml:space="preserve">number of </w:t>
      </w:r>
      <w:r w:rsidR="009925B9">
        <w:rPr>
          <w:rFonts w:eastAsiaTheme="minorEastAsia"/>
        </w:rPr>
        <w:t>filed claims not paid</w:t>
      </w:r>
      <w:r w:rsidRPr="00C55523">
        <w:rPr>
          <w:rFonts w:eastAsiaTheme="minorEastAsia"/>
        </w:rPr>
        <w:t>, identified eligibility issues, use of reemployment services)</w:t>
      </w:r>
      <w:r w:rsidR="00AD1B3F">
        <w:rPr>
          <w:rFonts w:eastAsiaTheme="minorEastAsia"/>
        </w:rPr>
        <w:t xml:space="preserve">, and examine </w:t>
      </w:r>
      <w:r w:rsidR="0086716F">
        <w:rPr>
          <w:rFonts w:eastAsiaTheme="minorEastAsia"/>
        </w:rPr>
        <w:t>heterogeneity in the impact of RESEA by claimant and counselor characteristics and by external conditions.</w:t>
      </w:r>
      <w:r w:rsidRPr="00C55523">
        <w:rPr>
          <w:rFonts w:eastAsiaTheme="minorEastAsia"/>
        </w:rPr>
        <w:t xml:space="preserve"> The evaluation will use a randomized procedure to assign UI claimants to the RESEA program</w:t>
      </w:r>
      <w:r w:rsidR="0057172C">
        <w:rPr>
          <w:rFonts w:eastAsiaTheme="minorEastAsia"/>
        </w:rPr>
        <w:t xml:space="preserve"> or the control condition of regular UI program requirements</w:t>
      </w:r>
      <w:r w:rsidRPr="00C55523">
        <w:rPr>
          <w:rFonts w:eastAsiaTheme="minorEastAsia"/>
        </w:rPr>
        <w:t xml:space="preserve">, with </w:t>
      </w:r>
      <w:r w:rsidR="009925B9">
        <w:rPr>
          <w:rFonts w:eastAsiaTheme="minorEastAsia"/>
        </w:rPr>
        <w:t>random assignment</w:t>
      </w:r>
      <w:r w:rsidRPr="00C55523">
        <w:rPr>
          <w:rFonts w:eastAsiaTheme="minorEastAsia"/>
        </w:rPr>
        <w:t xml:space="preserve"> allowing differences between the treatment and control groups to be attributed to the RESEA program. Notably, the estimated impact is for the </w:t>
      </w:r>
      <w:r w:rsidR="0057172C">
        <w:rPr>
          <w:rFonts w:eastAsiaTheme="minorEastAsia"/>
        </w:rPr>
        <w:t xml:space="preserve">RESEA </w:t>
      </w:r>
      <w:r w:rsidRPr="00C55523">
        <w:rPr>
          <w:rFonts w:eastAsiaTheme="minorEastAsia"/>
        </w:rPr>
        <w:t>program as a whole, and thus encapsulates differences due to the enforcement (i.e., requirement to participate in RESEA, identification of eligibility issues) and assistance pathways (i.e., provision of reemployment services), as control groups experience none or relatively limited versions of these program components. The focus herein</w:t>
      </w:r>
      <w:r w:rsidR="00283F0C">
        <w:rPr>
          <w:rFonts w:eastAsiaTheme="minorEastAsia"/>
        </w:rPr>
        <w:t xml:space="preserve"> is</w:t>
      </w:r>
      <w:r w:rsidRPr="00C55523">
        <w:rPr>
          <w:rFonts w:eastAsiaTheme="minorEastAsia"/>
        </w:rPr>
        <w:t xml:space="preserve"> on assignment to RESEA rather than participation </w:t>
      </w:r>
      <w:r w:rsidR="00283F0C">
        <w:rPr>
          <w:rFonts w:eastAsiaTheme="minorEastAsia"/>
        </w:rPr>
        <w:t>as</w:t>
      </w:r>
      <w:r w:rsidRPr="00C55523">
        <w:rPr>
          <w:rFonts w:eastAsiaTheme="minorEastAsia"/>
        </w:rPr>
        <w:t xml:space="preserve"> the completion of RESEA requirements, although required for </w:t>
      </w:r>
      <w:r w:rsidR="00317DDE">
        <w:rPr>
          <w:rFonts w:eastAsiaTheme="minorEastAsia"/>
        </w:rPr>
        <w:t xml:space="preserve">UI </w:t>
      </w:r>
      <w:r w:rsidRPr="00C55523">
        <w:rPr>
          <w:rFonts w:eastAsiaTheme="minorEastAsia"/>
        </w:rPr>
        <w:t xml:space="preserve">eligibility, cannot be compelled. Thus, identified impacts will refer to intent-to-treat estimates and represent the average difference across potentially heterogeneous program experiences. </w:t>
      </w:r>
    </w:p>
    <w:p w14:paraId="199FDD27" w14:textId="77777777" w:rsidR="00505BCB" w:rsidRPr="00C55523" w:rsidRDefault="00505BCB" w:rsidP="00505BCB">
      <w:pPr>
        <w:spacing w:after="0" w:line="240" w:lineRule="auto"/>
        <w:rPr>
          <w:rFonts w:eastAsiaTheme="minorEastAsia"/>
        </w:rPr>
      </w:pPr>
    </w:p>
    <w:tbl>
      <w:tblPr>
        <w:tblStyle w:val="TableGrid"/>
        <w:tblW w:w="0" w:type="auto"/>
        <w:tblLook w:val="04A0" w:firstRow="1" w:lastRow="0" w:firstColumn="1" w:lastColumn="0" w:noHBand="0" w:noVBand="1"/>
      </w:tblPr>
      <w:tblGrid>
        <w:gridCol w:w="9350"/>
      </w:tblGrid>
      <w:tr w:rsidR="00B92882" w14:paraId="59FD2907" w14:textId="77777777" w:rsidTr="4C7455DB">
        <w:tc>
          <w:tcPr>
            <w:tcW w:w="9350" w:type="dxa"/>
            <w:tcBorders>
              <w:top w:val="nil"/>
              <w:left w:val="nil"/>
              <w:bottom w:val="nil"/>
              <w:right w:val="nil"/>
            </w:tcBorders>
            <w:shd w:val="clear" w:color="auto" w:fill="EAEAEA"/>
          </w:tcPr>
          <w:p w14:paraId="42FB0A38" w14:textId="2FB04843" w:rsidR="00B92882" w:rsidRPr="00A05034" w:rsidRDefault="00B92882" w:rsidP="00A05034">
            <w:pPr>
              <w:spacing w:before="120" w:line="320" w:lineRule="exact"/>
              <w:ind w:left="338"/>
              <w:rPr>
                <w:rFonts w:eastAsiaTheme="minorEastAsia"/>
                <w:b/>
                <w:bCs/>
                <w:sz w:val="24"/>
                <w:szCs w:val="24"/>
              </w:rPr>
            </w:pPr>
            <w:r w:rsidRPr="00A05034">
              <w:rPr>
                <w:rFonts w:eastAsiaTheme="minorEastAsia"/>
                <w:b/>
                <w:bCs/>
                <w:sz w:val="24"/>
                <w:szCs w:val="24"/>
              </w:rPr>
              <w:t xml:space="preserve">This impact evaluation will address the following research questions: </w:t>
            </w:r>
          </w:p>
          <w:p w14:paraId="33C3EBDF" w14:textId="77777777" w:rsidR="00B92882" w:rsidRPr="00A05034" w:rsidRDefault="00B92882" w:rsidP="0093173D">
            <w:pPr>
              <w:pStyle w:val="ListParagraph"/>
              <w:numPr>
                <w:ilvl w:val="0"/>
                <w:numId w:val="34"/>
              </w:numPr>
              <w:spacing w:line="320" w:lineRule="exact"/>
              <w:rPr>
                <w:rFonts w:eastAsiaTheme="minorEastAsia"/>
                <w:sz w:val="24"/>
                <w:szCs w:val="24"/>
              </w:rPr>
            </w:pPr>
            <w:r w:rsidRPr="00A05034">
              <w:rPr>
                <w:rFonts w:eastAsiaTheme="minorEastAsia"/>
                <w:sz w:val="24"/>
                <w:szCs w:val="24"/>
              </w:rPr>
              <w:t>Impact Outcomes</w:t>
            </w:r>
          </w:p>
          <w:p w14:paraId="7E3CA891" w14:textId="77777777" w:rsidR="00B92882" w:rsidRPr="00A05034" w:rsidRDefault="00B92882" w:rsidP="0093173D">
            <w:pPr>
              <w:pStyle w:val="ListParagraph"/>
              <w:numPr>
                <w:ilvl w:val="1"/>
                <w:numId w:val="34"/>
              </w:numPr>
              <w:spacing w:line="320" w:lineRule="exact"/>
              <w:rPr>
                <w:rFonts w:eastAsiaTheme="minorEastAsia"/>
                <w:sz w:val="24"/>
                <w:szCs w:val="24"/>
              </w:rPr>
            </w:pPr>
            <w:r w:rsidRPr="00A05034">
              <w:rPr>
                <w:rFonts w:eastAsiaTheme="minorEastAsia"/>
                <w:sz w:val="24"/>
                <w:szCs w:val="24"/>
              </w:rPr>
              <w:t>UI Duration (primary outcome) and Benefits</w:t>
            </w:r>
          </w:p>
          <w:p w14:paraId="781BCBB7" w14:textId="77777777"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Does assignment to the RESEA program reduce UI duration?</w:t>
            </w:r>
          </w:p>
          <w:p w14:paraId="5D633439" w14:textId="21E470A6" w:rsidR="00B92882" w:rsidRPr="00A05034" w:rsidRDefault="0057172C" w:rsidP="0057172C">
            <w:pPr>
              <w:pStyle w:val="ListParagraph"/>
              <w:spacing w:line="320" w:lineRule="exact"/>
              <w:ind w:left="1691" w:right="419"/>
              <w:rPr>
                <w:rFonts w:eastAsiaTheme="minorEastAsia"/>
                <w:sz w:val="24"/>
                <w:szCs w:val="24"/>
              </w:rPr>
            </w:pPr>
            <w:r>
              <w:rPr>
                <w:rFonts w:eastAsiaTheme="minorEastAsia"/>
                <w:sz w:val="24"/>
                <w:szCs w:val="24"/>
              </w:rPr>
              <w:t xml:space="preserve">Note </w:t>
            </w:r>
            <w:r w:rsidR="00024FA9">
              <w:rPr>
                <w:rFonts w:eastAsiaTheme="minorEastAsia"/>
                <w:sz w:val="24"/>
                <w:szCs w:val="24"/>
              </w:rPr>
              <w:t>we will</w:t>
            </w:r>
            <w:r>
              <w:rPr>
                <w:rFonts w:eastAsiaTheme="minorEastAsia"/>
                <w:sz w:val="24"/>
                <w:szCs w:val="24"/>
              </w:rPr>
              <w:t xml:space="preserve"> </w:t>
            </w:r>
            <w:r w:rsidR="00024FA9">
              <w:rPr>
                <w:rFonts w:eastAsiaTheme="minorEastAsia"/>
                <w:sz w:val="24"/>
                <w:szCs w:val="24"/>
              </w:rPr>
              <w:t>test</w:t>
            </w:r>
            <w:r w:rsidR="00B92882" w:rsidRPr="00A05034">
              <w:rPr>
                <w:rFonts w:eastAsiaTheme="minorEastAsia"/>
                <w:sz w:val="24"/>
                <w:szCs w:val="24"/>
              </w:rPr>
              <w:t xml:space="preserve"> the difference in average UI duration for claimants assigned to RESEA relative to otherwise identical claimants (i.e., the control group)</w:t>
            </w:r>
            <w:r>
              <w:rPr>
                <w:rFonts w:eastAsiaTheme="minorEastAsia"/>
                <w:sz w:val="24"/>
                <w:szCs w:val="24"/>
              </w:rPr>
              <w:t xml:space="preserve">. This comparison is used </w:t>
            </w:r>
            <w:r w:rsidR="00024FA9">
              <w:rPr>
                <w:rFonts w:eastAsiaTheme="minorEastAsia"/>
                <w:sz w:val="24"/>
                <w:szCs w:val="24"/>
              </w:rPr>
              <w:t>across research</w:t>
            </w:r>
            <w:r>
              <w:rPr>
                <w:rFonts w:eastAsiaTheme="minorEastAsia"/>
                <w:sz w:val="24"/>
                <w:szCs w:val="24"/>
              </w:rPr>
              <w:t xml:space="preserve"> questions</w:t>
            </w:r>
            <w:r w:rsidR="00B92882" w:rsidRPr="00A05034">
              <w:rPr>
                <w:rFonts w:eastAsiaTheme="minorEastAsia"/>
                <w:sz w:val="24"/>
                <w:szCs w:val="24"/>
              </w:rPr>
              <w:t xml:space="preserve">. </w:t>
            </w:r>
          </w:p>
          <w:p w14:paraId="41D75B94" w14:textId="77777777"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Does assignment to RESEA reduce the total UI benefits received?</w:t>
            </w:r>
          </w:p>
          <w:p w14:paraId="7DE113AE" w14:textId="691BD2A7"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 xml:space="preserve">Does assignment to RESEA reduce the </w:t>
            </w:r>
            <w:r w:rsidR="0096540F">
              <w:rPr>
                <w:rFonts w:eastAsiaTheme="minorEastAsia"/>
                <w:sz w:val="24"/>
                <w:szCs w:val="24"/>
              </w:rPr>
              <w:t>probability of exhausting</w:t>
            </w:r>
            <w:r w:rsidRPr="00A05034">
              <w:rPr>
                <w:rFonts w:eastAsiaTheme="minorEastAsia"/>
                <w:sz w:val="24"/>
                <w:szCs w:val="24"/>
              </w:rPr>
              <w:t xml:space="preserve"> UI benefits</w:t>
            </w:r>
            <w:r w:rsidR="004F1B58">
              <w:rPr>
                <w:rFonts w:eastAsiaTheme="minorEastAsia"/>
                <w:sz w:val="24"/>
                <w:szCs w:val="24"/>
              </w:rPr>
              <w:t xml:space="preserve"> for the claim when randomization occurs</w:t>
            </w:r>
            <w:r w:rsidRPr="00A05034">
              <w:rPr>
                <w:rFonts w:eastAsiaTheme="minorEastAsia"/>
                <w:sz w:val="24"/>
                <w:szCs w:val="24"/>
              </w:rPr>
              <w:t>?</w:t>
            </w:r>
          </w:p>
          <w:p w14:paraId="3EBCEF06" w14:textId="0C87C185"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 xml:space="preserve">Long-term: does assignment to RESEA reduce the </w:t>
            </w:r>
            <w:r w:rsidR="0096540F">
              <w:rPr>
                <w:rFonts w:eastAsiaTheme="minorEastAsia"/>
                <w:sz w:val="24"/>
                <w:szCs w:val="24"/>
              </w:rPr>
              <w:t>probability</w:t>
            </w:r>
            <w:r w:rsidRPr="00A05034">
              <w:rPr>
                <w:rFonts w:eastAsiaTheme="minorEastAsia"/>
                <w:sz w:val="24"/>
                <w:szCs w:val="24"/>
              </w:rPr>
              <w:t xml:space="preserve"> of </w:t>
            </w:r>
            <w:r w:rsidR="00237482">
              <w:rPr>
                <w:rFonts w:eastAsiaTheme="minorEastAsia"/>
                <w:sz w:val="24"/>
                <w:szCs w:val="24"/>
              </w:rPr>
              <w:t xml:space="preserve">filing a </w:t>
            </w:r>
            <w:r w:rsidR="00C67551">
              <w:rPr>
                <w:rFonts w:eastAsiaTheme="minorEastAsia"/>
                <w:sz w:val="24"/>
                <w:szCs w:val="24"/>
              </w:rPr>
              <w:t xml:space="preserve">new </w:t>
            </w:r>
            <w:r w:rsidRPr="00A05034">
              <w:rPr>
                <w:rFonts w:eastAsiaTheme="minorEastAsia"/>
                <w:sz w:val="24"/>
                <w:szCs w:val="24"/>
              </w:rPr>
              <w:t xml:space="preserve">UI </w:t>
            </w:r>
            <w:r w:rsidR="00237482">
              <w:rPr>
                <w:rFonts w:eastAsiaTheme="minorEastAsia"/>
                <w:sz w:val="24"/>
                <w:szCs w:val="24"/>
              </w:rPr>
              <w:t xml:space="preserve">claim </w:t>
            </w:r>
            <w:r w:rsidRPr="00A05034">
              <w:rPr>
                <w:rFonts w:eastAsiaTheme="minorEastAsia"/>
                <w:sz w:val="24"/>
                <w:szCs w:val="24"/>
              </w:rPr>
              <w:t xml:space="preserve">during a subsequent one-year period (i.e., third to sixth quarters)?  </w:t>
            </w:r>
          </w:p>
          <w:p w14:paraId="712A99E9" w14:textId="77777777" w:rsidR="00B92882" w:rsidRPr="00A05034" w:rsidRDefault="00B92882" w:rsidP="0093173D">
            <w:pPr>
              <w:pStyle w:val="ListParagraph"/>
              <w:numPr>
                <w:ilvl w:val="1"/>
                <w:numId w:val="34"/>
              </w:numPr>
              <w:spacing w:line="320" w:lineRule="exact"/>
              <w:ind w:right="419"/>
              <w:rPr>
                <w:rFonts w:eastAsiaTheme="minorEastAsia"/>
                <w:sz w:val="24"/>
                <w:szCs w:val="24"/>
              </w:rPr>
            </w:pPr>
            <w:r w:rsidRPr="00A05034">
              <w:rPr>
                <w:rFonts w:eastAsiaTheme="minorEastAsia"/>
                <w:sz w:val="24"/>
                <w:szCs w:val="24"/>
              </w:rPr>
              <w:lastRenderedPageBreak/>
              <w:t>Employment (primary outcome) and Earnings</w:t>
            </w:r>
          </w:p>
          <w:p w14:paraId="0A5F6C98" w14:textId="7E261FCB" w:rsidR="00B92882" w:rsidRPr="00A05034" w:rsidRDefault="00B92882" w:rsidP="0093173D">
            <w:pPr>
              <w:pStyle w:val="ListParagraph"/>
              <w:numPr>
                <w:ilvl w:val="2"/>
                <w:numId w:val="34"/>
              </w:numPr>
              <w:spacing w:line="320" w:lineRule="exact"/>
              <w:ind w:right="419"/>
              <w:rPr>
                <w:rStyle w:val="cf01"/>
                <w:rFonts w:asciiTheme="minorHAnsi" w:eastAsiaTheme="minorEastAsia" w:hAnsiTheme="minorHAnsi" w:cstheme="minorBidi"/>
                <w:sz w:val="24"/>
                <w:szCs w:val="24"/>
              </w:rPr>
            </w:pPr>
            <w:r w:rsidRPr="00A05034">
              <w:rPr>
                <w:rStyle w:val="cf01"/>
                <w:rFonts w:asciiTheme="minorHAnsi" w:eastAsiaTheme="minorEastAsia" w:hAnsiTheme="minorHAnsi" w:cstheme="minorBidi"/>
                <w:sz w:val="24"/>
                <w:szCs w:val="24"/>
              </w:rPr>
              <w:t xml:space="preserve">Does assignment to </w:t>
            </w:r>
            <w:r w:rsidRPr="0096540F">
              <w:rPr>
                <w:rStyle w:val="cf01"/>
                <w:rFonts w:asciiTheme="minorHAnsi" w:eastAsiaTheme="minorEastAsia" w:hAnsiTheme="minorHAnsi" w:cstheme="minorBidi"/>
                <w:sz w:val="24"/>
                <w:szCs w:val="24"/>
              </w:rPr>
              <w:t>RESEA increase the</w:t>
            </w:r>
            <w:r w:rsidR="0096540F" w:rsidRPr="0096540F">
              <w:rPr>
                <w:rStyle w:val="cf01"/>
                <w:rFonts w:asciiTheme="minorHAnsi" w:eastAsiaTheme="minorEastAsia" w:hAnsiTheme="minorHAnsi" w:cstheme="minorBidi"/>
                <w:sz w:val="24"/>
                <w:szCs w:val="24"/>
              </w:rPr>
              <w:t xml:space="preserve"> </w:t>
            </w:r>
            <w:r w:rsidR="0096540F" w:rsidRPr="0096540F">
              <w:rPr>
                <w:rStyle w:val="cf01"/>
                <w:rFonts w:asciiTheme="minorHAnsi" w:hAnsiTheme="minorHAnsi"/>
                <w:sz w:val="24"/>
                <w:szCs w:val="24"/>
              </w:rPr>
              <w:t>probability</w:t>
            </w:r>
            <w:r w:rsidRPr="0096540F">
              <w:rPr>
                <w:rStyle w:val="cf01"/>
                <w:rFonts w:asciiTheme="minorHAnsi" w:eastAsiaTheme="minorEastAsia" w:hAnsiTheme="minorHAnsi" w:cstheme="minorBidi"/>
                <w:sz w:val="24"/>
                <w:szCs w:val="24"/>
              </w:rPr>
              <w:t xml:space="preserve"> of</w:t>
            </w:r>
            <w:r w:rsidRPr="00A05034">
              <w:rPr>
                <w:rStyle w:val="cf01"/>
                <w:rFonts w:asciiTheme="minorHAnsi" w:eastAsiaTheme="minorEastAsia" w:hAnsiTheme="minorHAnsi" w:cstheme="minorBidi"/>
                <w:sz w:val="24"/>
                <w:szCs w:val="24"/>
              </w:rPr>
              <w:t xml:space="preserve"> employment, measured in the first and second quarters after the start of a UI claim?</w:t>
            </w:r>
          </w:p>
          <w:p w14:paraId="09D5BAE5" w14:textId="77777777" w:rsidR="00B92882" w:rsidRPr="00A05034" w:rsidRDefault="00B92882" w:rsidP="0093173D">
            <w:pPr>
              <w:pStyle w:val="ListParagraph"/>
              <w:numPr>
                <w:ilvl w:val="2"/>
                <w:numId w:val="34"/>
              </w:numPr>
              <w:spacing w:line="320" w:lineRule="exact"/>
              <w:ind w:right="419"/>
              <w:rPr>
                <w:rStyle w:val="cf01"/>
                <w:rFonts w:asciiTheme="minorHAnsi" w:eastAsiaTheme="minorEastAsia" w:hAnsiTheme="minorHAnsi" w:cstheme="minorBidi"/>
                <w:sz w:val="24"/>
                <w:szCs w:val="24"/>
              </w:rPr>
            </w:pPr>
            <w:r w:rsidRPr="00A05034">
              <w:rPr>
                <w:rStyle w:val="cf01"/>
                <w:rFonts w:asciiTheme="minorHAnsi" w:eastAsiaTheme="minorEastAsia" w:hAnsiTheme="minorHAnsi" w:cstheme="minorBidi"/>
                <w:sz w:val="24"/>
                <w:szCs w:val="24"/>
              </w:rPr>
              <w:t>Does assignment to RESEA increase average earnings, measured in the first and second quarters after the start of a UI claim?</w:t>
            </w:r>
          </w:p>
          <w:p w14:paraId="676F9517" w14:textId="792452AD" w:rsidR="00B92882" w:rsidRPr="00A05034" w:rsidRDefault="4C7455DB" w:rsidP="4C7455DB">
            <w:pPr>
              <w:pStyle w:val="ListParagraph"/>
              <w:numPr>
                <w:ilvl w:val="2"/>
                <w:numId w:val="34"/>
              </w:numPr>
              <w:spacing w:line="320" w:lineRule="exact"/>
              <w:ind w:right="419"/>
              <w:rPr>
                <w:rFonts w:eastAsiaTheme="minorEastAsia"/>
                <w:sz w:val="24"/>
                <w:szCs w:val="24"/>
              </w:rPr>
            </w:pPr>
            <w:r w:rsidRPr="4C7455DB">
              <w:rPr>
                <w:rFonts w:eastAsiaTheme="minorEastAsia"/>
                <w:sz w:val="24"/>
                <w:szCs w:val="24"/>
              </w:rPr>
              <w:t xml:space="preserve">Long-term: does assignment to RESEA increase the </w:t>
            </w:r>
            <w:r w:rsidRPr="4C7455DB">
              <w:rPr>
                <w:rStyle w:val="cf01"/>
                <w:rFonts w:asciiTheme="minorHAnsi" w:hAnsiTheme="minorHAnsi"/>
                <w:sz w:val="24"/>
                <w:szCs w:val="24"/>
              </w:rPr>
              <w:t>probability</w:t>
            </w:r>
            <w:r w:rsidRPr="4C7455DB">
              <w:rPr>
                <w:rStyle w:val="cf01"/>
                <w:rFonts w:asciiTheme="minorHAnsi" w:eastAsiaTheme="minorEastAsia" w:hAnsiTheme="minorHAnsi" w:cstheme="minorBidi"/>
                <w:sz w:val="24"/>
                <w:szCs w:val="24"/>
              </w:rPr>
              <w:t xml:space="preserve"> </w:t>
            </w:r>
            <w:r w:rsidRPr="4C7455DB">
              <w:rPr>
                <w:rFonts w:eastAsiaTheme="minorEastAsia"/>
                <w:sz w:val="24"/>
                <w:szCs w:val="24"/>
              </w:rPr>
              <w:t>of employment and average earnings, measured in the third through sixth quarters?</w:t>
            </w:r>
          </w:p>
          <w:p w14:paraId="3EB79282" w14:textId="77777777" w:rsidR="00B92882" w:rsidRPr="00A05034" w:rsidRDefault="00B92882" w:rsidP="0093173D">
            <w:pPr>
              <w:pStyle w:val="ListParagraph"/>
              <w:numPr>
                <w:ilvl w:val="0"/>
                <w:numId w:val="34"/>
              </w:numPr>
              <w:spacing w:line="320" w:lineRule="exact"/>
              <w:ind w:right="419"/>
              <w:rPr>
                <w:rFonts w:eastAsiaTheme="minorEastAsia"/>
                <w:sz w:val="24"/>
                <w:szCs w:val="24"/>
              </w:rPr>
            </w:pPr>
            <w:r w:rsidRPr="00A05034">
              <w:rPr>
                <w:rFonts w:eastAsiaTheme="minorEastAsia"/>
                <w:sz w:val="24"/>
                <w:szCs w:val="24"/>
              </w:rPr>
              <w:t>Process Outcomes</w:t>
            </w:r>
          </w:p>
          <w:p w14:paraId="237C686F" w14:textId="77777777" w:rsidR="00B92882" w:rsidRPr="00A05034" w:rsidRDefault="00B92882" w:rsidP="0093173D">
            <w:pPr>
              <w:pStyle w:val="ListParagraph"/>
              <w:numPr>
                <w:ilvl w:val="1"/>
                <w:numId w:val="34"/>
              </w:numPr>
              <w:spacing w:line="320" w:lineRule="exact"/>
              <w:ind w:right="419"/>
              <w:rPr>
                <w:rFonts w:eastAsiaTheme="minorEastAsia"/>
                <w:sz w:val="24"/>
                <w:szCs w:val="24"/>
              </w:rPr>
            </w:pPr>
            <w:r w:rsidRPr="00A05034">
              <w:rPr>
                <w:rFonts w:eastAsiaTheme="minorEastAsia"/>
                <w:sz w:val="24"/>
                <w:szCs w:val="24"/>
              </w:rPr>
              <w:t>UI Eligibility</w:t>
            </w:r>
          </w:p>
          <w:p w14:paraId="76BF30AE" w14:textId="7B2A1F03"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 xml:space="preserve">Does assignment to RESEA result in </w:t>
            </w:r>
            <w:r w:rsidR="0096540F">
              <w:rPr>
                <w:rFonts w:eastAsiaTheme="minorEastAsia"/>
                <w:sz w:val="24"/>
                <w:szCs w:val="24"/>
              </w:rPr>
              <w:t>increased</w:t>
            </w:r>
            <w:r w:rsidRPr="00A05034">
              <w:rPr>
                <w:rFonts w:eastAsiaTheme="minorEastAsia"/>
                <w:sz w:val="24"/>
                <w:szCs w:val="24"/>
              </w:rPr>
              <w:t xml:space="preserve"> denial of benefits (i.e., </w:t>
            </w:r>
            <w:r w:rsidR="0096540F">
              <w:rPr>
                <w:rFonts w:eastAsiaTheme="minorEastAsia"/>
                <w:sz w:val="24"/>
                <w:szCs w:val="24"/>
              </w:rPr>
              <w:t xml:space="preserve">filed </w:t>
            </w:r>
            <w:r w:rsidRPr="00A05034">
              <w:rPr>
                <w:rFonts w:eastAsiaTheme="minorEastAsia"/>
                <w:sz w:val="24"/>
                <w:szCs w:val="24"/>
              </w:rPr>
              <w:t xml:space="preserve">claims not paid) and identification of eligibility issues? </w:t>
            </w:r>
          </w:p>
          <w:p w14:paraId="1FBB728F" w14:textId="77777777" w:rsidR="00B92882" w:rsidRPr="00A05034" w:rsidRDefault="00B92882" w:rsidP="0093173D">
            <w:pPr>
              <w:pStyle w:val="ListParagraph"/>
              <w:numPr>
                <w:ilvl w:val="1"/>
                <w:numId w:val="34"/>
              </w:numPr>
              <w:spacing w:line="320" w:lineRule="exact"/>
              <w:ind w:right="419"/>
              <w:rPr>
                <w:rFonts w:eastAsiaTheme="minorEastAsia"/>
                <w:sz w:val="24"/>
                <w:szCs w:val="24"/>
              </w:rPr>
            </w:pPr>
            <w:r w:rsidRPr="00A05034">
              <w:rPr>
                <w:rFonts w:eastAsiaTheme="minorEastAsia"/>
                <w:sz w:val="24"/>
                <w:szCs w:val="24"/>
              </w:rPr>
              <w:t>Reemployment Services</w:t>
            </w:r>
          </w:p>
          <w:p w14:paraId="7526886D" w14:textId="0A47380A"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 xml:space="preserve">Does </w:t>
            </w:r>
            <w:r w:rsidR="00C67551" w:rsidRPr="00A05034">
              <w:rPr>
                <w:rFonts w:eastAsiaTheme="minorEastAsia"/>
                <w:sz w:val="24"/>
                <w:szCs w:val="24"/>
              </w:rPr>
              <w:t xml:space="preserve">assignment to RESEA </w:t>
            </w:r>
            <w:r w:rsidRPr="00A05034">
              <w:rPr>
                <w:rFonts w:eastAsiaTheme="minorEastAsia"/>
                <w:sz w:val="24"/>
                <w:szCs w:val="24"/>
              </w:rPr>
              <w:t xml:space="preserve">generate </w:t>
            </w:r>
            <w:r w:rsidR="0096540F">
              <w:rPr>
                <w:rFonts w:eastAsiaTheme="minorEastAsia"/>
                <w:sz w:val="24"/>
                <w:szCs w:val="24"/>
              </w:rPr>
              <w:t>higher</w:t>
            </w:r>
            <w:r w:rsidRPr="00A05034">
              <w:rPr>
                <w:rFonts w:eastAsiaTheme="minorEastAsia"/>
                <w:sz w:val="24"/>
                <w:szCs w:val="24"/>
              </w:rPr>
              <w:t xml:space="preserve"> participation in reemployment services at employment centers? </w:t>
            </w:r>
          </w:p>
          <w:p w14:paraId="624CAB71" w14:textId="72054657" w:rsidR="00B92882" w:rsidRPr="00A05034" w:rsidRDefault="00B92882" w:rsidP="0093173D">
            <w:pPr>
              <w:pStyle w:val="ListParagraph"/>
              <w:numPr>
                <w:ilvl w:val="0"/>
                <w:numId w:val="34"/>
              </w:numPr>
              <w:spacing w:line="320" w:lineRule="exact"/>
              <w:ind w:right="419"/>
              <w:rPr>
                <w:rFonts w:eastAsiaTheme="minorEastAsia"/>
                <w:sz w:val="24"/>
                <w:szCs w:val="24"/>
              </w:rPr>
            </w:pPr>
            <w:r w:rsidRPr="00A05034">
              <w:rPr>
                <w:rFonts w:eastAsiaTheme="minorEastAsia"/>
                <w:sz w:val="24"/>
                <w:szCs w:val="24"/>
              </w:rPr>
              <w:t>Heterogeneity in Impact</w:t>
            </w:r>
            <w:r w:rsidR="00A05034">
              <w:rPr>
                <w:rFonts w:eastAsiaTheme="minorEastAsia"/>
                <w:sz w:val="24"/>
                <w:szCs w:val="24"/>
              </w:rPr>
              <w:t xml:space="preserve"> of RESEA</w:t>
            </w:r>
          </w:p>
          <w:p w14:paraId="3259F2FB" w14:textId="19516E7B" w:rsidR="00B92882" w:rsidRPr="00A05034" w:rsidRDefault="00B92882"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Do</w:t>
            </w:r>
            <w:r w:rsidR="002E24F3">
              <w:rPr>
                <w:rFonts w:eastAsiaTheme="minorEastAsia"/>
                <w:sz w:val="24"/>
                <w:szCs w:val="24"/>
              </w:rPr>
              <w:t>es the</w:t>
            </w:r>
            <w:r w:rsidRPr="00A05034">
              <w:rPr>
                <w:rFonts w:eastAsiaTheme="minorEastAsia"/>
                <w:sz w:val="24"/>
                <w:szCs w:val="24"/>
              </w:rPr>
              <w:t xml:space="preserve"> impact on UI duration and employment vary across claimant socio-demographic </w:t>
            </w:r>
            <w:r w:rsidR="0096540F">
              <w:rPr>
                <w:rFonts w:eastAsiaTheme="minorEastAsia"/>
                <w:sz w:val="24"/>
                <w:szCs w:val="24"/>
              </w:rPr>
              <w:t>characteristics</w:t>
            </w:r>
            <w:r w:rsidRPr="00A05034">
              <w:rPr>
                <w:rFonts w:eastAsiaTheme="minorEastAsia"/>
                <w:sz w:val="24"/>
                <w:szCs w:val="24"/>
              </w:rPr>
              <w:t xml:space="preserve"> (i.e., by gender, age, race/ethnicity, and educational attainment)? </w:t>
            </w:r>
          </w:p>
          <w:p w14:paraId="3FCB545C" w14:textId="32548571" w:rsidR="00B92882" w:rsidRPr="00A05034" w:rsidRDefault="002E24F3" w:rsidP="0093173D">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Do</w:t>
            </w:r>
            <w:r>
              <w:rPr>
                <w:rFonts w:eastAsiaTheme="minorEastAsia"/>
                <w:sz w:val="24"/>
                <w:szCs w:val="24"/>
              </w:rPr>
              <w:t>es the</w:t>
            </w:r>
            <w:r w:rsidRPr="00A05034">
              <w:rPr>
                <w:rFonts w:eastAsiaTheme="minorEastAsia"/>
                <w:sz w:val="24"/>
                <w:szCs w:val="24"/>
              </w:rPr>
              <w:t xml:space="preserve"> impact </w:t>
            </w:r>
            <w:r w:rsidR="00B92882" w:rsidRPr="00A05034">
              <w:rPr>
                <w:rFonts w:eastAsiaTheme="minorEastAsia"/>
                <w:sz w:val="24"/>
                <w:szCs w:val="24"/>
              </w:rPr>
              <w:t xml:space="preserve">on UI duration and employment vary across claimants from different work histories (i.e., </w:t>
            </w:r>
            <w:r w:rsidR="0096540F">
              <w:rPr>
                <w:rFonts w:eastAsiaTheme="minorEastAsia"/>
                <w:sz w:val="24"/>
                <w:szCs w:val="24"/>
              </w:rPr>
              <w:t>quarterly wages</w:t>
            </w:r>
            <w:r w:rsidR="00B92882" w:rsidRPr="00A05034">
              <w:rPr>
                <w:rFonts w:eastAsiaTheme="minorEastAsia"/>
                <w:sz w:val="24"/>
                <w:szCs w:val="24"/>
              </w:rPr>
              <w:t xml:space="preserve"> in prior </w:t>
            </w:r>
            <w:r w:rsidR="0096540F">
              <w:rPr>
                <w:rFonts w:eastAsiaTheme="minorEastAsia"/>
                <w:sz w:val="24"/>
                <w:szCs w:val="24"/>
              </w:rPr>
              <w:t>employment</w:t>
            </w:r>
            <w:r w:rsidR="00B92882" w:rsidRPr="00A05034">
              <w:rPr>
                <w:rFonts w:eastAsiaTheme="minorEastAsia"/>
                <w:sz w:val="24"/>
                <w:szCs w:val="24"/>
              </w:rPr>
              <w:t>) and profiling scores</w:t>
            </w:r>
            <w:r w:rsidR="00C67551">
              <w:rPr>
                <w:rFonts w:eastAsiaTheme="minorEastAsia"/>
                <w:sz w:val="24"/>
                <w:szCs w:val="24"/>
              </w:rPr>
              <w:t xml:space="preserve"> (representing likelihood to exhaust UI benefits)</w:t>
            </w:r>
            <w:r w:rsidR="00B92882" w:rsidRPr="00A05034">
              <w:rPr>
                <w:rFonts w:eastAsiaTheme="minorEastAsia"/>
                <w:sz w:val="24"/>
                <w:szCs w:val="24"/>
              </w:rPr>
              <w:t xml:space="preserve">? </w:t>
            </w:r>
          </w:p>
          <w:p w14:paraId="519DC981" w14:textId="0BB1954C" w:rsidR="000D44D9" w:rsidRDefault="447A0C35" w:rsidP="447A0C35">
            <w:pPr>
              <w:pStyle w:val="ListParagraph"/>
              <w:numPr>
                <w:ilvl w:val="2"/>
                <w:numId w:val="34"/>
              </w:numPr>
              <w:spacing w:line="320" w:lineRule="exact"/>
              <w:ind w:right="419"/>
              <w:rPr>
                <w:rFonts w:eastAsiaTheme="minorEastAsia"/>
                <w:sz w:val="24"/>
                <w:szCs w:val="24"/>
              </w:rPr>
            </w:pPr>
            <w:r w:rsidRPr="447A0C35">
              <w:rPr>
                <w:rFonts w:eastAsiaTheme="minorEastAsia"/>
                <w:sz w:val="24"/>
                <w:szCs w:val="24"/>
              </w:rPr>
              <w:t xml:space="preserve">Does the impact vary </w:t>
            </w:r>
            <w:r w:rsidR="00237482">
              <w:rPr>
                <w:rFonts w:eastAsiaTheme="minorEastAsia"/>
                <w:sz w:val="24"/>
                <w:szCs w:val="24"/>
              </w:rPr>
              <w:t>across counselors and according to</w:t>
            </w:r>
            <w:r w:rsidRPr="447A0C35">
              <w:rPr>
                <w:rFonts w:eastAsiaTheme="minorEastAsia"/>
                <w:sz w:val="24"/>
                <w:szCs w:val="24"/>
              </w:rPr>
              <w:t xml:space="preserve"> the gender concordance of RESEA counselors and UI claimants (i.e., matched vs discordant gender)? </w:t>
            </w:r>
          </w:p>
          <w:p w14:paraId="5B2C44D8" w14:textId="4992968D" w:rsidR="000D44D9" w:rsidRPr="000D44D9" w:rsidRDefault="002E24F3" w:rsidP="000D44D9">
            <w:pPr>
              <w:pStyle w:val="ListParagraph"/>
              <w:numPr>
                <w:ilvl w:val="2"/>
                <w:numId w:val="34"/>
              </w:numPr>
              <w:spacing w:line="320" w:lineRule="exact"/>
              <w:ind w:right="419"/>
              <w:rPr>
                <w:rFonts w:eastAsiaTheme="minorEastAsia"/>
                <w:sz w:val="24"/>
                <w:szCs w:val="24"/>
              </w:rPr>
            </w:pPr>
            <w:r w:rsidRPr="00A05034">
              <w:rPr>
                <w:rFonts w:eastAsiaTheme="minorEastAsia"/>
                <w:sz w:val="24"/>
                <w:szCs w:val="24"/>
              </w:rPr>
              <w:t>Do</w:t>
            </w:r>
            <w:r>
              <w:rPr>
                <w:rFonts w:eastAsiaTheme="minorEastAsia"/>
                <w:sz w:val="24"/>
                <w:szCs w:val="24"/>
              </w:rPr>
              <w:t>es the</w:t>
            </w:r>
            <w:r w:rsidRPr="00A05034">
              <w:rPr>
                <w:rFonts w:eastAsiaTheme="minorEastAsia"/>
                <w:sz w:val="24"/>
                <w:szCs w:val="24"/>
              </w:rPr>
              <w:t xml:space="preserve"> impact </w:t>
            </w:r>
            <w:r w:rsidR="5F46CCE0" w:rsidRPr="00A05034">
              <w:rPr>
                <w:rFonts w:eastAsiaTheme="minorEastAsia"/>
                <w:sz w:val="24"/>
                <w:szCs w:val="24"/>
              </w:rPr>
              <w:t xml:space="preserve">vary </w:t>
            </w:r>
            <w:r w:rsidR="00233120" w:rsidRPr="00A05034">
              <w:rPr>
                <w:rFonts w:eastAsiaTheme="minorEastAsia"/>
                <w:sz w:val="24"/>
                <w:szCs w:val="24"/>
              </w:rPr>
              <w:t>by industry-specific unemployment rates</w:t>
            </w:r>
            <w:r w:rsidR="5F46CCE0" w:rsidRPr="00A05034">
              <w:rPr>
                <w:rFonts w:eastAsiaTheme="minorEastAsia"/>
                <w:sz w:val="24"/>
                <w:szCs w:val="24"/>
              </w:rPr>
              <w:t xml:space="preserve">? </w:t>
            </w:r>
          </w:p>
          <w:p w14:paraId="051A38AE" w14:textId="77777777" w:rsidR="00B92882" w:rsidRDefault="00B92882" w:rsidP="00505BCB">
            <w:pPr>
              <w:rPr>
                <w:rFonts w:eastAsiaTheme="minorEastAsia"/>
              </w:rPr>
            </w:pPr>
          </w:p>
        </w:tc>
      </w:tr>
    </w:tbl>
    <w:p w14:paraId="5141FB00" w14:textId="77777777" w:rsidR="00300CC5" w:rsidRDefault="00300CC5" w:rsidP="00505BCB">
      <w:pPr>
        <w:spacing w:after="0" w:line="240" w:lineRule="auto"/>
        <w:rPr>
          <w:rFonts w:eastAsiaTheme="minorEastAsia"/>
        </w:rPr>
      </w:pPr>
    </w:p>
    <w:p w14:paraId="70627391" w14:textId="300AAA94" w:rsidR="005459E7" w:rsidRDefault="21216D90" w:rsidP="21216D90">
      <w:pPr>
        <w:spacing w:after="0" w:line="240" w:lineRule="auto"/>
        <w:rPr>
          <w:rFonts w:eastAsiaTheme="minorEastAsia"/>
        </w:rPr>
      </w:pPr>
      <w:r w:rsidRPr="21216D90">
        <w:rPr>
          <w:rFonts w:eastAsiaTheme="minorEastAsia"/>
        </w:rPr>
        <w:t xml:space="preserve">In addition to these questions </w:t>
      </w:r>
      <w:r w:rsidR="00B46557">
        <w:rPr>
          <w:rFonts w:eastAsiaTheme="minorEastAsia"/>
        </w:rPr>
        <w:t>on</w:t>
      </w:r>
      <w:r w:rsidRPr="21216D90">
        <w:rPr>
          <w:rFonts w:eastAsiaTheme="minorEastAsia"/>
        </w:rPr>
        <w:t xml:space="preserve"> the causal impact of RESEA, the evaluation will present descriptive findings to aid in a better understanding of the Utah RESEA program</w:t>
      </w:r>
      <w:r w:rsidR="00B46557">
        <w:rPr>
          <w:rFonts w:eastAsiaTheme="minorEastAsia"/>
        </w:rPr>
        <w:t xml:space="preserve"> and to situate the findings within the literature</w:t>
      </w:r>
      <w:r w:rsidRPr="21216D90">
        <w:rPr>
          <w:rFonts w:eastAsiaTheme="minorEastAsia"/>
        </w:rPr>
        <w:t xml:space="preserve">. For instance, as the timing of the RESEA program relative to </w:t>
      </w:r>
      <w:r w:rsidR="00B46557">
        <w:rPr>
          <w:rFonts w:eastAsiaTheme="minorEastAsia"/>
        </w:rPr>
        <w:t>initiating a</w:t>
      </w:r>
      <w:r w:rsidRPr="21216D90">
        <w:rPr>
          <w:rFonts w:eastAsiaTheme="minorEastAsia"/>
        </w:rPr>
        <w:t xml:space="preserve"> claim may influence </w:t>
      </w:r>
      <w:r w:rsidR="00B46557">
        <w:rPr>
          <w:rFonts w:eastAsiaTheme="minorEastAsia"/>
        </w:rPr>
        <w:t>the</w:t>
      </w:r>
      <w:r w:rsidRPr="21216D90">
        <w:rPr>
          <w:rFonts w:eastAsiaTheme="minorEastAsia"/>
        </w:rPr>
        <w:t xml:space="preserve"> impact, we will describe when claimants were notified of the requirement to participate in RESEA relative to the beginning of their UI benefit period, and</w:t>
      </w:r>
      <w:r w:rsidR="00B46557">
        <w:rPr>
          <w:rFonts w:eastAsiaTheme="minorEastAsia"/>
        </w:rPr>
        <w:t xml:space="preserve"> </w:t>
      </w:r>
      <w:r w:rsidRPr="21216D90">
        <w:rPr>
          <w:rFonts w:eastAsiaTheme="minorEastAsia"/>
        </w:rPr>
        <w:t xml:space="preserve">when the RESEA meeting occurred. Description of process-related outcomes also may help explain the program effect sizes relative to the impacts identified in prior evaluations and illuminate different mechanisms of action, and thus the evaluation will </w:t>
      </w:r>
      <w:r w:rsidR="00C67551">
        <w:rPr>
          <w:rFonts w:eastAsiaTheme="minorEastAsia"/>
        </w:rPr>
        <w:t>present</w:t>
      </w:r>
      <w:r w:rsidRPr="21216D90">
        <w:rPr>
          <w:rFonts w:eastAsiaTheme="minorEastAsia"/>
        </w:rPr>
        <w:t xml:space="preserve"> </w:t>
      </w:r>
      <w:r w:rsidR="00C67551">
        <w:rPr>
          <w:rFonts w:eastAsiaTheme="minorEastAsia"/>
        </w:rPr>
        <w:t xml:space="preserve">rates for </w:t>
      </w:r>
      <w:r w:rsidRPr="21216D90">
        <w:rPr>
          <w:rFonts w:eastAsiaTheme="minorEastAsia"/>
        </w:rPr>
        <w:t>multiple process-related outcomes (failure</w:t>
      </w:r>
      <w:r w:rsidR="00B46557">
        <w:rPr>
          <w:rFonts w:eastAsiaTheme="minorEastAsia"/>
        </w:rPr>
        <w:t>-</w:t>
      </w:r>
      <w:r w:rsidRPr="21216D90">
        <w:rPr>
          <w:rFonts w:eastAsiaTheme="minorEastAsia"/>
        </w:rPr>
        <w:t>to</w:t>
      </w:r>
      <w:r w:rsidR="00B46557">
        <w:rPr>
          <w:rFonts w:eastAsiaTheme="minorEastAsia"/>
        </w:rPr>
        <w:t>-schedule and failure-to-attend</w:t>
      </w:r>
      <w:r w:rsidRPr="21216D90">
        <w:rPr>
          <w:rFonts w:eastAsiaTheme="minorEastAsia"/>
        </w:rPr>
        <w:t xml:space="preserve">, </w:t>
      </w:r>
      <w:r w:rsidR="00B46557">
        <w:rPr>
          <w:rFonts w:eastAsiaTheme="minorEastAsia"/>
        </w:rPr>
        <w:t xml:space="preserve">filed </w:t>
      </w:r>
      <w:r w:rsidRPr="21216D90">
        <w:rPr>
          <w:rFonts w:eastAsiaTheme="minorEastAsia"/>
        </w:rPr>
        <w:t>claims not paid, identification of eligibility issues, use of reemployment services).</w:t>
      </w:r>
      <w:r w:rsidR="00B46557">
        <w:rPr>
          <w:rFonts w:eastAsiaTheme="minorEastAsia"/>
        </w:rPr>
        <w:t xml:space="preserve"> </w:t>
      </w:r>
    </w:p>
    <w:p w14:paraId="563F9635" w14:textId="77777777" w:rsidR="005459E7" w:rsidRDefault="005459E7" w:rsidP="21216D90">
      <w:pPr>
        <w:spacing w:after="0" w:line="240" w:lineRule="auto"/>
        <w:rPr>
          <w:rFonts w:eastAsiaTheme="minorEastAsia"/>
        </w:rPr>
      </w:pPr>
    </w:p>
    <w:p w14:paraId="0782E86D" w14:textId="1DD4DD65" w:rsidR="00D764C0" w:rsidRPr="00C55523" w:rsidRDefault="005459E7" w:rsidP="21216D90">
      <w:pPr>
        <w:spacing w:after="0" w:line="240" w:lineRule="auto"/>
        <w:rPr>
          <w:rFonts w:eastAsiaTheme="minorEastAsia"/>
        </w:rPr>
      </w:pPr>
      <w:r>
        <w:rPr>
          <w:rFonts w:eastAsiaTheme="minorEastAsia"/>
        </w:rPr>
        <w:t>A</w:t>
      </w:r>
      <w:r w:rsidR="00B46557">
        <w:rPr>
          <w:rFonts w:eastAsiaTheme="minorEastAsia"/>
        </w:rPr>
        <w:t xml:space="preserve"> mixed-methods process evaluation will be completed during approximately the first year of the</w:t>
      </w:r>
      <w:r>
        <w:rPr>
          <w:rFonts w:eastAsiaTheme="minorEastAsia"/>
        </w:rPr>
        <w:t xml:space="preserve"> evaluation</w:t>
      </w:r>
      <w:r w:rsidR="000552F8">
        <w:rPr>
          <w:rFonts w:eastAsiaTheme="minorEastAsia"/>
        </w:rPr>
        <w:t xml:space="preserve">. The process evaluation goals will include: </w:t>
      </w:r>
      <w:r>
        <w:rPr>
          <w:rFonts w:eastAsiaTheme="minorEastAsia"/>
        </w:rPr>
        <w:t>describ</w:t>
      </w:r>
      <w:r w:rsidR="000552F8">
        <w:rPr>
          <w:rFonts w:eastAsiaTheme="minorEastAsia"/>
        </w:rPr>
        <w:t>ing</w:t>
      </w:r>
      <w:r>
        <w:rPr>
          <w:rFonts w:eastAsiaTheme="minorEastAsia"/>
        </w:rPr>
        <w:t xml:space="preserve"> a </w:t>
      </w:r>
      <w:r w:rsidR="000552F8">
        <w:rPr>
          <w:rFonts w:eastAsiaTheme="minorEastAsia"/>
        </w:rPr>
        <w:t>thorough</w:t>
      </w:r>
      <w:r>
        <w:rPr>
          <w:rFonts w:eastAsiaTheme="minorEastAsia"/>
        </w:rPr>
        <w:t xml:space="preserve"> set of process-related outcomes, compar</w:t>
      </w:r>
      <w:r w:rsidR="000552F8">
        <w:rPr>
          <w:rFonts w:eastAsiaTheme="minorEastAsia"/>
        </w:rPr>
        <w:t>ing</w:t>
      </w:r>
      <w:r>
        <w:rPr>
          <w:rFonts w:eastAsiaTheme="minorEastAsia"/>
        </w:rPr>
        <w:t xml:space="preserve"> </w:t>
      </w:r>
      <w:r w:rsidR="000552F8">
        <w:rPr>
          <w:rFonts w:eastAsiaTheme="minorEastAsia"/>
        </w:rPr>
        <w:t>process</w:t>
      </w:r>
      <w:r>
        <w:rPr>
          <w:rFonts w:eastAsiaTheme="minorEastAsia"/>
        </w:rPr>
        <w:t xml:space="preserve"> outcomes among claimants assigned to RESEA relative to the control group,</w:t>
      </w:r>
      <w:r w:rsidR="000552F8">
        <w:rPr>
          <w:rFonts w:eastAsiaTheme="minorEastAsia"/>
        </w:rPr>
        <w:t xml:space="preserve"> examining </w:t>
      </w:r>
      <w:r>
        <w:rPr>
          <w:rFonts w:eastAsiaTheme="minorEastAsia"/>
        </w:rPr>
        <w:t xml:space="preserve">reasons for non-participation </w:t>
      </w:r>
      <w:r w:rsidR="000552F8">
        <w:rPr>
          <w:rFonts w:eastAsiaTheme="minorEastAsia"/>
        </w:rPr>
        <w:t xml:space="preserve">in RESEA, reporting </w:t>
      </w:r>
      <w:r>
        <w:rPr>
          <w:rFonts w:eastAsiaTheme="minorEastAsia"/>
        </w:rPr>
        <w:t>differential participation as a function of claimant socio-demographic characteristics, and describ</w:t>
      </w:r>
      <w:r w:rsidR="000552F8">
        <w:rPr>
          <w:rFonts w:eastAsiaTheme="minorEastAsia"/>
        </w:rPr>
        <w:t xml:space="preserve">ing the implementation of the RESEA program </w:t>
      </w:r>
      <w:r w:rsidR="000552F8">
        <w:rPr>
          <w:rFonts w:eastAsiaTheme="minorEastAsia"/>
        </w:rPr>
        <w:lastRenderedPageBreak/>
        <w:t>in detail, such as strategies for dealing with eligibility issues, variation in the RESEA meeting structure and content, and how counselors tailor information. The findings from the process evaluation will inform the interpretation of the impact evaluation, and some methods described therein (particularly that rely on administrative date) may be included in the impact evaluation. A report describing the process evaluation is expected to be finalized by early November</w:t>
      </w:r>
      <w:r w:rsidR="00C67551">
        <w:rPr>
          <w:rFonts w:eastAsiaTheme="minorEastAsia"/>
        </w:rPr>
        <w:t xml:space="preserve"> 2023</w:t>
      </w:r>
      <w:r w:rsidR="000552F8">
        <w:rPr>
          <w:rFonts w:eastAsiaTheme="minorEastAsia"/>
        </w:rPr>
        <w:t xml:space="preserve">. </w:t>
      </w:r>
      <w:r>
        <w:rPr>
          <w:rFonts w:eastAsiaTheme="minorEastAsia"/>
        </w:rPr>
        <w:t xml:space="preserve"> </w:t>
      </w:r>
      <w:r w:rsidR="00B46557">
        <w:rPr>
          <w:rFonts w:eastAsiaTheme="minorEastAsia"/>
        </w:rPr>
        <w:t xml:space="preserve"> </w:t>
      </w:r>
    </w:p>
    <w:p w14:paraId="4C7C602F" w14:textId="77777777" w:rsidR="00505BCB" w:rsidRPr="00C55523" w:rsidRDefault="00505BCB" w:rsidP="00505BCB">
      <w:pPr>
        <w:spacing w:after="0" w:line="240" w:lineRule="auto"/>
        <w:rPr>
          <w:rFonts w:eastAsiaTheme="minorEastAsia"/>
          <w:highlight w:val="yellow"/>
          <w:shd w:val="clear" w:color="auto" w:fill="FFFFFF"/>
        </w:rPr>
      </w:pPr>
    </w:p>
    <w:p w14:paraId="56514D94" w14:textId="77777777" w:rsidR="00505BCB" w:rsidRPr="00C55523" w:rsidRDefault="00505BCB" w:rsidP="6018DC8B">
      <w:pPr>
        <w:spacing w:after="0" w:line="240" w:lineRule="auto"/>
        <w:rPr>
          <w:rFonts w:eastAsiaTheme="minorEastAsia"/>
        </w:rPr>
      </w:pPr>
    </w:p>
    <w:p w14:paraId="74DA9ED6" w14:textId="4F336619" w:rsidR="009652B1" w:rsidRPr="00300CC5" w:rsidRDefault="002F4957" w:rsidP="00451B0D">
      <w:pPr>
        <w:pStyle w:val="Heading2"/>
        <w:rPr>
          <w:rFonts w:eastAsiaTheme="minorEastAsia"/>
          <w:shd w:val="clear" w:color="auto" w:fill="FFFFFF"/>
        </w:rPr>
      </w:pPr>
      <w:r>
        <w:rPr>
          <w:rFonts w:eastAsiaTheme="minorEastAsia"/>
          <w:shd w:val="clear" w:color="auto" w:fill="FFFFFF"/>
        </w:rPr>
        <w:t xml:space="preserve">2.2 </w:t>
      </w:r>
      <w:r w:rsidR="00EB3B14">
        <w:rPr>
          <w:rFonts w:eastAsiaTheme="minorEastAsia"/>
          <w:shd w:val="clear" w:color="auto" w:fill="FFFFFF"/>
        </w:rPr>
        <w:t>Evaluation</w:t>
      </w:r>
      <w:r w:rsidR="009652B1" w:rsidRPr="00300CC5">
        <w:rPr>
          <w:rFonts w:eastAsiaTheme="minorEastAsia"/>
          <w:shd w:val="clear" w:color="auto" w:fill="FFFFFF"/>
        </w:rPr>
        <w:t xml:space="preserve"> Sample</w:t>
      </w:r>
    </w:p>
    <w:p w14:paraId="4BBFE0B4" w14:textId="69AEA811" w:rsidR="00F5291D" w:rsidRPr="00C55523" w:rsidRDefault="00F5291D" w:rsidP="002352C7">
      <w:pPr>
        <w:spacing w:after="0" w:line="240" w:lineRule="auto"/>
        <w:rPr>
          <w:rFonts w:eastAsiaTheme="minorEastAsia"/>
          <w:bCs/>
          <w:iCs/>
          <w:shd w:val="clear" w:color="auto" w:fill="FFFFFF"/>
        </w:rPr>
      </w:pPr>
    </w:p>
    <w:p w14:paraId="60AB3F35" w14:textId="1C3CEC44" w:rsidR="00ED5DCA" w:rsidRDefault="1A97401A" w:rsidP="1A97401A">
      <w:pPr>
        <w:spacing w:after="0" w:line="240" w:lineRule="auto"/>
        <w:rPr>
          <w:rFonts w:eastAsiaTheme="minorEastAsia"/>
        </w:rPr>
      </w:pPr>
      <w:r w:rsidRPr="1A97401A">
        <w:rPr>
          <w:rFonts w:eastAsiaTheme="minorEastAsia"/>
        </w:rPr>
        <w:t xml:space="preserve">The RESEA program is currently administered statewide, with consistent selection requirements across the state. The evaluation will be conducted using the regular, statewide pool of UI claimants who are eligible for the RESEA program. RESEA program eligibility criteria include receipt of at least one UI payment and no job deferral. </w:t>
      </w:r>
      <w:bookmarkStart w:id="2" w:name="_Hlk146631649"/>
      <w:r w:rsidRPr="1A97401A">
        <w:rPr>
          <w:rFonts w:eastAsiaTheme="minorEastAsia"/>
        </w:rPr>
        <w:t>As an additional criterion for the evaluation, only claimants scoring in the 1</w:t>
      </w:r>
      <w:r w:rsidRPr="1A97401A">
        <w:rPr>
          <w:rFonts w:eastAsiaTheme="minorEastAsia"/>
          <w:vertAlign w:val="superscript"/>
        </w:rPr>
        <w:t>st</w:t>
      </w:r>
      <w:r w:rsidRPr="1A97401A">
        <w:rPr>
          <w:rFonts w:eastAsiaTheme="minorEastAsia"/>
        </w:rPr>
        <w:t xml:space="preserve"> through 90</w:t>
      </w:r>
      <w:r w:rsidRPr="1A97401A">
        <w:rPr>
          <w:rFonts w:eastAsiaTheme="minorEastAsia"/>
          <w:vertAlign w:val="superscript"/>
        </w:rPr>
        <w:t>th</w:t>
      </w:r>
      <w:r w:rsidRPr="1A97401A">
        <w:rPr>
          <w:rFonts w:eastAsiaTheme="minorEastAsia"/>
        </w:rPr>
        <w:t xml:space="preserve"> percentile for likelihood to exhaust UI benefits will be eligible for randomization. </w:t>
      </w:r>
      <w:bookmarkStart w:id="3" w:name="_Hlk146631627"/>
      <w:bookmarkEnd w:id="2"/>
      <w:r w:rsidRPr="1A97401A">
        <w:rPr>
          <w:rFonts w:eastAsiaTheme="minorEastAsia"/>
        </w:rPr>
        <w:t xml:space="preserve">Claimants with the </w:t>
      </w:r>
      <w:r w:rsidR="00625DC1">
        <w:rPr>
          <w:rFonts w:eastAsiaTheme="minorEastAsia"/>
        </w:rPr>
        <w:t>top</w:t>
      </w:r>
      <w:r w:rsidRPr="1A97401A">
        <w:rPr>
          <w:rFonts w:eastAsiaTheme="minorEastAsia"/>
        </w:rPr>
        <w:t xml:space="preserve"> decile of profiling scores for exhausting UI benefits will be assigned to RESEA and excluded from the evaluation; this ensures DWS UI</w:t>
      </w:r>
      <w:r w:rsidR="00625DC1">
        <w:rPr>
          <w:rFonts w:eastAsiaTheme="minorEastAsia"/>
        </w:rPr>
        <w:t xml:space="preserve"> can continue to prioritize the inclusion of claimants with the highest likelihood to exhaust benefits</w:t>
      </w:r>
      <w:r w:rsidRPr="1A97401A">
        <w:rPr>
          <w:rFonts w:eastAsiaTheme="minorEastAsia"/>
        </w:rPr>
        <w:t xml:space="preserve">. A consistent cut point will be used across the evaluation representing the top decile of profiling scores, with the specific score selected based on recent UI claims from a newly updated profiling model. In particular, a score of 0.40631 or higher will be used as an exclusion criterion to identify claimants likely to exhaust UI benefits. </w:t>
      </w:r>
      <w:r w:rsidRPr="1A97401A">
        <w:rPr>
          <w:rFonts w:eastAsiaTheme="minorEastAsia"/>
          <w:b/>
          <w:bCs/>
        </w:rPr>
        <w:t>Thus, all RESEA-eligible claimants with a profiling score of less than 0.40631 will be eligible for the evaluation.</w:t>
      </w:r>
      <w:r w:rsidRPr="1A97401A">
        <w:rPr>
          <w:rFonts w:eastAsiaTheme="minorEastAsia"/>
        </w:rPr>
        <w:t xml:space="preserve"> </w:t>
      </w:r>
      <w:bookmarkEnd w:id="3"/>
    </w:p>
    <w:p w14:paraId="5EF3A6A7" w14:textId="77777777" w:rsidR="00ED5DCA" w:rsidRDefault="00ED5DCA" w:rsidP="447A0C35">
      <w:pPr>
        <w:spacing w:after="0" w:line="240" w:lineRule="auto"/>
        <w:rPr>
          <w:rFonts w:eastAsiaTheme="minorEastAsia"/>
        </w:rPr>
      </w:pPr>
    </w:p>
    <w:p w14:paraId="15AA7718" w14:textId="0CAE3652" w:rsidR="006B2343" w:rsidRDefault="006B2343" w:rsidP="447A0C35">
      <w:pPr>
        <w:spacing w:after="0" w:line="240" w:lineRule="auto"/>
        <w:rPr>
          <w:rFonts w:eastAsiaTheme="minorEastAsia"/>
        </w:rPr>
      </w:pPr>
      <w:r w:rsidRPr="447A0C35">
        <w:rPr>
          <w:rFonts w:eastAsiaTheme="minorEastAsia"/>
        </w:rPr>
        <w:t xml:space="preserve">Figure 2 </w:t>
      </w:r>
      <w:r w:rsidR="000552F8">
        <w:rPr>
          <w:rFonts w:eastAsiaTheme="minorEastAsia"/>
        </w:rPr>
        <w:t xml:space="preserve">depicts a flow diagram </w:t>
      </w:r>
      <w:r w:rsidRPr="447A0C35">
        <w:rPr>
          <w:rFonts w:eastAsiaTheme="minorEastAsia"/>
        </w:rPr>
        <w:t>that illustrates the timing of events influencing eligibility,</w:t>
      </w:r>
      <w:r>
        <w:rPr>
          <w:rFonts w:eastAsiaTheme="minorEastAsia"/>
        </w:rPr>
        <w:t xml:space="preserve"> the</w:t>
      </w:r>
      <w:r w:rsidRPr="447A0C35">
        <w:rPr>
          <w:rFonts w:eastAsiaTheme="minorEastAsia"/>
        </w:rPr>
        <w:t xml:space="preserve"> randomization procedures, and comparison of the treatment and control groups.</w:t>
      </w:r>
      <w:r w:rsidR="00ED5DCA">
        <w:rPr>
          <w:rFonts w:eastAsiaTheme="minorEastAsia"/>
        </w:rPr>
        <w:t xml:space="preserve"> </w:t>
      </w:r>
      <w:bookmarkStart w:id="4" w:name="_Hlk146724480"/>
      <w:r w:rsidR="007B4DB0" w:rsidRPr="003178AF">
        <w:rPr>
          <w:rFonts w:eastAsiaTheme="minorEastAsia"/>
          <w:b/>
        </w:rPr>
        <w:t>The randomization will involve two steps:</w:t>
      </w:r>
      <w:r w:rsidR="004B0706" w:rsidRPr="003178AF">
        <w:rPr>
          <w:rFonts w:eastAsiaTheme="minorEastAsia"/>
          <w:b/>
        </w:rPr>
        <w:t xml:space="preserve"> (1)</w:t>
      </w:r>
      <w:r w:rsidR="007B4DB0" w:rsidRPr="003178AF">
        <w:rPr>
          <w:rFonts w:eastAsiaTheme="minorEastAsia"/>
          <w:b/>
        </w:rPr>
        <w:t xml:space="preserve"> random selection of claimants</w:t>
      </w:r>
      <w:r w:rsidR="000F59D4" w:rsidRPr="003178AF">
        <w:rPr>
          <w:rFonts w:eastAsiaTheme="minorEastAsia"/>
          <w:b/>
        </w:rPr>
        <w:t xml:space="preserve"> for the evaluation</w:t>
      </w:r>
      <w:r w:rsidR="004B0706" w:rsidRPr="003178AF">
        <w:rPr>
          <w:rFonts w:eastAsiaTheme="minorEastAsia"/>
          <w:b/>
        </w:rPr>
        <w:t xml:space="preserve"> from the pool of evaluation-eligible claimants</w:t>
      </w:r>
      <w:r w:rsidR="000F59D4" w:rsidRPr="003178AF">
        <w:rPr>
          <w:rFonts w:eastAsiaTheme="minorEastAsia"/>
          <w:b/>
        </w:rPr>
        <w:t>,</w:t>
      </w:r>
      <w:r w:rsidR="007B4DB0" w:rsidRPr="003178AF">
        <w:rPr>
          <w:rFonts w:eastAsiaTheme="minorEastAsia"/>
          <w:b/>
        </w:rPr>
        <w:t xml:space="preserve"> and </w:t>
      </w:r>
      <w:r w:rsidR="004B0706" w:rsidRPr="003178AF">
        <w:rPr>
          <w:rFonts w:eastAsiaTheme="minorEastAsia"/>
          <w:b/>
        </w:rPr>
        <w:t xml:space="preserve">(2) </w:t>
      </w:r>
      <w:r w:rsidR="007B4DB0" w:rsidRPr="003178AF">
        <w:rPr>
          <w:rFonts w:eastAsiaTheme="minorEastAsia"/>
          <w:b/>
        </w:rPr>
        <w:t xml:space="preserve">randomization into the RESEA program or control </w:t>
      </w:r>
      <w:r w:rsidR="000F59D4" w:rsidRPr="003178AF">
        <w:rPr>
          <w:rFonts w:eastAsiaTheme="minorEastAsia"/>
          <w:b/>
        </w:rPr>
        <w:t>condition.</w:t>
      </w:r>
      <w:r w:rsidR="000F59D4">
        <w:rPr>
          <w:rFonts w:eastAsiaTheme="minorEastAsia"/>
        </w:rPr>
        <w:t xml:space="preserve"> </w:t>
      </w:r>
      <w:bookmarkEnd w:id="4"/>
    </w:p>
    <w:p w14:paraId="044494F3" w14:textId="77777777" w:rsidR="006B2343" w:rsidRDefault="006B2343" w:rsidP="447A0C35">
      <w:pPr>
        <w:spacing w:after="0" w:line="240" w:lineRule="auto"/>
        <w:rPr>
          <w:rFonts w:eastAsiaTheme="minorEastAsia"/>
        </w:rPr>
      </w:pPr>
    </w:p>
    <w:p w14:paraId="2D1FB620" w14:textId="7F1F045C" w:rsidR="00E160DF" w:rsidRDefault="004B0706" w:rsidP="00E160DF">
      <w:pPr>
        <w:spacing w:after="0" w:line="240" w:lineRule="auto"/>
        <w:rPr>
          <w:rStyle w:val="markedcontent"/>
          <w:rFonts w:eastAsiaTheme="minorEastAsia"/>
          <w:shd w:val="clear" w:color="auto" w:fill="FFFFFF"/>
        </w:rPr>
      </w:pPr>
      <w:bookmarkStart w:id="5" w:name="_Hlk146631726"/>
      <w:r>
        <w:rPr>
          <w:rFonts w:eastAsiaTheme="minorEastAsia"/>
        </w:rPr>
        <w:t>S</w:t>
      </w:r>
      <w:r w:rsidR="000F59D4">
        <w:rPr>
          <w:rFonts w:eastAsiaTheme="minorEastAsia"/>
        </w:rPr>
        <w:t>electi</w:t>
      </w:r>
      <w:r w:rsidR="008961F3">
        <w:rPr>
          <w:rFonts w:eastAsiaTheme="minorEastAsia"/>
        </w:rPr>
        <w:t>ng a subset</w:t>
      </w:r>
      <w:r w:rsidR="000F59D4">
        <w:rPr>
          <w:rFonts w:eastAsiaTheme="minorEastAsia"/>
        </w:rPr>
        <w:t xml:space="preserve"> of </w:t>
      </w:r>
      <w:r w:rsidR="008961F3">
        <w:rPr>
          <w:rFonts w:eastAsiaTheme="minorEastAsia"/>
        </w:rPr>
        <w:t xml:space="preserve">all eligible </w:t>
      </w:r>
      <w:r w:rsidR="000F59D4">
        <w:rPr>
          <w:rFonts w:eastAsiaTheme="minorEastAsia"/>
        </w:rPr>
        <w:t xml:space="preserve">claimants </w:t>
      </w:r>
      <w:r w:rsidR="00442D27">
        <w:rPr>
          <w:rFonts w:eastAsiaTheme="minorEastAsia"/>
        </w:rPr>
        <w:t>for</w:t>
      </w:r>
      <w:r w:rsidR="000F59D4">
        <w:rPr>
          <w:rFonts w:eastAsiaTheme="minorEastAsia"/>
        </w:rPr>
        <w:t xml:space="preserve"> the evaluation</w:t>
      </w:r>
      <w:r>
        <w:rPr>
          <w:rFonts w:eastAsiaTheme="minorEastAsia"/>
        </w:rPr>
        <w:t>—where the number selected change</w:t>
      </w:r>
      <w:r w:rsidR="00F140C4">
        <w:rPr>
          <w:rFonts w:eastAsiaTheme="minorEastAsia"/>
        </w:rPr>
        <w:t>s</w:t>
      </w:r>
      <w:r>
        <w:rPr>
          <w:rFonts w:eastAsiaTheme="minorEastAsia"/>
        </w:rPr>
        <w:t xml:space="preserve"> on a weekly basis according to </w:t>
      </w:r>
      <w:r w:rsidR="008961F3">
        <w:rPr>
          <w:rFonts w:eastAsiaTheme="minorEastAsia"/>
        </w:rPr>
        <w:t>RESEA</w:t>
      </w:r>
      <w:r w:rsidR="003178AF">
        <w:rPr>
          <w:rFonts w:eastAsiaTheme="minorEastAsia"/>
        </w:rPr>
        <w:t xml:space="preserve"> staff </w:t>
      </w:r>
      <w:r>
        <w:rPr>
          <w:rFonts w:eastAsiaTheme="minorEastAsia"/>
        </w:rPr>
        <w:t>capacity</w:t>
      </w:r>
      <w:r w:rsidR="009A5A61">
        <w:rPr>
          <w:rFonts w:eastAsiaTheme="minorEastAsia"/>
        </w:rPr>
        <w:t>, as determined by DWS UI</w:t>
      </w:r>
      <w:r>
        <w:rPr>
          <w:rFonts w:eastAsiaTheme="minorEastAsia"/>
        </w:rPr>
        <w:t>—ensures that</w:t>
      </w:r>
      <w:r w:rsidR="000F59D4">
        <w:rPr>
          <w:rFonts w:eastAsiaTheme="minorEastAsia"/>
        </w:rPr>
        <w:t xml:space="preserve"> the RESEA program</w:t>
      </w:r>
      <w:r w:rsidR="008961F3">
        <w:rPr>
          <w:rFonts w:eastAsiaTheme="minorEastAsia"/>
        </w:rPr>
        <w:t xml:space="preserve"> can be offered</w:t>
      </w:r>
      <w:r w:rsidR="000F59D4">
        <w:rPr>
          <w:rFonts w:eastAsiaTheme="minorEastAsia"/>
        </w:rPr>
        <w:t xml:space="preserve"> to</w:t>
      </w:r>
      <w:r w:rsidR="003178AF">
        <w:rPr>
          <w:rFonts w:eastAsiaTheme="minorEastAsia"/>
        </w:rPr>
        <w:t xml:space="preserve"> all</w:t>
      </w:r>
      <w:r w:rsidR="000F59D4">
        <w:rPr>
          <w:rFonts w:eastAsiaTheme="minorEastAsia"/>
        </w:rPr>
        <w:t xml:space="preserve"> RESEA-assigned claimants. </w:t>
      </w:r>
      <w:r w:rsidR="003178AF">
        <w:rPr>
          <w:rFonts w:eastAsiaTheme="minorEastAsia"/>
        </w:rPr>
        <w:t>This is necessary as t</w:t>
      </w:r>
      <w:r w:rsidR="003178AF" w:rsidRPr="447A0C35">
        <w:rPr>
          <w:rFonts w:eastAsiaTheme="minorEastAsia"/>
        </w:rPr>
        <w:t xml:space="preserve">he size of the UI claimant pool is likely to vary across the </w:t>
      </w:r>
      <w:r w:rsidR="003178AF">
        <w:rPr>
          <w:rFonts w:eastAsiaTheme="minorEastAsia"/>
        </w:rPr>
        <w:t>evaluation</w:t>
      </w:r>
      <w:r w:rsidR="003178AF" w:rsidRPr="447A0C35">
        <w:rPr>
          <w:rFonts w:eastAsiaTheme="minorEastAsia"/>
        </w:rPr>
        <w:t xml:space="preserve"> period</w:t>
      </w:r>
      <w:r w:rsidR="006B2343">
        <w:rPr>
          <w:rFonts w:eastAsiaTheme="minorEastAsia"/>
        </w:rPr>
        <w:t xml:space="preserve"> (e.g.,</w:t>
      </w:r>
      <w:r w:rsidR="003178AF" w:rsidRPr="447A0C35">
        <w:rPr>
          <w:rFonts w:eastAsiaTheme="minorEastAsia"/>
        </w:rPr>
        <w:t xml:space="preserve"> as a result of seasonal jobs or changes in the unemployment rat</w:t>
      </w:r>
      <w:r w:rsidR="006B2343">
        <w:rPr>
          <w:rFonts w:eastAsiaTheme="minorEastAsia"/>
        </w:rPr>
        <w:t>e), with</w:t>
      </w:r>
      <w:r w:rsidR="008961F3">
        <w:rPr>
          <w:rFonts w:eastAsiaTheme="minorEastAsia"/>
        </w:rPr>
        <w:t xml:space="preserve"> the potential that</w:t>
      </w:r>
      <w:r w:rsidR="006B2343">
        <w:rPr>
          <w:rFonts w:eastAsiaTheme="minorEastAsia"/>
        </w:rPr>
        <w:t xml:space="preserve"> an elevated</w:t>
      </w:r>
      <w:r w:rsidR="003178AF" w:rsidRPr="447A0C35">
        <w:rPr>
          <w:rFonts w:eastAsiaTheme="minorEastAsia"/>
        </w:rPr>
        <w:t xml:space="preserve"> number of UI claimants </w:t>
      </w:r>
      <w:r w:rsidR="008961F3">
        <w:rPr>
          <w:rFonts w:eastAsiaTheme="minorEastAsia"/>
        </w:rPr>
        <w:t xml:space="preserve">would </w:t>
      </w:r>
      <w:r w:rsidR="006B2343">
        <w:rPr>
          <w:rFonts w:eastAsiaTheme="minorEastAsia"/>
        </w:rPr>
        <w:t>otherwise exc</w:t>
      </w:r>
      <w:r w:rsidR="008961F3">
        <w:rPr>
          <w:rFonts w:eastAsiaTheme="minorEastAsia"/>
        </w:rPr>
        <w:t>e</w:t>
      </w:r>
      <w:r w:rsidR="006B2343">
        <w:rPr>
          <w:rFonts w:eastAsiaTheme="minorEastAsia"/>
        </w:rPr>
        <w:t xml:space="preserve">ed </w:t>
      </w:r>
      <w:r w:rsidR="003178AF" w:rsidRPr="447A0C35">
        <w:rPr>
          <w:rFonts w:eastAsiaTheme="minorEastAsia"/>
        </w:rPr>
        <w:t xml:space="preserve">the capacity of DWS UI </w:t>
      </w:r>
      <w:r w:rsidR="006B2343">
        <w:rPr>
          <w:rFonts w:eastAsiaTheme="minorEastAsia"/>
        </w:rPr>
        <w:t xml:space="preserve">to </w:t>
      </w:r>
      <w:r w:rsidR="00ED5DCA">
        <w:rPr>
          <w:rFonts w:eastAsiaTheme="minorEastAsia"/>
        </w:rPr>
        <w:t>meet the scheduling and service delivery needs of</w:t>
      </w:r>
      <w:r w:rsidR="006B2343">
        <w:rPr>
          <w:rFonts w:eastAsiaTheme="minorEastAsia"/>
        </w:rPr>
        <w:t xml:space="preserve"> all RESEA-assigned claimants. Claimants not selected </w:t>
      </w:r>
      <w:r w:rsidR="00F140C4">
        <w:rPr>
          <w:rFonts w:eastAsiaTheme="minorEastAsia"/>
        </w:rPr>
        <w:t xml:space="preserve">for the evaluation in a given week will remain eligible for selection in the following two weeks (i.e., </w:t>
      </w:r>
      <w:r w:rsidR="00F140C4">
        <w:rPr>
          <w:rStyle w:val="markedcontent"/>
          <w:rFonts w:eastAsiaTheme="minorEastAsia"/>
          <w:shd w:val="clear" w:color="auto" w:fill="FFFFFF"/>
        </w:rPr>
        <w:t xml:space="preserve">for three weeks </w:t>
      </w:r>
      <w:r w:rsidR="008961F3">
        <w:rPr>
          <w:rStyle w:val="markedcontent"/>
          <w:rFonts w:eastAsiaTheme="minorEastAsia"/>
          <w:shd w:val="clear" w:color="auto" w:fill="FFFFFF"/>
        </w:rPr>
        <w:t xml:space="preserve">total </w:t>
      </w:r>
      <w:r w:rsidR="00F140C4">
        <w:rPr>
          <w:rStyle w:val="markedcontent"/>
          <w:rFonts w:eastAsiaTheme="minorEastAsia"/>
          <w:shd w:val="clear" w:color="auto" w:fill="FFFFFF"/>
        </w:rPr>
        <w:t xml:space="preserve">after eligibility is established). If not selected for the evaluation within the three-week period, </w:t>
      </w:r>
      <w:r w:rsidR="00F140C4" w:rsidRPr="03E49E09">
        <w:rPr>
          <w:rStyle w:val="markedcontent"/>
          <w:rFonts w:eastAsiaTheme="minorEastAsia"/>
          <w:shd w:val="clear" w:color="auto" w:fill="FFFFFF"/>
        </w:rPr>
        <w:t xml:space="preserve">claimants </w:t>
      </w:r>
      <w:r w:rsidR="00F140C4">
        <w:rPr>
          <w:rStyle w:val="markedcontent"/>
          <w:rFonts w:eastAsiaTheme="minorEastAsia"/>
          <w:shd w:val="clear" w:color="auto" w:fill="FFFFFF"/>
        </w:rPr>
        <w:t>will</w:t>
      </w:r>
      <w:r w:rsidR="00F140C4" w:rsidRPr="03E49E09">
        <w:rPr>
          <w:rStyle w:val="markedcontent"/>
          <w:rFonts w:eastAsiaTheme="minorEastAsia"/>
          <w:shd w:val="clear" w:color="auto" w:fill="FFFFFF"/>
        </w:rPr>
        <w:t xml:space="preserve"> be </w:t>
      </w:r>
      <w:r w:rsidR="00F140C4">
        <w:rPr>
          <w:rStyle w:val="markedcontent"/>
          <w:rFonts w:eastAsiaTheme="minorEastAsia"/>
          <w:shd w:val="clear" w:color="auto" w:fill="FFFFFF"/>
        </w:rPr>
        <w:t>excluded from the evaluation. Note, that these excluded c</w:t>
      </w:r>
      <w:r w:rsidR="00F140C4" w:rsidRPr="03E49E09">
        <w:rPr>
          <w:rStyle w:val="markedcontent"/>
          <w:rFonts w:eastAsiaTheme="minorEastAsia"/>
          <w:shd w:val="clear" w:color="auto" w:fill="FFFFFF"/>
        </w:rPr>
        <w:t xml:space="preserve">laimants </w:t>
      </w:r>
      <w:r w:rsidR="00F140C4">
        <w:rPr>
          <w:rStyle w:val="markedcontent"/>
          <w:rFonts w:eastAsiaTheme="minorEastAsia"/>
          <w:shd w:val="clear" w:color="auto" w:fill="FFFFFF"/>
        </w:rPr>
        <w:t>could still be selected for t</w:t>
      </w:r>
      <w:r w:rsidR="00F140C4" w:rsidRPr="03E49E09">
        <w:rPr>
          <w:rStyle w:val="markedcontent"/>
          <w:rFonts w:eastAsiaTheme="minorEastAsia"/>
          <w:shd w:val="clear" w:color="auto" w:fill="FFFFFF"/>
        </w:rPr>
        <w:t>he RESEA program</w:t>
      </w:r>
      <w:r w:rsidR="00F140C4">
        <w:rPr>
          <w:rStyle w:val="markedcontent"/>
          <w:rFonts w:eastAsiaTheme="minorEastAsia"/>
          <w:shd w:val="clear" w:color="auto" w:fill="FFFFFF"/>
        </w:rPr>
        <w:t xml:space="preserve">, but will not be included in either the RESEA treatment or control groups. </w:t>
      </w:r>
    </w:p>
    <w:bookmarkEnd w:id="5"/>
    <w:p w14:paraId="63F72891" w14:textId="77777777" w:rsidR="00E160DF" w:rsidRDefault="00E160DF" w:rsidP="00E160DF">
      <w:pPr>
        <w:spacing w:after="0" w:line="240" w:lineRule="auto"/>
        <w:rPr>
          <w:rStyle w:val="markedcontent"/>
          <w:rFonts w:eastAsiaTheme="minorEastAsia"/>
          <w:shd w:val="clear" w:color="auto" w:fill="FFFFFF"/>
        </w:rPr>
      </w:pPr>
    </w:p>
    <w:p w14:paraId="4721F5EB" w14:textId="1FCD4DF7" w:rsidR="00E160DF" w:rsidRPr="00C55523" w:rsidRDefault="00E160DF" w:rsidP="00E160DF">
      <w:pPr>
        <w:spacing w:after="0" w:line="240" w:lineRule="auto"/>
        <w:rPr>
          <w:rFonts w:eastAsiaTheme="minorEastAsia"/>
        </w:rPr>
      </w:pPr>
      <w:r>
        <w:rPr>
          <w:rStyle w:val="markedcontent"/>
          <w:rFonts w:eastAsiaTheme="minorEastAsia"/>
          <w:shd w:val="clear" w:color="auto" w:fill="FFFFFF"/>
        </w:rPr>
        <w:t>Next, claimants selected for the evaluation will be randomly assigned to the RESEA program or</w:t>
      </w:r>
      <w:r w:rsidR="00625DC1">
        <w:rPr>
          <w:rStyle w:val="markedcontent"/>
          <w:rFonts w:eastAsiaTheme="minorEastAsia"/>
          <w:shd w:val="clear" w:color="auto" w:fill="FFFFFF"/>
        </w:rPr>
        <w:t xml:space="preserve"> to</w:t>
      </w:r>
      <w:r>
        <w:rPr>
          <w:rStyle w:val="markedcontent"/>
          <w:rFonts w:eastAsiaTheme="minorEastAsia"/>
          <w:shd w:val="clear" w:color="auto" w:fill="FFFFFF"/>
        </w:rPr>
        <w:t xml:space="preserve"> the control condition of the regular UI program. A randomization ratio of two claimants assigned to RESEA for each claimant assigned to the control condition </w:t>
      </w:r>
      <w:r w:rsidRPr="447A0C35">
        <w:rPr>
          <w:rFonts w:eastAsiaTheme="minorEastAsia"/>
        </w:rPr>
        <w:t>will be maintained across the study</w:t>
      </w:r>
      <w:r>
        <w:rPr>
          <w:rFonts w:eastAsiaTheme="minorEastAsia"/>
        </w:rPr>
        <w:t xml:space="preserve"> (i.e., </w:t>
      </w:r>
      <w:r w:rsidRPr="03E49E09">
        <w:rPr>
          <w:rStyle w:val="markedcontent"/>
          <w:rFonts w:eastAsiaTheme="minorEastAsia"/>
          <w:shd w:val="clear" w:color="auto" w:fill="FFFFFF"/>
        </w:rPr>
        <w:t>2/3 probability of being assigned to the RESEA program and 1/3 probability of assignment to the control condition</w:t>
      </w:r>
      <w:r>
        <w:rPr>
          <w:rStyle w:val="markedcontent"/>
          <w:rFonts w:eastAsiaTheme="minorEastAsia"/>
          <w:shd w:val="clear" w:color="auto" w:fill="FFFFFF"/>
        </w:rPr>
        <w:t>)</w:t>
      </w:r>
      <w:r w:rsidRPr="447A0C35">
        <w:rPr>
          <w:rFonts w:eastAsiaTheme="minorEastAsia"/>
        </w:rPr>
        <w:t xml:space="preserve">. </w:t>
      </w:r>
      <w:r>
        <w:rPr>
          <w:rStyle w:val="markedcontent"/>
          <w:rFonts w:eastAsiaTheme="minorEastAsia"/>
          <w:shd w:val="clear" w:color="auto" w:fill="FFFFFF"/>
        </w:rPr>
        <w:t>The r</w:t>
      </w:r>
      <w:r w:rsidRPr="03E49E09">
        <w:rPr>
          <w:rStyle w:val="markedcontent"/>
          <w:rFonts w:eastAsiaTheme="minorEastAsia"/>
          <w:shd w:val="clear" w:color="auto" w:fill="FFFFFF"/>
        </w:rPr>
        <w:t xml:space="preserve">andomization will be completed </w:t>
      </w:r>
      <w:r>
        <w:rPr>
          <w:rStyle w:val="markedcontent"/>
          <w:rFonts w:eastAsiaTheme="minorEastAsia"/>
          <w:shd w:val="clear" w:color="auto" w:fill="FFFFFF"/>
        </w:rPr>
        <w:t>using</w:t>
      </w:r>
      <w:r w:rsidRPr="03E49E09">
        <w:rPr>
          <w:rStyle w:val="markedcontent"/>
          <w:rFonts w:eastAsiaTheme="minorEastAsia"/>
          <w:shd w:val="clear" w:color="auto" w:fill="FFFFFF"/>
        </w:rPr>
        <w:t xml:space="preserve"> </w:t>
      </w:r>
      <w:r>
        <w:rPr>
          <w:rStyle w:val="markedcontent"/>
          <w:rFonts w:eastAsiaTheme="minorEastAsia"/>
          <w:shd w:val="clear" w:color="auto" w:fill="FFFFFF"/>
        </w:rPr>
        <w:t xml:space="preserve">a random number generator process programmed in </w:t>
      </w:r>
      <w:r w:rsidRPr="03E49E09">
        <w:rPr>
          <w:rStyle w:val="markedcontent"/>
          <w:rFonts w:eastAsiaTheme="minorEastAsia"/>
          <w:shd w:val="clear" w:color="auto" w:fill="FFFFFF"/>
        </w:rPr>
        <w:t xml:space="preserve">the administrative software that DWS UI </w:t>
      </w:r>
      <w:r>
        <w:rPr>
          <w:rStyle w:val="markedcontent"/>
          <w:rFonts w:eastAsiaTheme="minorEastAsia"/>
          <w:shd w:val="clear" w:color="auto" w:fill="FFFFFF"/>
        </w:rPr>
        <w:t>uses for</w:t>
      </w:r>
      <w:r w:rsidRPr="03E49E09">
        <w:rPr>
          <w:rStyle w:val="markedcontent"/>
          <w:rFonts w:eastAsiaTheme="minorEastAsia"/>
          <w:shd w:val="clear" w:color="auto" w:fill="FFFFFF"/>
        </w:rPr>
        <w:t xml:space="preserve"> the RESEA program (i.e., the </w:t>
      </w:r>
      <w:r w:rsidRPr="03E49E09">
        <w:rPr>
          <w:rFonts w:eastAsiaTheme="minorEastAsia"/>
        </w:rPr>
        <w:t>Comprehensive Unemployment Benefits System)</w:t>
      </w:r>
      <w:r w:rsidRPr="03E49E09">
        <w:rPr>
          <w:rStyle w:val="markedcontent"/>
          <w:rFonts w:eastAsiaTheme="minorEastAsia"/>
          <w:shd w:val="clear" w:color="auto" w:fill="FFFFFF"/>
        </w:rPr>
        <w:t xml:space="preserve">. </w:t>
      </w:r>
      <w:r>
        <w:rPr>
          <w:rStyle w:val="markedcontent"/>
          <w:rFonts w:eastAsiaTheme="minorEastAsia"/>
          <w:shd w:val="clear" w:color="auto" w:fill="FFFFFF"/>
        </w:rPr>
        <w:t xml:space="preserve">Randomization of selected claimants will occur on a weekly basis after which point all RESEA-assigned claimants will be notified of the mandatory </w:t>
      </w:r>
      <w:r>
        <w:rPr>
          <w:rStyle w:val="markedcontent"/>
          <w:rFonts w:eastAsiaTheme="minorEastAsia"/>
          <w:shd w:val="clear" w:color="auto" w:fill="FFFFFF"/>
        </w:rPr>
        <w:lastRenderedPageBreak/>
        <w:t xml:space="preserve">requirement to participate in RESEA. </w:t>
      </w:r>
      <w:r w:rsidR="008F1D5B">
        <w:rPr>
          <w:rStyle w:val="markedcontent"/>
          <w:rFonts w:eastAsiaTheme="minorEastAsia"/>
          <w:shd w:val="clear" w:color="auto" w:fill="FFFFFF"/>
        </w:rPr>
        <w:t xml:space="preserve">Maintaining a strict randomization ratio across the evaluation will ensure that claimant characteristics and programmatic and labor market conditions are uncorrelated with assignment to the RESEA program relative to the control condition. </w:t>
      </w:r>
    </w:p>
    <w:p w14:paraId="2CB49A6B" w14:textId="4FFF2B5B" w:rsidR="008961F3" w:rsidRDefault="008961F3" w:rsidP="00F140C4">
      <w:pPr>
        <w:spacing w:after="0" w:line="240" w:lineRule="auto"/>
        <w:rPr>
          <w:rStyle w:val="markedcontent"/>
          <w:rFonts w:eastAsiaTheme="minorEastAsia"/>
          <w:shd w:val="clear" w:color="auto" w:fill="FFFFFF"/>
        </w:rPr>
      </w:pPr>
    </w:p>
    <w:p w14:paraId="26B14CA9" w14:textId="2C37E46E" w:rsidR="00CA2FF3" w:rsidRPr="00C55523" w:rsidRDefault="00CA2FF3" w:rsidP="00505BCB">
      <w:pPr>
        <w:spacing w:after="0" w:line="240" w:lineRule="auto"/>
        <w:rPr>
          <w:rFonts w:eastAsiaTheme="minorEastAsia"/>
        </w:rPr>
      </w:pPr>
      <w:bookmarkStart w:id="6" w:name="_Hlk143715074"/>
      <w:r w:rsidRPr="00C55523">
        <w:rPr>
          <w:rFonts w:eastAsiaTheme="minorEastAsia"/>
        </w:rPr>
        <w:t xml:space="preserve">We anticipate that the </w:t>
      </w:r>
      <w:r w:rsidR="008961F3">
        <w:rPr>
          <w:rFonts w:eastAsiaTheme="minorEastAsia"/>
        </w:rPr>
        <w:t>selection of claimants and random</w:t>
      </w:r>
      <w:r w:rsidR="00106D1B">
        <w:rPr>
          <w:rFonts w:eastAsiaTheme="minorEastAsia"/>
        </w:rPr>
        <w:t xml:space="preserve"> assignment</w:t>
      </w:r>
      <w:r w:rsidR="008961F3">
        <w:rPr>
          <w:rFonts w:eastAsiaTheme="minorEastAsia"/>
        </w:rPr>
        <w:t xml:space="preserve"> </w:t>
      </w:r>
      <w:r w:rsidRPr="00C55523">
        <w:rPr>
          <w:rFonts w:eastAsiaTheme="minorEastAsia"/>
        </w:rPr>
        <w:t xml:space="preserve">will begin </w:t>
      </w:r>
      <w:r w:rsidR="00106D1B">
        <w:rPr>
          <w:rFonts w:eastAsiaTheme="minorEastAsia"/>
        </w:rPr>
        <w:t>in</w:t>
      </w:r>
      <w:r w:rsidRPr="00C55523">
        <w:rPr>
          <w:rFonts w:eastAsiaTheme="minorEastAsia"/>
        </w:rPr>
        <w:t xml:space="preserve"> December 2023 and continue </w:t>
      </w:r>
      <w:r w:rsidR="008F1D5B">
        <w:rPr>
          <w:rFonts w:eastAsiaTheme="minorEastAsia"/>
        </w:rPr>
        <w:t xml:space="preserve">approximately for two years </w:t>
      </w:r>
      <w:r w:rsidRPr="00C55523">
        <w:rPr>
          <w:rFonts w:eastAsiaTheme="minorEastAsia"/>
        </w:rPr>
        <w:t xml:space="preserve">through the month of </w:t>
      </w:r>
      <w:r w:rsidR="00594B21">
        <w:rPr>
          <w:rFonts w:eastAsiaTheme="minorEastAsia"/>
        </w:rPr>
        <w:t>November</w:t>
      </w:r>
      <w:r w:rsidRPr="00C55523">
        <w:rPr>
          <w:rFonts w:eastAsiaTheme="minorEastAsia"/>
        </w:rPr>
        <w:t xml:space="preserve"> 202</w:t>
      </w:r>
      <w:r>
        <w:rPr>
          <w:rFonts w:eastAsiaTheme="minorEastAsia"/>
        </w:rPr>
        <w:t>5</w:t>
      </w:r>
      <w:r w:rsidRPr="00C55523">
        <w:rPr>
          <w:rFonts w:eastAsiaTheme="minorEastAsia"/>
        </w:rPr>
        <w:t>.</w:t>
      </w:r>
      <w:r w:rsidR="008F1D5B">
        <w:rPr>
          <w:rFonts w:eastAsiaTheme="minorEastAsia"/>
        </w:rPr>
        <w:t xml:space="preserve"> </w:t>
      </w:r>
      <w:r w:rsidR="008F1D5B" w:rsidRPr="008F1D5B">
        <w:rPr>
          <w:rFonts w:eastAsiaTheme="minorEastAsia"/>
          <w:b/>
        </w:rPr>
        <w:t>We recommend that the selection of claimants and randomization occurs until the desired numbers of 30,000 claimants assigned to RESEA and 15,000 to the control group are met</w:t>
      </w:r>
      <w:r w:rsidR="008F1D5B">
        <w:rPr>
          <w:rFonts w:eastAsiaTheme="minorEastAsia"/>
        </w:rPr>
        <w:t>. The length of time necessary to obtain this sample will depend on the number of eligible claims initiated and the capacity of DWS UI to administer the RESEA program. We anticipate that a</w:t>
      </w:r>
      <w:r w:rsidRPr="00C55523">
        <w:rPr>
          <w:rFonts w:eastAsiaTheme="minorEastAsia"/>
        </w:rPr>
        <w:t xml:space="preserve"> total </w:t>
      </w:r>
      <w:r w:rsidR="008F1D5B">
        <w:rPr>
          <w:rFonts w:eastAsiaTheme="minorEastAsia"/>
        </w:rPr>
        <w:t xml:space="preserve">of </w:t>
      </w:r>
      <w:r w:rsidRPr="00C55523">
        <w:rPr>
          <w:rFonts w:eastAsiaTheme="minorEastAsia"/>
        </w:rPr>
        <w:t xml:space="preserve">approximately </w:t>
      </w:r>
      <w:r>
        <w:rPr>
          <w:rFonts w:eastAsiaTheme="minorEastAsia"/>
        </w:rPr>
        <w:t>25,000</w:t>
      </w:r>
      <w:r w:rsidRPr="00C55523">
        <w:rPr>
          <w:rFonts w:eastAsiaTheme="minorEastAsia"/>
        </w:rPr>
        <w:t xml:space="preserve"> UI claimants </w:t>
      </w:r>
      <w:r w:rsidR="008F1D5B">
        <w:rPr>
          <w:rFonts w:eastAsiaTheme="minorEastAsia"/>
        </w:rPr>
        <w:t>will</w:t>
      </w:r>
      <w:r w:rsidRPr="00C55523">
        <w:rPr>
          <w:rFonts w:eastAsiaTheme="minorEastAsia"/>
        </w:rPr>
        <w:t xml:space="preserve"> begin a claim per year</w:t>
      </w:r>
      <w:r w:rsidR="008F1D5B">
        <w:rPr>
          <w:rFonts w:eastAsiaTheme="minorEastAsia"/>
        </w:rPr>
        <w:t xml:space="preserve"> and be eligible for RESEA</w:t>
      </w:r>
      <w:r w:rsidRPr="00C55523">
        <w:rPr>
          <w:rFonts w:eastAsiaTheme="minorEastAsia"/>
        </w:rPr>
        <w:t>,</w:t>
      </w:r>
      <w:r w:rsidR="008F1D5B">
        <w:rPr>
          <w:rFonts w:eastAsiaTheme="minorEastAsia"/>
        </w:rPr>
        <w:t xml:space="preserve"> of which</w:t>
      </w:r>
      <w:r w:rsidRPr="00C55523">
        <w:rPr>
          <w:rFonts w:eastAsiaTheme="minorEastAsia"/>
        </w:rPr>
        <w:t xml:space="preserve"> </w:t>
      </w:r>
      <w:r>
        <w:rPr>
          <w:rFonts w:eastAsiaTheme="minorEastAsia"/>
        </w:rPr>
        <w:t>22,5</w:t>
      </w:r>
      <w:r w:rsidRPr="00C55523">
        <w:rPr>
          <w:rFonts w:eastAsiaTheme="minorEastAsia"/>
        </w:rPr>
        <w:t xml:space="preserve">00 would be eligible for the </w:t>
      </w:r>
      <w:r w:rsidR="00106D1B">
        <w:rPr>
          <w:rFonts w:eastAsiaTheme="minorEastAsia"/>
        </w:rPr>
        <w:t>evaluation</w:t>
      </w:r>
      <w:r w:rsidRPr="00C55523">
        <w:rPr>
          <w:rFonts w:eastAsiaTheme="minorEastAsia"/>
        </w:rPr>
        <w:t xml:space="preserve"> (after claimants in the top decile of profiling scores are</w:t>
      </w:r>
      <w:r w:rsidR="008F1D5B">
        <w:rPr>
          <w:rFonts w:eastAsiaTheme="minorEastAsia"/>
        </w:rPr>
        <w:t xml:space="preserve"> automatically selected for</w:t>
      </w:r>
      <w:r w:rsidRPr="00C55523">
        <w:rPr>
          <w:rFonts w:eastAsiaTheme="minorEastAsia"/>
        </w:rPr>
        <w:t xml:space="preserve"> the RESEA program). </w:t>
      </w:r>
      <w:r w:rsidR="00F64852">
        <w:rPr>
          <w:rFonts w:eastAsiaTheme="minorEastAsia"/>
        </w:rPr>
        <w:t>O</w:t>
      </w:r>
      <w:r w:rsidRPr="00C55523">
        <w:rPr>
          <w:rFonts w:eastAsiaTheme="minorEastAsia"/>
        </w:rPr>
        <w:t xml:space="preserve">f </w:t>
      </w:r>
      <w:r w:rsidR="000B08C9">
        <w:rPr>
          <w:rFonts w:eastAsiaTheme="minorEastAsia"/>
        </w:rPr>
        <w:t>22</w:t>
      </w:r>
      <w:r w:rsidRPr="00C55523">
        <w:rPr>
          <w:rFonts w:eastAsiaTheme="minorEastAsia"/>
        </w:rPr>
        <w:t>,</w:t>
      </w:r>
      <w:r w:rsidR="000B08C9">
        <w:rPr>
          <w:rFonts w:eastAsiaTheme="minorEastAsia"/>
        </w:rPr>
        <w:t>500</w:t>
      </w:r>
      <w:r w:rsidRPr="00C55523">
        <w:rPr>
          <w:rFonts w:eastAsiaTheme="minorEastAsia"/>
        </w:rPr>
        <w:t xml:space="preserve"> </w:t>
      </w:r>
      <w:r w:rsidR="008F1D5B">
        <w:rPr>
          <w:rFonts w:eastAsiaTheme="minorEastAsia"/>
        </w:rPr>
        <w:t xml:space="preserve">claimants </w:t>
      </w:r>
      <w:r w:rsidRPr="00C55523">
        <w:rPr>
          <w:rFonts w:eastAsiaTheme="minorEastAsia"/>
        </w:rPr>
        <w:t xml:space="preserve">eligible </w:t>
      </w:r>
      <w:r w:rsidR="008F1D5B">
        <w:rPr>
          <w:rFonts w:eastAsiaTheme="minorEastAsia"/>
        </w:rPr>
        <w:t>for the evaluation</w:t>
      </w:r>
      <w:r w:rsidRPr="00C55523">
        <w:rPr>
          <w:rFonts w:eastAsiaTheme="minorEastAsia"/>
        </w:rPr>
        <w:t xml:space="preserve">, around </w:t>
      </w:r>
      <w:r w:rsidR="000B08C9">
        <w:rPr>
          <w:rFonts w:eastAsiaTheme="minorEastAsia"/>
        </w:rPr>
        <w:t>15</w:t>
      </w:r>
      <w:r w:rsidRPr="00C55523">
        <w:rPr>
          <w:rFonts w:eastAsiaTheme="minorEastAsia"/>
        </w:rPr>
        <w:t xml:space="preserve">,000 claimants would be assigned to RESEA and </w:t>
      </w:r>
      <w:r w:rsidR="000B08C9">
        <w:rPr>
          <w:rFonts w:eastAsiaTheme="minorEastAsia"/>
        </w:rPr>
        <w:t>7,5</w:t>
      </w:r>
      <w:r w:rsidRPr="00C55523">
        <w:rPr>
          <w:rFonts w:eastAsiaTheme="minorEastAsia"/>
        </w:rPr>
        <w:t xml:space="preserve">00 to the control group on an annual basis. </w:t>
      </w:r>
      <w:r w:rsidR="008F1D5B">
        <w:rPr>
          <w:rFonts w:eastAsiaTheme="minorEastAsia"/>
        </w:rPr>
        <w:t>Thus, a</w:t>
      </w:r>
      <w:r w:rsidRPr="00C55523">
        <w:rPr>
          <w:rFonts w:eastAsiaTheme="minorEastAsia"/>
        </w:rPr>
        <w:t xml:space="preserve"> period of </w:t>
      </w:r>
      <w:r w:rsidR="000B08C9">
        <w:rPr>
          <w:rFonts w:eastAsiaTheme="minorEastAsia"/>
        </w:rPr>
        <w:t>24</w:t>
      </w:r>
      <w:r w:rsidRPr="00C55523">
        <w:rPr>
          <w:rFonts w:eastAsiaTheme="minorEastAsia"/>
        </w:rPr>
        <w:t xml:space="preserve"> months would result in a sample of </w:t>
      </w:r>
      <w:r w:rsidR="000B08C9">
        <w:rPr>
          <w:rFonts w:eastAsiaTheme="minorEastAsia"/>
        </w:rPr>
        <w:t>30</w:t>
      </w:r>
      <w:r w:rsidRPr="00C55523">
        <w:rPr>
          <w:rFonts w:eastAsiaTheme="minorEastAsia"/>
        </w:rPr>
        <w:t xml:space="preserve">,000 claimants assigned to RESEA and </w:t>
      </w:r>
      <w:r w:rsidR="000B08C9">
        <w:rPr>
          <w:rFonts w:eastAsiaTheme="minorEastAsia"/>
        </w:rPr>
        <w:t>15,0</w:t>
      </w:r>
      <w:r w:rsidRPr="00C55523">
        <w:rPr>
          <w:rFonts w:eastAsiaTheme="minorEastAsia"/>
        </w:rPr>
        <w:t>00 control claimants.</w:t>
      </w:r>
      <w:r w:rsidR="00106D1B">
        <w:rPr>
          <w:rFonts w:eastAsiaTheme="minorEastAsia"/>
        </w:rPr>
        <w:t xml:space="preserve"> DWS UI anticipates being able to largely meet </w:t>
      </w:r>
      <w:r w:rsidR="00E160DF">
        <w:rPr>
          <w:rFonts w:eastAsiaTheme="minorEastAsia"/>
        </w:rPr>
        <w:t>the needs for this</w:t>
      </w:r>
      <w:r w:rsidR="00106D1B">
        <w:rPr>
          <w:rFonts w:eastAsiaTheme="minorEastAsia"/>
        </w:rPr>
        <w:t xml:space="preserve"> </w:t>
      </w:r>
      <w:r w:rsidR="00E160DF">
        <w:rPr>
          <w:rFonts w:eastAsiaTheme="minorEastAsia"/>
        </w:rPr>
        <w:t>number</w:t>
      </w:r>
      <w:r w:rsidR="00106D1B">
        <w:rPr>
          <w:rFonts w:eastAsiaTheme="minorEastAsia"/>
        </w:rPr>
        <w:t xml:space="preserve"> of UI claim</w:t>
      </w:r>
      <w:r w:rsidR="00E160DF">
        <w:rPr>
          <w:rFonts w:eastAsiaTheme="minorEastAsia"/>
        </w:rPr>
        <w:t>ant</w:t>
      </w:r>
      <w:r w:rsidR="00106D1B">
        <w:rPr>
          <w:rFonts w:eastAsiaTheme="minorEastAsia"/>
        </w:rPr>
        <w:t>s and assignment</w:t>
      </w:r>
      <w:r w:rsidR="00E160DF">
        <w:rPr>
          <w:rFonts w:eastAsiaTheme="minorEastAsia"/>
        </w:rPr>
        <w:t>s</w:t>
      </w:r>
      <w:r w:rsidR="00106D1B">
        <w:rPr>
          <w:rFonts w:eastAsiaTheme="minorEastAsia"/>
        </w:rPr>
        <w:t xml:space="preserve"> to the RESEA program, although some periods may exceed program capacity during which </w:t>
      </w:r>
      <w:r w:rsidR="00E160DF">
        <w:rPr>
          <w:rFonts w:eastAsiaTheme="minorEastAsia"/>
        </w:rPr>
        <w:t>non-selected</w:t>
      </w:r>
      <w:r w:rsidR="00106D1B">
        <w:rPr>
          <w:rFonts w:eastAsiaTheme="minorEastAsia"/>
        </w:rPr>
        <w:t xml:space="preserve"> claimants would be excluded from the evaluation. </w:t>
      </w:r>
      <w:bookmarkEnd w:id="6"/>
      <w:r w:rsidR="008F1D5B">
        <w:rPr>
          <w:rFonts w:eastAsiaTheme="minorEastAsia"/>
        </w:rPr>
        <w:t xml:space="preserve">In the case of elevated UI claims, the rule for random selection of claimants for the evaluation will be implemented, such that the claimants included in the evaluation would be a representative sample of the larger pool of claimants (meeting the profiling model criterion). </w:t>
      </w:r>
    </w:p>
    <w:p w14:paraId="36D2C3DE" w14:textId="45F304F0" w:rsidR="002D32D0" w:rsidRPr="00C55523" w:rsidRDefault="002D32D0" w:rsidP="002352C7">
      <w:pPr>
        <w:spacing w:after="0" w:line="240" w:lineRule="auto"/>
        <w:rPr>
          <w:rFonts w:eastAsiaTheme="minorEastAsia"/>
          <w:b/>
          <w:bCs/>
          <w:i/>
          <w:iCs/>
          <w:shd w:val="clear" w:color="auto" w:fill="FFFFFF"/>
        </w:rPr>
      </w:pPr>
    </w:p>
    <w:p w14:paraId="69429556" w14:textId="77777777" w:rsidR="00E160DF" w:rsidRDefault="00E160DF" w:rsidP="00E160DF">
      <w:pPr>
        <w:spacing w:before="80" w:after="120"/>
        <w:rPr>
          <w:rStyle w:val="markedcontent"/>
          <w:rFonts w:eastAsiaTheme="minorEastAsia"/>
          <w:b/>
          <w:bCs/>
          <w:shd w:val="clear" w:color="auto" w:fill="FFFFFF"/>
        </w:rPr>
      </w:pPr>
    </w:p>
    <w:p w14:paraId="43291EF7" w14:textId="77777777" w:rsidR="00E160DF" w:rsidRDefault="00E160DF" w:rsidP="00E160DF">
      <w:pPr>
        <w:spacing w:before="80" w:after="120"/>
        <w:rPr>
          <w:rStyle w:val="markedcontent"/>
          <w:rFonts w:eastAsiaTheme="minorEastAsia"/>
          <w:b/>
          <w:bCs/>
          <w:shd w:val="clear" w:color="auto" w:fill="FFFFFF"/>
        </w:rPr>
      </w:pPr>
    </w:p>
    <w:p w14:paraId="47131225" w14:textId="3B1D21D4" w:rsidR="00C70B96" w:rsidRPr="00C55523" w:rsidRDefault="00E160DF" w:rsidP="000C0662">
      <w:pPr>
        <w:spacing w:before="120" w:after="120"/>
        <w:rPr>
          <w:rStyle w:val="markedcontent"/>
          <w:rFonts w:eastAsiaTheme="minorEastAsia"/>
          <w:shd w:val="clear" w:color="auto" w:fill="FFFFFF"/>
        </w:rPr>
      </w:pPr>
      <w:r w:rsidRPr="00C14BB3">
        <w:rPr>
          <w:rStyle w:val="markedcontent"/>
          <w:rFonts w:eastAsiaTheme="minorEastAsia"/>
          <w:noProof/>
          <w:shd w:val="clear" w:color="auto" w:fill="FFFFFF"/>
        </w:rPr>
        <w:lastRenderedPageBreak/>
        <w:drawing>
          <wp:anchor distT="0" distB="0" distL="114300" distR="114300" simplePos="0" relativeHeight="251658240" behindDoc="0" locked="0" layoutInCell="1" allowOverlap="1" wp14:anchorId="7727F877" wp14:editId="3F184F1D">
            <wp:simplePos x="0" y="0"/>
            <wp:positionH relativeFrom="margin">
              <wp:align>left</wp:align>
            </wp:positionH>
            <wp:positionV relativeFrom="paragraph">
              <wp:posOffset>21014</wp:posOffset>
            </wp:positionV>
            <wp:extent cx="5728970" cy="5887720"/>
            <wp:effectExtent l="19050" t="19050" r="24130" b="177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039" t="435" b="-1"/>
                    <a:stretch/>
                  </pic:blipFill>
                  <pic:spPr bwMode="auto">
                    <a:xfrm>
                      <a:off x="0" y="0"/>
                      <a:ext cx="5744170" cy="5903363"/>
                    </a:xfrm>
                    <a:prstGeom prst="rect">
                      <a:avLst/>
                    </a:prstGeom>
                    <a:ln w="6350">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1B0D">
        <w:rPr>
          <w:rStyle w:val="markedcontent"/>
          <w:rFonts w:eastAsiaTheme="minorEastAsia"/>
          <w:b/>
          <w:bCs/>
          <w:shd w:val="clear" w:color="auto" w:fill="FFFFFF"/>
        </w:rPr>
        <w:t>Figure 2.</w:t>
      </w:r>
      <w:r w:rsidRPr="00451B0D">
        <w:rPr>
          <w:b/>
          <w:bCs/>
          <w:shd w:val="clear" w:color="auto" w:fill="FFFFFF"/>
        </w:rPr>
        <w:t xml:space="preserve"> Flow diagram showing eligibility and randomization process for RESEA program evaluation.</w:t>
      </w:r>
      <w:r w:rsidRPr="00C55523">
        <w:rPr>
          <w:b/>
          <w:bCs/>
          <w:shd w:val="clear" w:color="auto" w:fill="FFFFFF"/>
        </w:rPr>
        <w:t xml:space="preserve"> </w:t>
      </w:r>
      <w:r w:rsidRPr="00934DE4">
        <w:rPr>
          <w:shd w:val="clear" w:color="auto" w:fill="FFFFFF"/>
        </w:rPr>
        <w:t xml:space="preserve">Claimants receiving an unemployment insurance (UI) payment without a deferral are ranked for likelihood to exhaust benefits using a profiling model, with claimants in the top decile of scores excluded from the evaluation. Remaining eligible claimants are randomly selected for the evaluation each week based on the capacity of RESEA counselors to meet scheduling needs. Selected claimants undergo randomization into the RESEA program or control, with two randomized into the RESEA intervention for every one selected for the control group. Outcomes of claimants assigned to RESEA are compared with the control group to identify the impact of the RESEA program. </w:t>
      </w:r>
    </w:p>
    <w:p w14:paraId="5A14175B" w14:textId="073FC4DA" w:rsidR="00233120" w:rsidRDefault="2AD39660" w:rsidP="3A499947">
      <w:pPr>
        <w:pStyle w:val="Heading1"/>
        <w:rPr>
          <w:rFonts w:eastAsiaTheme="minorEastAsia"/>
        </w:rPr>
      </w:pPr>
      <w:r>
        <w:lastRenderedPageBreak/>
        <w:t xml:space="preserve">3. Data and Methods </w:t>
      </w:r>
    </w:p>
    <w:p w14:paraId="2A819039" w14:textId="1E29BB8C" w:rsidR="009652B1" w:rsidRPr="00C55523" w:rsidDel="00B92882" w:rsidRDefault="436463F2" w:rsidP="436463F2">
      <w:pPr>
        <w:pStyle w:val="Heading1"/>
        <w:rPr>
          <w:rFonts w:eastAsiaTheme="minorEastAsia"/>
          <w:b/>
          <w:bCs/>
        </w:rPr>
      </w:pPr>
      <w:r w:rsidRPr="00376333">
        <w:rPr>
          <w:sz w:val="26"/>
          <w:szCs w:val="26"/>
        </w:rPr>
        <w:t>3.1</w:t>
      </w:r>
      <w:r w:rsidRPr="436463F2">
        <w:rPr>
          <w:rStyle w:val="Heading2Char"/>
        </w:rPr>
        <w:t xml:space="preserve"> Data Sources</w:t>
      </w:r>
    </w:p>
    <w:p w14:paraId="3054A6D2" w14:textId="66A5774B" w:rsidR="00773497" w:rsidRPr="00C55523" w:rsidRDefault="00773497" w:rsidP="3BD16C4A">
      <w:pPr>
        <w:spacing w:after="0" w:line="240" w:lineRule="auto"/>
        <w:rPr>
          <w:rFonts w:eastAsiaTheme="minorEastAsia"/>
          <w:b/>
          <w:bCs/>
          <w:shd w:val="clear" w:color="auto" w:fill="FFFFFF"/>
        </w:rPr>
      </w:pPr>
    </w:p>
    <w:p w14:paraId="35152FA1" w14:textId="16DEB238" w:rsidR="00AB1D96" w:rsidRDefault="00421FB1" w:rsidP="3BD16C4A">
      <w:pPr>
        <w:spacing w:after="0" w:line="240" w:lineRule="auto"/>
        <w:rPr>
          <w:rFonts w:eastAsiaTheme="minorEastAsia"/>
          <w:shd w:val="clear" w:color="auto" w:fill="FFFFFF"/>
        </w:rPr>
      </w:pPr>
      <w:r w:rsidRPr="3BD16C4A">
        <w:rPr>
          <w:rFonts w:eastAsiaTheme="minorEastAsia"/>
          <w:shd w:val="clear" w:color="auto" w:fill="FFFFFF"/>
        </w:rPr>
        <w:t>Data for the impact study will come from administrative records maintained by DWS</w:t>
      </w:r>
      <w:r w:rsidR="004C2E88" w:rsidRPr="3BD16C4A">
        <w:rPr>
          <w:rFonts w:eastAsiaTheme="minorEastAsia"/>
          <w:shd w:val="clear" w:color="auto" w:fill="FFFFFF"/>
        </w:rPr>
        <w:t xml:space="preserve"> </w:t>
      </w:r>
      <w:r w:rsidRPr="3BD16C4A">
        <w:rPr>
          <w:rFonts w:eastAsiaTheme="minorEastAsia"/>
          <w:shd w:val="clear" w:color="auto" w:fill="FFFFFF"/>
        </w:rPr>
        <w:t xml:space="preserve">UI and the </w:t>
      </w:r>
      <w:r w:rsidRPr="3BD16C4A">
        <w:rPr>
          <w:rFonts w:eastAsiaTheme="minorEastAsia"/>
        </w:rPr>
        <w:t xml:space="preserve">Utah Department of Workforce Services </w:t>
      </w:r>
      <w:r w:rsidRPr="3BD16C4A">
        <w:rPr>
          <w:rFonts w:eastAsiaTheme="minorEastAsia"/>
          <w:shd w:val="clear" w:color="auto" w:fill="FFFFFF"/>
        </w:rPr>
        <w:t>Workforce Development Division (DWS</w:t>
      </w:r>
      <w:r w:rsidR="00AB1D96">
        <w:rPr>
          <w:rFonts w:eastAsiaTheme="minorEastAsia"/>
          <w:shd w:val="clear" w:color="auto" w:fill="FFFFFF"/>
        </w:rPr>
        <w:t xml:space="preserve"> </w:t>
      </w:r>
      <w:r w:rsidRPr="3BD16C4A">
        <w:rPr>
          <w:rFonts w:eastAsiaTheme="minorEastAsia"/>
          <w:shd w:val="clear" w:color="auto" w:fill="FFFFFF"/>
        </w:rPr>
        <w:t>WD</w:t>
      </w:r>
      <w:r w:rsidR="00534245">
        <w:rPr>
          <w:rFonts w:eastAsiaTheme="minorEastAsia"/>
          <w:shd w:val="clear" w:color="auto" w:fill="FFFFFF"/>
        </w:rPr>
        <w:t>D</w:t>
      </w:r>
      <w:r w:rsidRPr="3BD16C4A">
        <w:rPr>
          <w:rFonts w:eastAsiaTheme="minorEastAsia"/>
          <w:shd w:val="clear" w:color="auto" w:fill="FFFFFF"/>
        </w:rPr>
        <w:t>)</w:t>
      </w:r>
      <w:r w:rsidR="00AB1D96">
        <w:rPr>
          <w:rFonts w:eastAsiaTheme="minorEastAsia"/>
          <w:shd w:val="clear" w:color="auto" w:fill="FFFFFF"/>
        </w:rPr>
        <w:t xml:space="preserve">. Quarterly employment and wage data come from </w:t>
      </w:r>
      <w:r w:rsidR="002E24F3">
        <w:rPr>
          <w:rFonts w:eastAsiaTheme="minorEastAsia"/>
          <w:shd w:val="clear" w:color="auto" w:fill="FFFFFF"/>
        </w:rPr>
        <w:t>state administrative records, as reported by all employers in the state of Utah and the federal government to the Contributions Unit</w:t>
      </w:r>
      <w:r w:rsidR="00AB1D96">
        <w:rPr>
          <w:rFonts w:eastAsiaTheme="minorEastAsia"/>
          <w:shd w:val="clear" w:color="auto" w:fill="FFFFFF"/>
        </w:rPr>
        <w:t xml:space="preserve">. </w:t>
      </w:r>
    </w:p>
    <w:p w14:paraId="550217D2" w14:textId="43C7A1C7" w:rsidR="00AB1D96" w:rsidRDefault="00BC2E12" w:rsidP="00BC2E12">
      <w:pPr>
        <w:tabs>
          <w:tab w:val="left" w:pos="1306"/>
        </w:tabs>
        <w:spacing w:after="0" w:line="240" w:lineRule="auto"/>
      </w:pPr>
      <w:r>
        <w:tab/>
      </w:r>
    </w:p>
    <w:p w14:paraId="1CE4902C" w14:textId="6132BEE6" w:rsidR="00AB1D96" w:rsidRDefault="55F2F63E" w:rsidP="55F2F63E">
      <w:pPr>
        <w:spacing w:after="0" w:line="240" w:lineRule="auto"/>
        <w:rPr>
          <w:rFonts w:eastAsiaTheme="minorEastAsia"/>
        </w:rPr>
      </w:pPr>
      <w:r w:rsidRPr="55F2F63E">
        <w:rPr>
          <w:rFonts w:eastAsiaTheme="minorEastAsia"/>
        </w:rPr>
        <w:t xml:space="preserve">Data for the RESEA program are recorded by DWS UI using the Comprehensive Unemployment Benefits System (CUBS). The CUBS data are transferred to the DWS data warehouse nightly. Data will be extracted from the DWS data warehouse and sent in comma delimited format via WINSCP encrypted file transfer from DWS to our team at the University of Utah. The data will include demographic information, employment service history, historical wage data, </w:t>
      </w:r>
      <w:r w:rsidR="002E24F3">
        <w:rPr>
          <w:rFonts w:eastAsiaTheme="minorEastAsia"/>
        </w:rPr>
        <w:t xml:space="preserve">profiling model scores, </w:t>
      </w:r>
      <w:r w:rsidRPr="55F2F63E">
        <w:rPr>
          <w:rFonts w:eastAsiaTheme="minorEastAsia"/>
        </w:rPr>
        <w:t>and claim history information.</w:t>
      </w:r>
    </w:p>
    <w:p w14:paraId="2E7A7359" w14:textId="77777777" w:rsidR="00AB1D96" w:rsidRDefault="00AB1D96" w:rsidP="008B7E0D">
      <w:pPr>
        <w:spacing w:after="0" w:line="240" w:lineRule="auto"/>
        <w:rPr>
          <w:rFonts w:eastAsiaTheme="minorEastAsia"/>
        </w:rPr>
      </w:pPr>
    </w:p>
    <w:p w14:paraId="55A55C62" w14:textId="09A1C4D0" w:rsidR="6C486768" w:rsidRDefault="2A431E0F" w:rsidP="00BC2E12">
      <w:pPr>
        <w:spacing w:after="0" w:line="240" w:lineRule="auto"/>
        <w:rPr>
          <w:rFonts w:ascii="Arial" w:hAnsi="Arial" w:cs="Arial"/>
          <w:color w:val="0000CC"/>
          <w:sz w:val="24"/>
          <w:szCs w:val="24"/>
        </w:rPr>
      </w:pPr>
      <w:r w:rsidRPr="2A431E0F">
        <w:rPr>
          <w:rFonts w:eastAsiaTheme="minorEastAsia"/>
        </w:rPr>
        <w:t>Use of employment services and workshops is recorded at the Utah employment centers. A total of 96 services are tracked, which broadly include workshops, job referrals, and staff-assisted services. DWS WD</w:t>
      </w:r>
      <w:r w:rsidR="00C62D56">
        <w:rPr>
          <w:rFonts w:eastAsiaTheme="minorEastAsia"/>
        </w:rPr>
        <w:t>D</w:t>
      </w:r>
      <w:r w:rsidRPr="2A431E0F">
        <w:rPr>
          <w:rFonts w:eastAsiaTheme="minorEastAsia"/>
        </w:rPr>
        <w:t xml:space="preserve"> data will be provided through the DWS data warehouse with the service type and date of receipt for each of the services that claimants receive at employment centers, and these data will be provided to our team. </w:t>
      </w:r>
    </w:p>
    <w:p w14:paraId="30C91763" w14:textId="2D92FD9E" w:rsidR="00BC2E12" w:rsidRDefault="00BC2E12" w:rsidP="00BC2E12">
      <w:pPr>
        <w:spacing w:after="0" w:line="240" w:lineRule="auto"/>
      </w:pPr>
    </w:p>
    <w:p w14:paraId="728B51DB" w14:textId="3A745723" w:rsidR="00BC2E12" w:rsidRPr="00C55523" w:rsidRDefault="04973523" w:rsidP="04973523">
      <w:pPr>
        <w:spacing w:after="0" w:line="240" w:lineRule="auto"/>
        <w:rPr>
          <w:rFonts w:eastAsiaTheme="minorEastAsia"/>
          <w:shd w:val="clear" w:color="auto" w:fill="FFFFFF"/>
        </w:rPr>
      </w:pPr>
      <w:r>
        <w:t>Employment and wage data are collected as part of quarterly reporting by all employers in the state to the Contributions Unit. Reports include gross wages and UI contributions. Although nearly comprehensive in the employer information obtained, select earning are not captured in the administrative database (i.e., self-employment earnings, earnings from informal jobs</w:t>
      </w:r>
      <w:r w:rsidR="00625DC1">
        <w:t>, earnings from out-of-state employers</w:t>
      </w:r>
      <w:r>
        <w:t xml:space="preserve">). </w:t>
      </w:r>
    </w:p>
    <w:p w14:paraId="759F30A5" w14:textId="592862E1" w:rsidR="04973523" w:rsidRDefault="04973523" w:rsidP="04973523">
      <w:pPr>
        <w:spacing w:after="0" w:line="240" w:lineRule="auto"/>
      </w:pPr>
    </w:p>
    <w:p w14:paraId="2BD1B137" w14:textId="10071E8B" w:rsidR="04973523" w:rsidRDefault="00F27F73" w:rsidP="04973523">
      <w:pPr>
        <w:spacing w:after="0" w:line="240" w:lineRule="auto"/>
        <w:rPr>
          <w:rFonts w:eastAsiaTheme="minorEastAsia"/>
        </w:rPr>
      </w:pPr>
      <w:r>
        <w:t>Select deidentified e</w:t>
      </w:r>
      <w:r w:rsidR="04973523">
        <w:t>mployment counselor</w:t>
      </w:r>
      <w:r>
        <w:t xml:space="preserve"> data (i.e., gender and a unique identifier to link</w:t>
      </w:r>
      <w:r w:rsidR="04973523">
        <w:t xml:space="preserve"> </w:t>
      </w:r>
      <w:r>
        <w:t>counselors to RESEA meetings)</w:t>
      </w:r>
      <w:r w:rsidR="04973523">
        <w:t xml:space="preserve"> will be</w:t>
      </w:r>
      <w:r>
        <w:t xml:space="preserve"> collected</w:t>
      </w:r>
      <w:r w:rsidR="04973523">
        <w:t xml:space="preserve"> by </w:t>
      </w:r>
      <w:r w:rsidR="04973523" w:rsidRPr="04973523">
        <w:rPr>
          <w:rFonts w:eastAsiaTheme="minorEastAsia"/>
        </w:rPr>
        <w:t xml:space="preserve">DWS UI and transferred to our team. The information will be used to examine heterogeneity in RESEA impact across counselors and identify the </w:t>
      </w:r>
      <w:r>
        <w:rPr>
          <w:rFonts w:eastAsiaTheme="minorEastAsia"/>
        </w:rPr>
        <w:t>influence</w:t>
      </w:r>
      <w:r w:rsidR="04973523" w:rsidRPr="04973523">
        <w:rPr>
          <w:rFonts w:eastAsiaTheme="minorEastAsia"/>
        </w:rPr>
        <w:t xml:space="preserve"> of gender concordance between RESEA counselors and participants. </w:t>
      </w:r>
    </w:p>
    <w:p w14:paraId="7B186944" w14:textId="77777777" w:rsidR="00BC2E12" w:rsidRDefault="00BC2E12" w:rsidP="00BC2E12">
      <w:pPr>
        <w:spacing w:after="0" w:line="240" w:lineRule="auto"/>
      </w:pPr>
    </w:p>
    <w:p w14:paraId="71263822" w14:textId="2447B8F1" w:rsidR="6C486768" w:rsidRDefault="09755558" w:rsidP="04973523">
      <w:pPr>
        <w:spacing w:after="0" w:line="240" w:lineRule="auto"/>
        <w:rPr>
          <w:rStyle w:val="markedcontent"/>
          <w:rFonts w:eastAsiaTheme="minorEastAsia"/>
        </w:rPr>
      </w:pPr>
      <w:r w:rsidRPr="09755558">
        <w:rPr>
          <w:rStyle w:val="markedcontent"/>
          <w:rFonts w:eastAsiaTheme="minorEastAsia"/>
        </w:rPr>
        <w:t xml:space="preserve">This evaluation will consider monthly county- and industry-level unemployment rates. Such data will be retrieved from U.S. Bureau of Labor Statistics (BLS). Industry-level unemployment rates will be merged to claimant records based on the employers listed in the claim base period (i.e., five quarters prior to unemployment), with unemployment rates averaged across industries when claimants had multiple employers. Employer North American Industry Classification System (NAICS) codes will be used to merge industry-level unemployment rates with claimant records. Unemployment rates will be used to control for geographic and industry-specific job-market factors and to examine the heterogenous impact of RESEA by economic conditions. </w:t>
      </w:r>
    </w:p>
    <w:p w14:paraId="510E2831" w14:textId="2A67F0A0" w:rsidR="6C486768" w:rsidRDefault="6C486768" w:rsidP="6C486768">
      <w:pPr>
        <w:spacing w:after="0" w:line="240" w:lineRule="auto"/>
        <w:rPr>
          <w:rStyle w:val="markedcontent"/>
          <w:rFonts w:eastAsiaTheme="minorEastAsia"/>
        </w:rPr>
      </w:pPr>
      <w:r w:rsidRPr="6C486768">
        <w:rPr>
          <w:rStyle w:val="markedcontent"/>
          <w:rFonts w:eastAsiaTheme="minorEastAsia"/>
        </w:rPr>
        <w:t xml:space="preserve"> </w:t>
      </w:r>
    </w:p>
    <w:p w14:paraId="60F6EC9A" w14:textId="5707D6D8" w:rsidR="00644FD3" w:rsidRPr="00C55523" w:rsidRDefault="0035594E" w:rsidP="00233120">
      <w:pPr>
        <w:pStyle w:val="Heading2"/>
        <w:rPr>
          <w:rFonts w:eastAsiaTheme="minorEastAsia"/>
          <w:b/>
          <w:bCs/>
          <w:i/>
          <w:iCs/>
        </w:rPr>
      </w:pPr>
      <w:r w:rsidRPr="641E2F7A">
        <w:t xml:space="preserve">3.2 </w:t>
      </w:r>
      <w:r w:rsidRPr="00233120">
        <w:t>Outcome Measures</w:t>
      </w:r>
    </w:p>
    <w:p w14:paraId="52017E72" w14:textId="13F2B42D" w:rsidR="0035594E" w:rsidRPr="00C55523" w:rsidRDefault="0035594E" w:rsidP="0035594E">
      <w:pPr>
        <w:spacing w:after="0" w:line="257" w:lineRule="auto"/>
        <w:rPr>
          <w:rFonts w:ascii="Calibri" w:eastAsia="Calibri" w:hAnsi="Calibri" w:cs="Calibri"/>
        </w:rPr>
      </w:pPr>
      <w:r w:rsidRPr="00C55523">
        <w:rPr>
          <w:rFonts w:ascii="Calibri" w:eastAsia="Calibri" w:hAnsi="Calibri" w:cs="Calibri"/>
        </w:rPr>
        <w:t xml:space="preserve"> </w:t>
      </w:r>
    </w:p>
    <w:p w14:paraId="1E5CB0AF" w14:textId="79C4CBF0" w:rsidR="0035594E" w:rsidRPr="00C55523" w:rsidRDefault="0035594E" w:rsidP="0035594E">
      <w:pPr>
        <w:spacing w:after="0" w:line="257" w:lineRule="auto"/>
        <w:rPr>
          <w:rFonts w:eastAsiaTheme="minorEastAsia"/>
          <w:b/>
          <w:bCs/>
          <w:i/>
          <w:iCs/>
        </w:rPr>
      </w:pPr>
      <w:r w:rsidRPr="00C55523">
        <w:rPr>
          <w:rFonts w:ascii="Calibri" w:eastAsia="Calibri" w:hAnsi="Calibri" w:cs="Calibri"/>
        </w:rPr>
        <w:t xml:space="preserve">This impact evaluation aims to quantitively measure the impact of RESEA </w:t>
      </w:r>
      <w:r w:rsidR="00F27F73">
        <w:rPr>
          <w:rFonts w:ascii="Calibri" w:eastAsia="Calibri" w:hAnsi="Calibri" w:cs="Calibri"/>
        </w:rPr>
        <w:t>assignment</w:t>
      </w:r>
      <w:r w:rsidRPr="00C55523">
        <w:rPr>
          <w:rFonts w:ascii="Calibri" w:eastAsia="Calibri" w:hAnsi="Calibri" w:cs="Calibri"/>
        </w:rPr>
        <w:t xml:space="preserve"> on reducing UI </w:t>
      </w:r>
      <w:r w:rsidR="007D7382">
        <w:rPr>
          <w:rFonts w:ascii="Calibri" w:eastAsia="Calibri" w:hAnsi="Calibri" w:cs="Calibri"/>
        </w:rPr>
        <w:t>duration</w:t>
      </w:r>
      <w:r w:rsidRPr="00C55523">
        <w:rPr>
          <w:rFonts w:ascii="Calibri" w:eastAsia="Calibri" w:hAnsi="Calibri" w:cs="Calibri"/>
        </w:rPr>
        <w:t xml:space="preserve"> and improving employment outcomes among UI claimants. </w:t>
      </w:r>
      <w:r w:rsidR="007D7382">
        <w:rPr>
          <w:rFonts w:ascii="Calibri" w:eastAsia="Calibri" w:hAnsi="Calibri" w:cs="Calibri"/>
        </w:rPr>
        <w:t>S</w:t>
      </w:r>
      <w:r w:rsidR="007D7382" w:rsidRPr="00C55523">
        <w:rPr>
          <w:rFonts w:ascii="Calibri" w:eastAsia="Calibri" w:hAnsi="Calibri" w:cs="Calibri"/>
        </w:rPr>
        <w:t xml:space="preserve">hort-term </w:t>
      </w:r>
      <w:r w:rsidR="007D7382">
        <w:rPr>
          <w:rFonts w:ascii="Calibri" w:eastAsia="Calibri" w:hAnsi="Calibri" w:cs="Calibri"/>
        </w:rPr>
        <w:t xml:space="preserve">employment </w:t>
      </w:r>
      <w:r w:rsidR="007D7382" w:rsidRPr="00C55523">
        <w:rPr>
          <w:rFonts w:ascii="Calibri" w:eastAsia="Calibri" w:hAnsi="Calibri" w:cs="Calibri"/>
        </w:rPr>
        <w:t xml:space="preserve">outcomes will be measured in the first and second </w:t>
      </w:r>
      <w:r w:rsidR="007D7382">
        <w:rPr>
          <w:rFonts w:ascii="Calibri" w:eastAsia="Calibri" w:hAnsi="Calibri" w:cs="Calibri"/>
        </w:rPr>
        <w:t xml:space="preserve">full </w:t>
      </w:r>
      <w:r w:rsidR="007D7382" w:rsidRPr="00C55523">
        <w:rPr>
          <w:rFonts w:ascii="Calibri" w:eastAsia="Calibri" w:hAnsi="Calibri" w:cs="Calibri"/>
        </w:rPr>
        <w:t>quarters after the start of a UI claim</w:t>
      </w:r>
      <w:r w:rsidR="007D7382">
        <w:rPr>
          <w:rFonts w:ascii="Calibri" w:eastAsia="Calibri" w:hAnsi="Calibri" w:cs="Calibri"/>
        </w:rPr>
        <w:t xml:space="preserve"> (typically </w:t>
      </w:r>
      <w:r w:rsidR="005F365C">
        <w:rPr>
          <w:rFonts w:ascii="Calibri" w:eastAsia="Calibri" w:hAnsi="Calibri" w:cs="Calibri"/>
        </w:rPr>
        <w:t xml:space="preserve">beginning one </w:t>
      </w:r>
      <w:r w:rsidR="005F365C">
        <w:rPr>
          <w:rFonts w:ascii="Calibri" w:eastAsia="Calibri" w:hAnsi="Calibri" w:cs="Calibri"/>
        </w:rPr>
        <w:lastRenderedPageBreak/>
        <w:t>to three months after claiming UI and covering a period of six months)</w:t>
      </w:r>
      <w:r w:rsidR="007D7382" w:rsidRPr="00C55523">
        <w:rPr>
          <w:rFonts w:ascii="Calibri" w:eastAsia="Calibri" w:hAnsi="Calibri" w:cs="Calibri"/>
        </w:rPr>
        <w:t xml:space="preserve">. </w:t>
      </w:r>
      <w:r w:rsidRPr="00C55523">
        <w:rPr>
          <w:rFonts w:ascii="Calibri" w:eastAsia="Calibri" w:hAnsi="Calibri" w:cs="Calibri"/>
        </w:rPr>
        <w:t xml:space="preserve">As short-term outcomes, the following outcomes will be used: </w:t>
      </w:r>
    </w:p>
    <w:p w14:paraId="762E967F" w14:textId="369D9502" w:rsidR="007D7382" w:rsidRPr="00C55523" w:rsidRDefault="007D7382" w:rsidP="007D7382">
      <w:pPr>
        <w:pStyle w:val="ListParagraph"/>
        <w:numPr>
          <w:ilvl w:val="0"/>
          <w:numId w:val="10"/>
        </w:numPr>
        <w:spacing w:after="0" w:line="240" w:lineRule="auto"/>
        <w:rPr>
          <w:rFonts w:ascii="Calibri" w:eastAsia="Calibri" w:hAnsi="Calibri" w:cs="Calibri"/>
        </w:rPr>
      </w:pPr>
      <w:r w:rsidRPr="00C55523">
        <w:rPr>
          <w:rFonts w:ascii="Calibri" w:eastAsia="Calibri" w:hAnsi="Calibri" w:cs="Calibri"/>
        </w:rPr>
        <w:t>Duration of UI benefits, in weeks</w:t>
      </w:r>
      <w:r>
        <w:rPr>
          <w:rFonts w:ascii="Calibri" w:eastAsia="Calibri" w:hAnsi="Calibri" w:cs="Calibri"/>
        </w:rPr>
        <w:t>, as a primary outcome</w:t>
      </w:r>
      <w:r w:rsidRPr="00C55523">
        <w:rPr>
          <w:rFonts w:ascii="Calibri" w:eastAsia="Calibri" w:hAnsi="Calibri" w:cs="Calibri"/>
        </w:rPr>
        <w:t xml:space="preserve"> </w:t>
      </w:r>
    </w:p>
    <w:p w14:paraId="64F2F82C" w14:textId="47D70BDA" w:rsidR="0035594E" w:rsidRPr="00C55523" w:rsidRDefault="000F4C43" w:rsidP="0035594E">
      <w:pPr>
        <w:pStyle w:val="ListParagraph"/>
        <w:numPr>
          <w:ilvl w:val="0"/>
          <w:numId w:val="10"/>
        </w:numPr>
        <w:spacing w:after="0" w:line="240" w:lineRule="auto"/>
        <w:rPr>
          <w:rFonts w:ascii="Calibri" w:eastAsia="Calibri" w:hAnsi="Calibri" w:cs="Calibri"/>
        </w:rPr>
      </w:pPr>
      <w:r>
        <w:rPr>
          <w:rFonts w:ascii="Calibri" w:eastAsia="Calibri" w:hAnsi="Calibri" w:cs="Calibri"/>
        </w:rPr>
        <w:t>Exhaustion of</w:t>
      </w:r>
      <w:r w:rsidR="1B22B576" w:rsidRPr="1B22B576">
        <w:rPr>
          <w:rFonts w:ascii="Calibri" w:eastAsia="Calibri" w:hAnsi="Calibri" w:cs="Calibri"/>
        </w:rPr>
        <w:t xml:space="preserve"> UI benefits </w:t>
      </w:r>
    </w:p>
    <w:p w14:paraId="02FB7181" w14:textId="77777777" w:rsidR="0035594E" w:rsidRPr="00C55523" w:rsidRDefault="0035594E" w:rsidP="0035594E">
      <w:pPr>
        <w:pStyle w:val="ListParagraph"/>
        <w:numPr>
          <w:ilvl w:val="0"/>
          <w:numId w:val="10"/>
        </w:numPr>
        <w:spacing w:after="0" w:line="240" w:lineRule="auto"/>
        <w:rPr>
          <w:rFonts w:ascii="Calibri" w:eastAsia="Calibri" w:hAnsi="Calibri" w:cs="Calibri"/>
        </w:rPr>
      </w:pPr>
      <w:r w:rsidRPr="00C55523">
        <w:rPr>
          <w:rFonts w:ascii="Calibri" w:eastAsia="Calibri" w:hAnsi="Calibri" w:cs="Calibri"/>
        </w:rPr>
        <w:t xml:space="preserve">UI benefits received, in dollars </w:t>
      </w:r>
    </w:p>
    <w:p w14:paraId="033E1E42" w14:textId="16C4DEF7" w:rsidR="0035594E" w:rsidRPr="00C55523" w:rsidRDefault="64B8CD27" w:rsidP="0035594E">
      <w:pPr>
        <w:pStyle w:val="ListParagraph"/>
        <w:numPr>
          <w:ilvl w:val="0"/>
          <w:numId w:val="10"/>
        </w:numPr>
        <w:spacing w:after="0" w:line="240" w:lineRule="auto"/>
        <w:rPr>
          <w:rFonts w:ascii="Calibri" w:eastAsia="Calibri" w:hAnsi="Calibri" w:cs="Calibri"/>
        </w:rPr>
      </w:pPr>
      <w:r w:rsidRPr="64B8CD27">
        <w:rPr>
          <w:rFonts w:ascii="Calibri" w:eastAsia="Calibri" w:hAnsi="Calibri" w:cs="Calibri"/>
        </w:rPr>
        <w:t xml:space="preserve">Quarterly employment status since the first UI payment, with Q2 status as the primary outcome </w:t>
      </w:r>
    </w:p>
    <w:p w14:paraId="06AEEF83" w14:textId="331F1023" w:rsidR="00B7200B" w:rsidRDefault="0035594E" w:rsidP="005F365C">
      <w:pPr>
        <w:pStyle w:val="ListParagraph"/>
        <w:numPr>
          <w:ilvl w:val="0"/>
          <w:numId w:val="10"/>
        </w:numPr>
        <w:spacing w:after="0" w:line="240" w:lineRule="auto"/>
        <w:rPr>
          <w:rFonts w:ascii="Calibri" w:eastAsia="Calibri" w:hAnsi="Calibri" w:cs="Calibri"/>
        </w:rPr>
      </w:pPr>
      <w:r w:rsidRPr="00C55523">
        <w:rPr>
          <w:rFonts w:ascii="Calibri" w:eastAsia="Calibri" w:hAnsi="Calibri" w:cs="Calibri"/>
        </w:rPr>
        <w:t xml:space="preserve">Quarterly earnings since the first UI payment </w:t>
      </w:r>
    </w:p>
    <w:p w14:paraId="49BAE854" w14:textId="77777777" w:rsidR="005F365C" w:rsidRPr="005F365C" w:rsidRDefault="005F365C" w:rsidP="005F365C">
      <w:pPr>
        <w:pStyle w:val="ListParagraph"/>
        <w:spacing w:after="0" w:line="240" w:lineRule="auto"/>
        <w:rPr>
          <w:rFonts w:ascii="Calibri" w:eastAsia="Calibri" w:hAnsi="Calibri" w:cs="Calibri"/>
        </w:rPr>
      </w:pPr>
    </w:p>
    <w:p w14:paraId="18F8D92C" w14:textId="3765EFFF" w:rsidR="0035594E" w:rsidRPr="00C55523" w:rsidRDefault="0035594E" w:rsidP="0035594E">
      <w:pPr>
        <w:spacing w:after="0" w:line="257" w:lineRule="auto"/>
      </w:pPr>
      <w:r w:rsidRPr="00C55523">
        <w:rPr>
          <w:rFonts w:ascii="Calibri" w:eastAsia="Calibri" w:hAnsi="Calibri" w:cs="Calibri"/>
        </w:rPr>
        <w:t xml:space="preserve">Further, this impact study will also assess the following long-term outcomes: </w:t>
      </w:r>
    </w:p>
    <w:p w14:paraId="1DB030BD" w14:textId="45B3A8CE" w:rsidR="0035594E" w:rsidRPr="00C55523" w:rsidRDefault="0035594E" w:rsidP="0035594E">
      <w:pPr>
        <w:pStyle w:val="ListParagraph"/>
        <w:numPr>
          <w:ilvl w:val="0"/>
          <w:numId w:val="4"/>
        </w:numPr>
        <w:spacing w:after="0" w:line="240" w:lineRule="auto"/>
        <w:rPr>
          <w:rFonts w:ascii="Calibri" w:eastAsia="Calibri" w:hAnsi="Calibri" w:cs="Calibri"/>
        </w:rPr>
      </w:pPr>
      <w:r w:rsidRPr="00C55523">
        <w:rPr>
          <w:rFonts w:ascii="Calibri" w:eastAsia="Calibri" w:hAnsi="Calibri" w:cs="Calibri"/>
        </w:rPr>
        <w:t xml:space="preserve">Quarterly employment status </w:t>
      </w:r>
      <w:r w:rsidR="007D7382">
        <w:rPr>
          <w:rFonts w:ascii="Calibri" w:eastAsia="Calibri" w:hAnsi="Calibri" w:cs="Calibri"/>
        </w:rPr>
        <w:t xml:space="preserve">for </w:t>
      </w:r>
      <w:r w:rsidRPr="00C55523">
        <w:rPr>
          <w:rFonts w:ascii="Calibri" w:eastAsia="Calibri" w:hAnsi="Calibri" w:cs="Calibri"/>
        </w:rPr>
        <w:t xml:space="preserve">the third through sixth quarters after the </w:t>
      </w:r>
      <w:r w:rsidR="007D7382" w:rsidRPr="00C55523">
        <w:rPr>
          <w:rFonts w:ascii="Calibri" w:eastAsia="Calibri" w:hAnsi="Calibri" w:cs="Calibri"/>
        </w:rPr>
        <w:t>start of a UI claim</w:t>
      </w:r>
    </w:p>
    <w:p w14:paraId="0B4A79F6" w14:textId="1EE601DF" w:rsidR="0035594E" w:rsidRPr="00C55523" w:rsidRDefault="0035594E" w:rsidP="0035594E">
      <w:pPr>
        <w:pStyle w:val="ListParagraph"/>
        <w:numPr>
          <w:ilvl w:val="0"/>
          <w:numId w:val="4"/>
        </w:numPr>
        <w:spacing w:after="0" w:line="240" w:lineRule="auto"/>
        <w:rPr>
          <w:rFonts w:ascii="Calibri" w:eastAsia="Calibri" w:hAnsi="Calibri" w:cs="Calibri"/>
        </w:rPr>
      </w:pPr>
      <w:r w:rsidRPr="00C55523">
        <w:rPr>
          <w:rFonts w:ascii="Calibri" w:eastAsia="Calibri" w:hAnsi="Calibri" w:cs="Calibri"/>
        </w:rPr>
        <w:t xml:space="preserve">Quarterly earnings </w:t>
      </w:r>
      <w:r w:rsidR="007D7382">
        <w:rPr>
          <w:rFonts w:ascii="Calibri" w:eastAsia="Calibri" w:hAnsi="Calibri" w:cs="Calibri"/>
        </w:rPr>
        <w:t xml:space="preserve">for </w:t>
      </w:r>
      <w:r w:rsidRPr="00C55523">
        <w:rPr>
          <w:rFonts w:ascii="Calibri" w:eastAsia="Calibri" w:hAnsi="Calibri" w:cs="Calibri"/>
        </w:rPr>
        <w:t>the third through sixth quarters</w:t>
      </w:r>
      <w:r w:rsidRPr="00C55523" w:rsidDel="00B07D03">
        <w:rPr>
          <w:rFonts w:ascii="Calibri" w:eastAsia="Calibri" w:hAnsi="Calibri" w:cs="Calibri"/>
        </w:rPr>
        <w:t xml:space="preserve"> </w:t>
      </w:r>
      <w:r w:rsidR="007D7382">
        <w:rPr>
          <w:rFonts w:ascii="Calibri" w:eastAsia="Calibri" w:hAnsi="Calibri" w:cs="Calibri"/>
        </w:rPr>
        <w:t xml:space="preserve">after </w:t>
      </w:r>
      <w:r w:rsidR="007D7382" w:rsidRPr="00C55523">
        <w:rPr>
          <w:rFonts w:ascii="Calibri" w:eastAsia="Calibri" w:hAnsi="Calibri" w:cs="Calibri"/>
        </w:rPr>
        <w:t>the start of a UI claim</w:t>
      </w:r>
    </w:p>
    <w:p w14:paraId="433587CB" w14:textId="31517FB7" w:rsidR="0035594E" w:rsidRPr="00C55523" w:rsidRDefault="002664CA" w:rsidP="0035594E">
      <w:pPr>
        <w:pStyle w:val="ListParagraph"/>
        <w:numPr>
          <w:ilvl w:val="0"/>
          <w:numId w:val="4"/>
        </w:numPr>
        <w:spacing w:after="0" w:line="240" w:lineRule="auto"/>
        <w:rPr>
          <w:rFonts w:ascii="Calibri" w:eastAsia="Calibri" w:hAnsi="Calibri" w:cs="Calibri"/>
        </w:rPr>
      </w:pPr>
      <w:r>
        <w:rPr>
          <w:rFonts w:ascii="Calibri" w:eastAsia="Calibri" w:hAnsi="Calibri" w:cs="Calibri"/>
        </w:rPr>
        <w:t>F</w:t>
      </w:r>
      <w:r w:rsidR="007D7382">
        <w:rPr>
          <w:rFonts w:ascii="Calibri" w:eastAsia="Calibri" w:hAnsi="Calibri" w:cs="Calibri"/>
        </w:rPr>
        <w:t>iling</w:t>
      </w:r>
      <w:r>
        <w:rPr>
          <w:rFonts w:ascii="Calibri" w:eastAsia="Calibri" w:hAnsi="Calibri" w:cs="Calibri"/>
        </w:rPr>
        <w:t xml:space="preserve"> a new</w:t>
      </w:r>
      <w:r w:rsidR="0035594E" w:rsidRPr="00C55523">
        <w:rPr>
          <w:rFonts w:ascii="Calibri" w:eastAsia="Calibri" w:hAnsi="Calibri" w:cs="Calibri"/>
        </w:rPr>
        <w:t xml:space="preserve"> UI</w:t>
      </w:r>
      <w:r w:rsidR="007D7382">
        <w:rPr>
          <w:rFonts w:ascii="Calibri" w:eastAsia="Calibri" w:hAnsi="Calibri" w:cs="Calibri"/>
        </w:rPr>
        <w:t xml:space="preserve"> claim</w:t>
      </w:r>
      <w:r w:rsidR="0035594E" w:rsidRPr="00C55523">
        <w:rPr>
          <w:rFonts w:ascii="Calibri" w:eastAsia="Calibri" w:hAnsi="Calibri" w:cs="Calibri"/>
        </w:rPr>
        <w:t xml:space="preserve"> </w:t>
      </w:r>
      <w:r w:rsidR="007D7382">
        <w:rPr>
          <w:rFonts w:ascii="Calibri" w:eastAsia="Calibri" w:hAnsi="Calibri" w:cs="Calibri"/>
        </w:rPr>
        <w:t xml:space="preserve">in </w:t>
      </w:r>
      <w:r w:rsidR="0035594E" w:rsidRPr="00C55523">
        <w:rPr>
          <w:rFonts w:ascii="Calibri" w:eastAsia="Calibri" w:hAnsi="Calibri" w:cs="Calibri"/>
        </w:rPr>
        <w:t xml:space="preserve">the third through sixth quarters after </w:t>
      </w:r>
      <w:r w:rsidR="007D7382" w:rsidRPr="00C55523">
        <w:rPr>
          <w:rFonts w:ascii="Calibri" w:eastAsia="Calibri" w:hAnsi="Calibri" w:cs="Calibri"/>
        </w:rPr>
        <w:t>the start of a UI claim</w:t>
      </w:r>
    </w:p>
    <w:p w14:paraId="4A3B8A98" w14:textId="77777777" w:rsidR="00B7200B" w:rsidRPr="00C55523" w:rsidRDefault="00B7200B" w:rsidP="0035594E">
      <w:pPr>
        <w:spacing w:after="0" w:line="257" w:lineRule="auto"/>
        <w:rPr>
          <w:rFonts w:ascii="Calibri" w:eastAsia="Calibri" w:hAnsi="Calibri" w:cs="Calibri"/>
        </w:rPr>
      </w:pPr>
    </w:p>
    <w:p w14:paraId="77A73DC6" w14:textId="24516D75" w:rsidR="0035594E" w:rsidRPr="00C55523" w:rsidRDefault="4AAC7007" w:rsidP="0035594E">
      <w:pPr>
        <w:spacing w:after="0" w:line="257" w:lineRule="auto"/>
      </w:pPr>
      <w:r w:rsidRPr="4AAC7007">
        <w:rPr>
          <w:rFonts w:ascii="Calibri" w:eastAsia="Calibri" w:hAnsi="Calibri" w:cs="Calibri"/>
        </w:rPr>
        <w:t>We expect to include information on claimants who initiate a UI claim between November 2023 through November 2025. The maximum data collection period would be 20 months for the UI claimants (covering through Q6).</w:t>
      </w:r>
    </w:p>
    <w:p w14:paraId="65F9DC9F" w14:textId="77777777" w:rsidR="0035594E" w:rsidRPr="00C55523" w:rsidRDefault="0035594E" w:rsidP="0035594E">
      <w:pPr>
        <w:spacing w:after="0" w:line="240" w:lineRule="auto"/>
        <w:rPr>
          <w:rFonts w:eastAsiaTheme="minorEastAsia"/>
          <w:b/>
          <w:bCs/>
          <w:shd w:val="clear" w:color="auto" w:fill="FFFFFF"/>
        </w:rPr>
      </w:pPr>
    </w:p>
    <w:p w14:paraId="1C8BB107" w14:textId="7230C0A0" w:rsidR="008E29C5" w:rsidRDefault="008E29C5" w:rsidP="0035594E">
      <w:pPr>
        <w:spacing w:after="0" w:line="240" w:lineRule="auto"/>
        <w:rPr>
          <w:rFonts w:eastAsiaTheme="minorEastAsia"/>
          <w:bCs/>
          <w:shd w:val="clear" w:color="auto" w:fill="FFFFFF"/>
        </w:rPr>
      </w:pPr>
      <w:r>
        <w:rPr>
          <w:rFonts w:eastAsiaTheme="minorEastAsia"/>
          <w:bCs/>
          <w:shd w:val="clear" w:color="auto" w:fill="FFFFFF"/>
        </w:rPr>
        <w:t>In addition, we will examine key program processes as intermediary outcomes variables.</w:t>
      </w:r>
      <w:r w:rsidR="000272E0">
        <w:rPr>
          <w:rFonts w:eastAsiaTheme="minorEastAsia"/>
          <w:bCs/>
          <w:shd w:val="clear" w:color="auto" w:fill="FFFFFF"/>
        </w:rPr>
        <w:t xml:space="preserve"> </w:t>
      </w:r>
      <w:r>
        <w:rPr>
          <w:rFonts w:eastAsiaTheme="minorEastAsia"/>
          <w:bCs/>
          <w:shd w:val="clear" w:color="auto" w:fill="FFFFFF"/>
        </w:rPr>
        <w:t>These include:</w:t>
      </w:r>
    </w:p>
    <w:p w14:paraId="46B2E65D" w14:textId="7CF195E6" w:rsidR="008E29C5" w:rsidRPr="008E29C5" w:rsidRDefault="008E29C5" w:rsidP="008E29C5">
      <w:pPr>
        <w:pStyle w:val="ListParagraph"/>
        <w:numPr>
          <w:ilvl w:val="0"/>
          <w:numId w:val="38"/>
        </w:numPr>
        <w:spacing w:after="0" w:line="240" w:lineRule="auto"/>
        <w:rPr>
          <w:rFonts w:eastAsiaTheme="minorEastAsia"/>
          <w:b/>
          <w:bCs/>
          <w:shd w:val="clear" w:color="auto" w:fill="FFFFFF"/>
        </w:rPr>
      </w:pPr>
      <w:r>
        <w:rPr>
          <w:rFonts w:eastAsiaTheme="minorEastAsia"/>
          <w:bCs/>
          <w:shd w:val="clear" w:color="auto" w:fill="FFFFFF"/>
        </w:rPr>
        <w:t xml:space="preserve">Number of </w:t>
      </w:r>
      <w:r w:rsidR="002664CA">
        <w:rPr>
          <w:rFonts w:eastAsiaTheme="minorEastAsia"/>
          <w:bCs/>
          <w:shd w:val="clear" w:color="auto" w:fill="FFFFFF"/>
        </w:rPr>
        <w:t xml:space="preserve">filed </w:t>
      </w:r>
      <w:r>
        <w:rPr>
          <w:rFonts w:eastAsiaTheme="minorEastAsia"/>
          <w:bCs/>
          <w:shd w:val="clear" w:color="auto" w:fill="FFFFFF"/>
        </w:rPr>
        <w:t>claims not paid, as a proxy for denial of benefits</w:t>
      </w:r>
    </w:p>
    <w:p w14:paraId="142B7DE3" w14:textId="59C5049B" w:rsidR="1FBD61AD" w:rsidRPr="008E29C5" w:rsidRDefault="008E29C5" w:rsidP="008E29C5">
      <w:pPr>
        <w:pStyle w:val="ListParagraph"/>
        <w:numPr>
          <w:ilvl w:val="0"/>
          <w:numId w:val="38"/>
        </w:numPr>
        <w:spacing w:after="0" w:line="240" w:lineRule="auto"/>
        <w:rPr>
          <w:rFonts w:eastAsiaTheme="minorEastAsia"/>
        </w:rPr>
      </w:pPr>
      <w:r>
        <w:rPr>
          <w:rFonts w:eastAsiaTheme="minorEastAsia"/>
          <w:bCs/>
          <w:shd w:val="clear" w:color="auto" w:fill="FFFFFF"/>
        </w:rPr>
        <w:t>Number of claimant eligibility issues identified.</w:t>
      </w:r>
      <w:r w:rsidR="000272E0">
        <w:rPr>
          <w:rFonts w:eastAsiaTheme="minorEastAsia"/>
          <w:bCs/>
          <w:shd w:val="clear" w:color="auto" w:fill="FFFFFF"/>
        </w:rPr>
        <w:t xml:space="preserve"> </w:t>
      </w:r>
    </w:p>
    <w:p w14:paraId="2C69D96B" w14:textId="77777777" w:rsidR="005F365C" w:rsidRPr="008E29C5" w:rsidRDefault="005F365C" w:rsidP="005F365C">
      <w:pPr>
        <w:pStyle w:val="ListParagraph"/>
        <w:numPr>
          <w:ilvl w:val="0"/>
          <w:numId w:val="38"/>
        </w:numPr>
        <w:spacing w:after="0" w:line="240" w:lineRule="auto"/>
        <w:rPr>
          <w:rFonts w:eastAsiaTheme="minorEastAsia"/>
          <w:b/>
          <w:bCs/>
          <w:shd w:val="clear" w:color="auto" w:fill="FFFFFF"/>
        </w:rPr>
      </w:pPr>
      <w:r>
        <w:rPr>
          <w:rFonts w:eastAsiaTheme="minorEastAsia"/>
          <w:bCs/>
          <w:shd w:val="clear" w:color="auto" w:fill="FFFFFF"/>
        </w:rPr>
        <w:t>E</w:t>
      </w:r>
      <w:r w:rsidRPr="008E29C5">
        <w:rPr>
          <w:rFonts w:eastAsiaTheme="minorEastAsia"/>
          <w:bCs/>
          <w:shd w:val="clear" w:color="auto" w:fill="FFFFFF"/>
        </w:rPr>
        <w:t>mployment services obtained through employment centers</w:t>
      </w:r>
    </w:p>
    <w:p w14:paraId="4F2927F5" w14:textId="77777777" w:rsidR="008E29C5" w:rsidRPr="00C55523" w:rsidRDefault="008E29C5" w:rsidP="008E29C5">
      <w:pPr>
        <w:pStyle w:val="ListParagraph"/>
        <w:spacing w:after="0" w:line="240" w:lineRule="auto"/>
        <w:rPr>
          <w:rStyle w:val="markedcontent"/>
          <w:rFonts w:eastAsiaTheme="minorEastAsia"/>
        </w:rPr>
      </w:pPr>
    </w:p>
    <w:p w14:paraId="2C904CE9" w14:textId="1B967695" w:rsidR="008A0682" w:rsidRPr="00DC2791" w:rsidRDefault="3A499947" w:rsidP="3A499947">
      <w:pPr>
        <w:pStyle w:val="Heading2"/>
        <w:spacing w:line="240" w:lineRule="auto"/>
        <w:rPr>
          <w:rStyle w:val="markedcontent"/>
          <w:rFonts w:eastAsiaTheme="minorEastAsia"/>
          <w:b/>
          <w:bCs/>
          <w:i/>
          <w:iCs/>
        </w:rPr>
      </w:pPr>
      <w:r>
        <w:t>3.3 Analytic Methods</w:t>
      </w:r>
    </w:p>
    <w:p w14:paraId="48D2EC43" w14:textId="77777777" w:rsidR="00F957A6" w:rsidRDefault="00F957A6" w:rsidP="00F957A6">
      <w:pPr>
        <w:pStyle w:val="Heading3"/>
        <w:spacing w:before="0"/>
      </w:pPr>
    </w:p>
    <w:p w14:paraId="29299A2F" w14:textId="77BC3830" w:rsidR="008A0682" w:rsidRPr="00C55523" w:rsidRDefault="3A499947" w:rsidP="00F957A6">
      <w:pPr>
        <w:pStyle w:val="Heading3"/>
        <w:spacing w:before="0"/>
      </w:pPr>
      <w:r>
        <w:t xml:space="preserve">3.3.1 </w:t>
      </w:r>
      <w:r w:rsidR="00E51410">
        <w:t xml:space="preserve">Descriptive Statistics and </w:t>
      </w:r>
      <w:r>
        <w:t>Baseline Equivalence Testing</w:t>
      </w:r>
    </w:p>
    <w:p w14:paraId="7987A8B0" w14:textId="42E00DF9" w:rsidR="3A499947" w:rsidRDefault="3A499947" w:rsidP="3A499947">
      <w:pPr>
        <w:spacing w:after="0" w:line="240" w:lineRule="auto"/>
        <w:rPr>
          <w:rFonts w:eastAsiaTheme="minorEastAsia"/>
        </w:rPr>
      </w:pPr>
    </w:p>
    <w:p w14:paraId="36E33EFE" w14:textId="1C817A2D" w:rsidR="008A0682" w:rsidRPr="00C55523" w:rsidRDefault="3E8C3890" w:rsidP="3E8C3890">
      <w:pPr>
        <w:spacing w:after="0" w:line="240" w:lineRule="auto"/>
        <w:rPr>
          <w:rFonts w:eastAsiaTheme="minorEastAsia"/>
        </w:rPr>
      </w:pPr>
      <w:r w:rsidRPr="3E8C3890">
        <w:rPr>
          <w:rFonts w:eastAsiaTheme="minorEastAsia"/>
        </w:rPr>
        <w:t>First, descriptive statistics by RESEA assignment status will be examined to test whether pre-assignment differences exist in claimant characteristics, claim history, or employment history. More specifically, the following pre-assignment variables will be considered: gender, race/ethnicity, educational attainment, age, disability status, U.S. citizenship, primary language spoken, month of UI filing, UI claim filing time-lapse, number of previous UI claims, years of employment tenure, receipt of severance pay, industry unemployment rates, number of employers in claimant’s base period, highest quarterly wag</w:t>
      </w:r>
      <w:r w:rsidR="00F27F73">
        <w:rPr>
          <w:rFonts w:eastAsiaTheme="minorEastAsia"/>
        </w:rPr>
        <w:t>e</w:t>
      </w:r>
      <w:r w:rsidRPr="3E8C3890">
        <w:rPr>
          <w:rFonts w:eastAsiaTheme="minorEastAsia"/>
        </w:rPr>
        <w:t>s in UI claim base period, and profiling model score. Statistically significant differences will be tested using independent samples t-tests and chi square tests. Evidence of differences by RESEA assignment would indicate bias in the randomization procedures or attrition, and thus represent a threat to the internal validity of impact estimates. However, very small differences are possible due to random error or a chance difference even in the case of true randomization; yet, we expect no consistent differences across variables. If the two groups are not systematically different according to the factors described above, we can be confident that the treatment and control groups are balanced on all observed characteristics and likely all unobserved variables as well.</w:t>
      </w:r>
    </w:p>
    <w:p w14:paraId="291D4071" w14:textId="77777777" w:rsidR="00E51410" w:rsidRDefault="00E51410" w:rsidP="0080385F">
      <w:pPr>
        <w:spacing w:after="0" w:line="240" w:lineRule="auto"/>
        <w:rPr>
          <w:rFonts w:eastAsiaTheme="minorEastAsia"/>
        </w:rPr>
      </w:pPr>
    </w:p>
    <w:p w14:paraId="46F46087" w14:textId="74D4F739" w:rsidR="008A0682" w:rsidRPr="00C55523" w:rsidRDefault="00E51410" w:rsidP="0080385F">
      <w:pPr>
        <w:spacing w:after="0" w:line="240" w:lineRule="auto"/>
        <w:rPr>
          <w:rFonts w:eastAsiaTheme="minorEastAsia"/>
        </w:rPr>
      </w:pPr>
      <w:r w:rsidRPr="1EB257AC">
        <w:rPr>
          <w:rFonts w:eastAsiaTheme="minorEastAsia"/>
        </w:rPr>
        <w:t>Next, unadjusted differences by RESEA assignment status for pro</w:t>
      </w:r>
      <w:r>
        <w:rPr>
          <w:rFonts w:eastAsiaTheme="minorEastAsia"/>
        </w:rPr>
        <w:t>cess</w:t>
      </w:r>
      <w:r w:rsidRPr="1EB257AC">
        <w:rPr>
          <w:rFonts w:eastAsiaTheme="minorEastAsia"/>
        </w:rPr>
        <w:t>-related and outcome variables (e.g., UI duration, UI benefits received,</w:t>
      </w:r>
      <w:r>
        <w:rPr>
          <w:rFonts w:eastAsiaTheme="minorEastAsia"/>
        </w:rPr>
        <w:t xml:space="preserve"> quarterly </w:t>
      </w:r>
      <w:r w:rsidRPr="1EB257AC">
        <w:rPr>
          <w:rFonts w:eastAsiaTheme="minorEastAsia"/>
        </w:rPr>
        <w:t>wages) will be examined. In the case of no differences in variables measured pre-assignment, differences in</w:t>
      </w:r>
      <w:r>
        <w:rPr>
          <w:rFonts w:eastAsiaTheme="minorEastAsia"/>
        </w:rPr>
        <w:t xml:space="preserve"> post-assignment</w:t>
      </w:r>
      <w:r w:rsidRPr="1EB257AC">
        <w:rPr>
          <w:rFonts w:eastAsiaTheme="minorEastAsia"/>
        </w:rPr>
        <w:t xml:space="preserve"> pro</w:t>
      </w:r>
      <w:r>
        <w:rPr>
          <w:rFonts w:eastAsiaTheme="minorEastAsia"/>
        </w:rPr>
        <w:t>cess</w:t>
      </w:r>
      <w:r w:rsidRPr="1EB257AC">
        <w:rPr>
          <w:rFonts w:eastAsiaTheme="minorEastAsia"/>
        </w:rPr>
        <w:t>-related and outcome variables are likely to represent the impact of assignment to the RESEA program.</w:t>
      </w:r>
    </w:p>
    <w:p w14:paraId="5EB98173" w14:textId="135C5517" w:rsidR="00D76A3C" w:rsidRPr="00C55523" w:rsidRDefault="00D76A3C" w:rsidP="00D76A3C">
      <w:pPr>
        <w:pStyle w:val="Heading3"/>
        <w:spacing w:before="0"/>
      </w:pPr>
      <w:r>
        <w:lastRenderedPageBreak/>
        <w:t>3.3.</w:t>
      </w:r>
      <w:r w:rsidR="00E51410">
        <w:t>2</w:t>
      </w:r>
      <w:r>
        <w:t xml:space="preserve"> </w:t>
      </w:r>
      <w:r w:rsidR="00E51410">
        <w:t>Statistical Models to Estimate Impact</w:t>
      </w:r>
    </w:p>
    <w:p w14:paraId="7FCE40A9" w14:textId="77777777" w:rsidR="00D76A3C" w:rsidRDefault="00D76A3C" w:rsidP="00F93313">
      <w:pPr>
        <w:spacing w:after="0" w:line="240" w:lineRule="auto"/>
        <w:rPr>
          <w:rFonts w:eastAsiaTheme="minorEastAsia"/>
        </w:rPr>
      </w:pPr>
    </w:p>
    <w:p w14:paraId="4E70849F" w14:textId="2F006524" w:rsidR="008A0682" w:rsidRPr="00DC2791" w:rsidRDefault="00E51410" w:rsidP="35B90A2F">
      <w:pPr>
        <w:spacing w:after="0" w:line="240" w:lineRule="auto"/>
        <w:rPr>
          <w:rStyle w:val="markedcontent"/>
          <w:rFonts w:eastAsiaTheme="minorEastAsia"/>
          <w:b/>
          <w:bCs/>
          <w:i/>
          <w:iCs/>
          <w:shd w:val="clear" w:color="auto" w:fill="FFFFFF"/>
        </w:rPr>
      </w:pPr>
      <w:r>
        <w:rPr>
          <w:rFonts w:eastAsiaTheme="minorEastAsia"/>
        </w:rPr>
        <w:t>L</w:t>
      </w:r>
      <w:r w:rsidR="35B90A2F" w:rsidRPr="35B90A2F">
        <w:rPr>
          <w:rFonts w:eastAsiaTheme="minorEastAsia"/>
        </w:rPr>
        <w:t xml:space="preserve">inear regression will be used to </w:t>
      </w:r>
      <w:r w:rsidR="0024264F">
        <w:rPr>
          <w:rFonts w:eastAsiaTheme="minorEastAsia"/>
        </w:rPr>
        <w:t>estimate</w:t>
      </w:r>
      <w:r w:rsidR="35B90A2F" w:rsidRPr="35B90A2F">
        <w:rPr>
          <w:rFonts w:eastAsiaTheme="minorEastAsia"/>
        </w:rPr>
        <w:t xml:space="preserve"> </w:t>
      </w:r>
      <w:r w:rsidR="0024264F">
        <w:rPr>
          <w:rFonts w:eastAsiaTheme="minorEastAsia"/>
        </w:rPr>
        <w:t>the impact of</w:t>
      </w:r>
      <w:r w:rsidR="35B90A2F" w:rsidRPr="35B90A2F">
        <w:rPr>
          <w:rFonts w:eastAsiaTheme="minorEastAsia"/>
        </w:rPr>
        <w:t xml:space="preserve"> </w:t>
      </w:r>
      <w:r w:rsidR="00F93313">
        <w:rPr>
          <w:rFonts w:eastAsiaTheme="minorEastAsia"/>
        </w:rPr>
        <w:t>assignment to</w:t>
      </w:r>
      <w:r w:rsidR="35B90A2F" w:rsidRPr="35B90A2F">
        <w:rPr>
          <w:rFonts w:eastAsiaTheme="minorEastAsia"/>
        </w:rPr>
        <w:t xml:space="preserve"> RESEA </w:t>
      </w:r>
      <w:r w:rsidR="0024264F">
        <w:rPr>
          <w:rFonts w:eastAsiaTheme="minorEastAsia"/>
        </w:rPr>
        <w:t xml:space="preserve">on UI </w:t>
      </w:r>
      <w:r w:rsidR="35B90A2F" w:rsidRPr="35B90A2F">
        <w:rPr>
          <w:rFonts w:eastAsiaTheme="minorEastAsia"/>
        </w:rPr>
        <w:t xml:space="preserve">and employment outcomes after </w:t>
      </w:r>
      <w:r w:rsidR="0024264F">
        <w:rPr>
          <w:rFonts w:eastAsiaTheme="minorEastAsia"/>
        </w:rPr>
        <w:t>adjusting</w:t>
      </w:r>
      <w:r w:rsidR="35B90A2F" w:rsidRPr="35B90A2F">
        <w:rPr>
          <w:rFonts w:eastAsiaTheme="minorEastAsia"/>
        </w:rPr>
        <w:t xml:space="preserve"> for relevant covariates. We will estimate the following regression: </w:t>
      </w:r>
    </w:p>
    <w:p w14:paraId="4D9CAF50" w14:textId="77777777" w:rsidR="008A0682" w:rsidRPr="00DC2791" w:rsidRDefault="008A0682" w:rsidP="0080385F">
      <w:pPr>
        <w:spacing w:after="0" w:line="240" w:lineRule="auto"/>
        <w:rPr>
          <w:rStyle w:val="markedcontent"/>
          <w:rFonts w:eastAsiaTheme="minorEastAsia"/>
          <w:b/>
          <w:bCs/>
          <w:i/>
          <w:iCs/>
          <w:shd w:val="clear" w:color="auto" w:fill="FFFFFF"/>
        </w:rPr>
      </w:pPr>
    </w:p>
    <w:p w14:paraId="0EFE6AF4" w14:textId="08F6F380" w:rsidR="008A0682" w:rsidRPr="00DC2791" w:rsidRDefault="00AD7D21" w:rsidP="0080385F">
      <w:pPr>
        <w:spacing w:after="0" w:line="240" w:lineRule="auto"/>
        <w:jc w:val="center"/>
        <w:rPr>
          <w:rFonts w:eastAsiaTheme="minorEastAsia"/>
        </w:rPr>
      </w:pPr>
      <m:oMath>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1</m:t>
            </m:r>
          </m:sub>
        </m:sSub>
        <m:r>
          <w:rPr>
            <w:rFonts w:ascii="Cambria Math" w:hAnsi="Cambria Math"/>
          </w:rPr>
          <m:t>Trea</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2</m:t>
            </m:r>
          </m:sub>
        </m:sSub>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i</m:t>
            </m:r>
          </m:sub>
        </m:sSub>
      </m:oMath>
      <w:r w:rsidR="000272E0">
        <w:rPr>
          <w:rFonts w:eastAsiaTheme="minorEastAsia"/>
        </w:rPr>
        <w:t xml:space="preserve">  </w:t>
      </w:r>
      <w:r w:rsidR="008A0682" w:rsidRPr="0DDA75C6">
        <w:rPr>
          <w:rFonts w:eastAsiaTheme="minorEastAsia"/>
        </w:rPr>
        <w:t xml:space="preserve">         (1) </w:t>
      </w:r>
    </w:p>
    <w:p w14:paraId="5159D2C7" w14:textId="77777777" w:rsidR="008A0682" w:rsidRPr="00DC2791" w:rsidRDefault="008A0682" w:rsidP="0080385F">
      <w:pPr>
        <w:spacing w:after="0" w:line="240" w:lineRule="auto"/>
        <w:rPr>
          <w:rFonts w:eastAsiaTheme="minorEastAsia"/>
        </w:rPr>
      </w:pPr>
    </w:p>
    <w:p w14:paraId="7DF808B6" w14:textId="2E38D3EF" w:rsidR="008A0682" w:rsidRPr="00DC2791" w:rsidRDefault="00AD7D21" w:rsidP="520F4CCB">
      <w:pPr>
        <w:spacing w:after="0" w:line="240" w:lineRule="auto"/>
        <w:rPr>
          <w:rFonts w:eastAsiaTheme="minorEastAsia"/>
        </w:rPr>
      </w:pPr>
      <m:oMath>
        <m:sSub>
          <m:sSubPr>
            <m:ctrlPr>
              <w:rPr>
                <w:rFonts w:ascii="Cambria Math" w:hAnsi="Cambria Math"/>
              </w:rPr>
            </m:ctrlPr>
          </m:sSubPr>
          <m:e>
            <m:r>
              <w:rPr>
                <w:rFonts w:ascii="Cambria Math" w:hAnsi="Cambria Math"/>
              </w:rPr>
              <m:t>Y</m:t>
            </m:r>
          </m:e>
          <m:sub>
            <m:r>
              <w:rPr>
                <w:rFonts w:ascii="Cambria Math" w:hAnsi="Cambria Math"/>
              </w:rPr>
              <m:t>i</m:t>
            </m:r>
          </m:sub>
        </m:sSub>
      </m:oMath>
      <w:r w:rsidR="008A0682" w:rsidRPr="520F4CCB">
        <w:rPr>
          <w:rFonts w:eastAsiaTheme="minorEastAsia"/>
        </w:rPr>
        <w:t xml:space="preserve"> is the outcome variable. The short-term outcomes are UI durations in weeks, UI benefits in dollars, </w:t>
      </w:r>
      <w:r w:rsidR="0024264F" w:rsidRPr="520F4CCB">
        <w:rPr>
          <w:rFonts w:eastAsiaTheme="minorEastAsia"/>
        </w:rPr>
        <w:t>exhaustion of</w:t>
      </w:r>
      <w:r w:rsidR="008A0682" w:rsidRPr="520F4CCB">
        <w:rPr>
          <w:rFonts w:eastAsiaTheme="minorEastAsia"/>
        </w:rPr>
        <w:t xml:space="preserve"> UI benefits, </w:t>
      </w:r>
      <w:r w:rsidR="0024264F" w:rsidRPr="520F4CCB">
        <w:rPr>
          <w:rFonts w:eastAsiaTheme="minorEastAsia"/>
        </w:rPr>
        <w:t>and</w:t>
      </w:r>
      <w:r w:rsidR="008A0682" w:rsidRPr="520F4CCB">
        <w:rPr>
          <w:rFonts w:eastAsiaTheme="minorEastAsia"/>
        </w:rPr>
        <w:t xml:space="preserve"> employment status</w:t>
      </w:r>
      <w:r w:rsidR="0024264F" w:rsidRPr="520F4CCB">
        <w:rPr>
          <w:rFonts w:eastAsiaTheme="minorEastAsia"/>
        </w:rPr>
        <w:t xml:space="preserve"> </w:t>
      </w:r>
      <w:r w:rsidR="008A0682" w:rsidRPr="520F4CCB">
        <w:rPr>
          <w:rFonts w:eastAsiaTheme="minorEastAsia"/>
        </w:rPr>
        <w:t xml:space="preserve">and average earnings in the first and second quarters after the start of a UI claim. The long-term outcomes include </w:t>
      </w:r>
      <w:r w:rsidR="0024264F" w:rsidRPr="520F4CCB">
        <w:rPr>
          <w:rFonts w:eastAsiaTheme="minorEastAsia"/>
        </w:rPr>
        <w:t>filing a subsequent claim, quarterly employment status and average earnings in t</w:t>
      </w:r>
      <w:r w:rsidR="008A0682" w:rsidRPr="520F4CCB">
        <w:rPr>
          <w:rFonts w:eastAsiaTheme="minorEastAsia"/>
        </w:rPr>
        <w:t>he third through sixth quarters after the start of a UI claim.</w:t>
      </w:r>
      <w:r w:rsidR="000272E0" w:rsidRPr="520F4CCB">
        <w:rPr>
          <w:rFonts w:eastAsiaTheme="minorEastAsia"/>
        </w:rPr>
        <w:t xml:space="preserve"> </w:t>
      </w:r>
      <m:oMath>
        <m:r>
          <w:rPr>
            <w:rFonts w:ascii="Cambria Math" w:hAnsi="Cambria Math"/>
          </w:rPr>
          <m:t>Trea</m:t>
        </m:r>
        <m:sSub>
          <m:sSubPr>
            <m:ctrlPr>
              <w:rPr>
                <w:rFonts w:ascii="Cambria Math" w:hAnsi="Cambria Math"/>
              </w:rPr>
            </m:ctrlPr>
          </m:sSubPr>
          <m:e>
            <m:r>
              <w:rPr>
                <w:rFonts w:ascii="Cambria Math" w:hAnsi="Cambria Math"/>
              </w:rPr>
              <m:t>t</m:t>
            </m:r>
          </m:e>
          <m:sub>
            <m:r>
              <w:rPr>
                <w:rFonts w:ascii="Cambria Math" w:hAnsi="Cambria Math"/>
              </w:rPr>
              <m:t>i</m:t>
            </m:r>
          </m:sub>
        </m:sSub>
      </m:oMath>
      <w:r w:rsidR="008A0682" w:rsidRPr="520F4CCB">
        <w:rPr>
          <w:rFonts w:eastAsiaTheme="minorEastAsia"/>
        </w:rPr>
        <w:t xml:space="preserve"> is an indicator of whether a UI claimant was assigned to the RESEA </w:t>
      </w:r>
      <w:proofErr w:type="gramStart"/>
      <w:r w:rsidR="008A0682" w:rsidRPr="520F4CCB">
        <w:rPr>
          <w:rFonts w:eastAsiaTheme="minorEastAsia"/>
        </w:rPr>
        <w:t>program.</w:t>
      </w:r>
      <w:proofErr w:type="gramEnd"/>
      <w:r w:rsidR="008A0682" w:rsidRPr="520F4CCB">
        <w:rPr>
          <w:rFonts w:eastAsiaTheme="minorEastAsia"/>
        </w:rPr>
        <w:t xml:space="preserve">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008A0682" w:rsidRPr="520F4CCB">
        <w:rPr>
          <w:rFonts w:eastAsiaTheme="minorEastAsia"/>
        </w:rPr>
        <w:t xml:space="preserve"> is a vector of covariates (e.g., gender, race/ethnicity, education, age, disability status, U.S. citizenship, month of UI filing, UI claim filing time-lapse, number of previous UI claims, years of tenure, severance, industry unemployment rates, number of employers, wage</w:t>
      </w:r>
      <w:r w:rsidR="0096540F" w:rsidRPr="520F4CCB">
        <w:rPr>
          <w:rFonts w:eastAsiaTheme="minorEastAsia"/>
        </w:rPr>
        <w:t>s prior to most recent</w:t>
      </w:r>
      <w:r w:rsidR="008A0682" w:rsidRPr="520F4CCB">
        <w:rPr>
          <w:rFonts w:eastAsiaTheme="minorEastAsia"/>
        </w:rPr>
        <w:t xml:space="preserve"> UI claim, county indicators), included to adjust for any random or even systematic differences between the treatment and control groups. </w:t>
      </w:r>
      <m:oMath>
        <m:sSub>
          <m:sSubPr>
            <m:ctrlPr>
              <w:rPr>
                <w:rFonts w:ascii="Cambria Math" w:hAnsi="Cambria Math"/>
              </w:rPr>
            </m:ctrlPr>
          </m:sSubPr>
          <m:e>
            <m:r>
              <w:rPr>
                <w:rFonts w:ascii="Cambria Math" w:hAnsi="Cambria Math"/>
              </w:rPr>
              <m:t>e</m:t>
            </m:r>
          </m:e>
          <m:sub>
            <m:r>
              <w:rPr>
                <w:rFonts w:ascii="Cambria Math" w:hAnsi="Cambria Math"/>
              </w:rPr>
              <m:t>i</m:t>
            </m:r>
          </m:sub>
        </m:sSub>
      </m:oMath>
      <w:r w:rsidR="008A0682" w:rsidRPr="520F4CCB">
        <w:rPr>
          <w:rFonts w:eastAsiaTheme="minorEastAsia"/>
        </w:rPr>
        <w:t xml:space="preserve"> denote the idiosyncratic error. </w:t>
      </w:r>
    </w:p>
    <w:p w14:paraId="2F7327F4" w14:textId="77777777" w:rsidR="008A0682" w:rsidRPr="00DC2791" w:rsidRDefault="008A0682" w:rsidP="0080385F">
      <w:pPr>
        <w:spacing w:after="0" w:line="240" w:lineRule="auto"/>
        <w:rPr>
          <w:rFonts w:eastAsiaTheme="minorEastAsia"/>
        </w:rPr>
      </w:pPr>
    </w:p>
    <w:p w14:paraId="6FD07C9A" w14:textId="71293999" w:rsidR="008A0682" w:rsidRPr="00DC2791" w:rsidRDefault="35B90A2F" w:rsidP="35B90A2F">
      <w:pPr>
        <w:spacing w:after="0" w:line="240" w:lineRule="auto"/>
        <w:rPr>
          <w:rFonts w:eastAsiaTheme="minorEastAsia"/>
        </w:rPr>
      </w:pPr>
      <w:r w:rsidRPr="35B90A2F">
        <w:rPr>
          <w:rFonts w:eastAsiaTheme="minorEastAsia"/>
        </w:rPr>
        <w:t xml:space="preserve">The heterogeneity in the impact of the RESEA program will be tested by interacting RESEA </w:t>
      </w:r>
      <w:r w:rsidR="00F93313">
        <w:rPr>
          <w:rFonts w:eastAsiaTheme="minorEastAsia"/>
        </w:rPr>
        <w:t>assignment</w:t>
      </w:r>
      <w:r w:rsidRPr="35B90A2F">
        <w:rPr>
          <w:rFonts w:eastAsiaTheme="minorEastAsia"/>
        </w:rPr>
        <w:t xml:space="preserve"> with relevant moderators, such as</w:t>
      </w:r>
      <w:r w:rsidR="00F93313">
        <w:rPr>
          <w:rFonts w:eastAsiaTheme="minorEastAsia"/>
        </w:rPr>
        <w:t xml:space="preserve"> claimant characteristics and</w:t>
      </w:r>
      <w:r w:rsidRPr="35B90A2F">
        <w:rPr>
          <w:rFonts w:eastAsiaTheme="minorEastAsia"/>
        </w:rPr>
        <w:t xml:space="preserve"> macro-economic factors. The regression will be estimated as follows: </w:t>
      </w:r>
    </w:p>
    <w:p w14:paraId="2C490C4B" w14:textId="77777777" w:rsidR="008A0682" w:rsidRPr="00DC2791" w:rsidRDefault="008A0682" w:rsidP="0080385F">
      <w:pPr>
        <w:spacing w:after="0" w:line="240" w:lineRule="auto"/>
        <w:rPr>
          <w:rFonts w:eastAsiaTheme="minorEastAsia"/>
        </w:rPr>
      </w:pPr>
    </w:p>
    <w:p w14:paraId="096965E7" w14:textId="466F0AD4" w:rsidR="008A0682" w:rsidRPr="00DC2791" w:rsidRDefault="00AD7D21" w:rsidP="0080385F">
      <w:pPr>
        <w:spacing w:after="0" w:line="240" w:lineRule="auto"/>
        <w:jc w:val="center"/>
        <w:rPr>
          <w:rFonts w:eastAsiaTheme="minorEastAsia"/>
        </w:rPr>
      </w:pPr>
      <m:oMath>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1</m:t>
            </m:r>
          </m:sub>
        </m:sSub>
        <m:r>
          <w:rPr>
            <w:rFonts w:ascii="Cambria Math" w:hAnsi="Cambria Math"/>
          </w:rPr>
          <m:t>Trea</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2</m:t>
            </m:r>
          </m:sub>
        </m:sSub>
        <m:r>
          <w:rPr>
            <w:rFonts w:ascii="Cambria Math" w:hAnsi="Cambria Math"/>
          </w:rPr>
          <m:t>Trea</m:t>
        </m:r>
        <m:sSub>
          <m:sSubPr>
            <m:ctrlPr>
              <w:rPr>
                <w:rFonts w:ascii="Cambria Math" w:hAnsi="Cambria Math"/>
              </w:rPr>
            </m:ctrlPr>
          </m:sSubPr>
          <m:e>
            <m:r>
              <w:rPr>
                <w:rFonts w:ascii="Cambria Math" w:hAnsi="Cambria Math"/>
              </w:rPr>
              <m:t>t</m:t>
            </m:r>
          </m:e>
          <m:sub>
            <m:r>
              <w:rPr>
                <w:rFonts w:ascii="Cambria Math" w:hAnsi="Cambria Math"/>
              </w:rPr>
              <m:t>i</m:t>
            </m:r>
          </m:sub>
        </m:sSub>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3</m:t>
            </m:r>
          </m:sub>
        </m:sSub>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i</m:t>
            </m:r>
          </m:sub>
        </m:sSub>
      </m:oMath>
      <w:r w:rsidR="008A0682" w:rsidRPr="3A367559">
        <w:rPr>
          <w:rFonts w:eastAsiaTheme="minorEastAsia"/>
        </w:rPr>
        <w:t xml:space="preserve">       </w:t>
      </w:r>
      <w:r w:rsidR="000272E0">
        <w:rPr>
          <w:rFonts w:eastAsiaTheme="minorEastAsia"/>
        </w:rPr>
        <w:t xml:space="preserve"> </w:t>
      </w:r>
      <w:r w:rsidR="008A0682" w:rsidRPr="3A367559">
        <w:rPr>
          <w:rFonts w:eastAsiaTheme="minorEastAsia"/>
        </w:rPr>
        <w:t xml:space="preserve">    (2)  </w:t>
      </w:r>
    </w:p>
    <w:p w14:paraId="2B76FB6D" w14:textId="77777777" w:rsidR="008A0682" w:rsidRPr="00DC2791" w:rsidRDefault="008A0682" w:rsidP="0080385F">
      <w:pPr>
        <w:spacing w:after="0" w:line="240" w:lineRule="auto"/>
        <w:rPr>
          <w:rFonts w:eastAsiaTheme="minorEastAsia"/>
        </w:rPr>
      </w:pPr>
    </w:p>
    <w:p w14:paraId="0E985A65" w14:textId="18A7F1B4" w:rsidR="008A0682" w:rsidRDefault="00AD7D21" w:rsidP="520F4CCB">
      <w:pPr>
        <w:spacing w:after="0" w:line="240" w:lineRule="auto"/>
        <w:rPr>
          <w:rFonts w:eastAsiaTheme="minorEastAsia"/>
        </w:rPr>
      </w:pPr>
      <m:oMath>
        <m:sSub>
          <m:sSubPr>
            <m:ctrlPr>
              <w:rPr>
                <w:rFonts w:ascii="Cambria Math" w:hAnsi="Cambria Math"/>
              </w:rPr>
            </m:ctrlPr>
          </m:sSubPr>
          <m:e>
            <m:r>
              <w:rPr>
                <w:rFonts w:ascii="Cambria Math" w:hAnsi="Cambria Math"/>
              </w:rPr>
              <m:t>M</m:t>
            </m:r>
          </m:e>
          <m:sub>
            <m:r>
              <w:rPr>
                <w:rFonts w:ascii="Cambria Math" w:hAnsi="Cambria Math"/>
              </w:rPr>
              <m:t>i</m:t>
            </m:r>
          </m:sub>
        </m:sSub>
      </m:oMath>
      <w:r w:rsidR="008A0682" w:rsidRPr="520F4CCB">
        <w:rPr>
          <w:rFonts w:eastAsiaTheme="minorEastAsia"/>
        </w:rPr>
        <w:t xml:space="preserve"> denotes moderators proxying for </w:t>
      </w:r>
      <w:r w:rsidR="00F93313" w:rsidRPr="520F4CCB">
        <w:rPr>
          <w:rFonts w:eastAsiaTheme="minorEastAsia"/>
        </w:rPr>
        <w:t>claimant socio-demographic characteristics</w:t>
      </w:r>
      <w:r w:rsidR="09755558" w:rsidRPr="09755558">
        <w:rPr>
          <w:rFonts w:eastAsiaTheme="minorEastAsia"/>
        </w:rPr>
        <w:t>,</w:t>
      </w:r>
      <w:r w:rsidR="00F93313" w:rsidRPr="520F4CCB">
        <w:rPr>
          <w:rFonts w:eastAsiaTheme="minorEastAsia"/>
        </w:rPr>
        <w:t xml:space="preserve"> work histories, programmatic</w:t>
      </w:r>
      <w:r w:rsidR="09755558" w:rsidRPr="09755558">
        <w:rPr>
          <w:rFonts w:eastAsiaTheme="minorEastAsia"/>
        </w:rPr>
        <w:t xml:space="preserve"> </w:t>
      </w:r>
      <w:r w:rsidR="008A0682" w:rsidRPr="520F4CCB">
        <w:rPr>
          <w:rFonts w:eastAsiaTheme="minorEastAsia"/>
        </w:rPr>
        <w:t>and macro-economic factors</w:t>
      </w:r>
      <w:r w:rsidR="00F93313" w:rsidRPr="520F4CCB">
        <w:rPr>
          <w:rFonts w:eastAsiaTheme="minorEastAsia"/>
        </w:rPr>
        <w:t xml:space="preserve">. The socio-demographic factors include </w:t>
      </w:r>
      <w:r w:rsidR="007A2CE5" w:rsidRPr="520F4CCB">
        <w:rPr>
          <w:rFonts w:eastAsiaTheme="minorEastAsia"/>
        </w:rPr>
        <w:t>claimant gender, age, race/ethnicity, and educational attainment. The examples of employment histories are earnings in prior year and profiling scores</w:t>
      </w:r>
      <w:r w:rsidR="008A0682" w:rsidRPr="520F4CCB">
        <w:rPr>
          <w:rFonts w:eastAsiaTheme="minorEastAsia"/>
        </w:rPr>
        <w:t xml:space="preserve">. </w:t>
      </w:r>
      <w:r w:rsidR="00030D85">
        <w:rPr>
          <w:rFonts w:eastAsiaTheme="minorEastAsia"/>
        </w:rPr>
        <w:t>P</w:t>
      </w:r>
      <w:r w:rsidR="00030D85" w:rsidRPr="520F4CCB">
        <w:rPr>
          <w:rFonts w:eastAsiaTheme="minorEastAsia"/>
        </w:rPr>
        <w:t>rogrammatic factors include gender-concordance between counselors and RESEA participants</w:t>
      </w:r>
      <w:r w:rsidR="00030D85">
        <w:rPr>
          <w:rFonts w:eastAsiaTheme="minorEastAsia"/>
        </w:rPr>
        <w:t>, and m</w:t>
      </w:r>
      <w:r w:rsidR="008A0682" w:rsidRPr="520F4CCB">
        <w:rPr>
          <w:rFonts w:eastAsiaTheme="minorEastAsia"/>
        </w:rPr>
        <w:t xml:space="preserve">acro-economic factors include </w:t>
      </w:r>
      <w:r w:rsidR="00F93313" w:rsidRPr="520F4CCB">
        <w:rPr>
          <w:rFonts w:eastAsiaTheme="minorEastAsia"/>
        </w:rPr>
        <w:t xml:space="preserve">county-level </w:t>
      </w:r>
      <w:r w:rsidR="008A0682" w:rsidRPr="520F4CCB">
        <w:rPr>
          <w:rFonts w:eastAsiaTheme="minorEastAsia"/>
        </w:rPr>
        <w:t>and</w:t>
      </w:r>
      <w:r w:rsidR="00F93313" w:rsidRPr="520F4CCB">
        <w:rPr>
          <w:rFonts w:eastAsiaTheme="minorEastAsia"/>
        </w:rPr>
        <w:t xml:space="preserve"> industry-specific unemployment rate</w:t>
      </w:r>
      <w:r w:rsidR="007A2CE5" w:rsidRPr="520F4CCB">
        <w:rPr>
          <w:rFonts w:eastAsiaTheme="minorEastAsia"/>
        </w:rPr>
        <w:t>s</w:t>
      </w:r>
      <w:r w:rsidR="002664CA" w:rsidRPr="520F4CCB">
        <w:rPr>
          <w:rFonts w:eastAsiaTheme="minorEastAsia"/>
        </w:rPr>
        <w:t xml:space="preserve">. </w:t>
      </w:r>
      <w:r w:rsidR="00E51410" w:rsidRPr="520F4CCB">
        <w:rPr>
          <w:rFonts w:eastAsiaTheme="minorEastAsia"/>
        </w:rPr>
        <w:t>For analyses examining programmatic factors</w:t>
      </w:r>
      <w:r w:rsidR="002664CA" w:rsidRPr="520F4CCB">
        <w:rPr>
          <w:rFonts w:eastAsiaTheme="minorEastAsia"/>
        </w:rPr>
        <w:t xml:space="preserve"> as moderators</w:t>
      </w:r>
      <w:r w:rsidR="003254C9" w:rsidRPr="520F4CCB">
        <w:rPr>
          <w:rFonts w:eastAsiaTheme="minorEastAsia"/>
        </w:rPr>
        <w:t xml:space="preserve">, the analysis sample will include only claimants assigned to RESEA who completed the appointment, with variation in outcomes examined as a function of </w:t>
      </w:r>
      <w:r w:rsidR="6E92C476" w:rsidRPr="520F4CCB">
        <w:rPr>
          <w:rFonts w:eastAsiaTheme="minorEastAsia"/>
        </w:rPr>
        <w:t>counselors and counselor-claimant gender concordance. In particular, v</w:t>
      </w:r>
      <w:r w:rsidR="002664CA" w:rsidRPr="520F4CCB">
        <w:rPr>
          <w:rFonts w:eastAsiaTheme="minorEastAsia"/>
        </w:rPr>
        <w:t xml:space="preserve">ariations in the impact </w:t>
      </w:r>
      <w:r w:rsidR="6E92C476" w:rsidRPr="520F4CCB">
        <w:rPr>
          <w:rFonts w:eastAsiaTheme="minorEastAsia"/>
        </w:rPr>
        <w:t xml:space="preserve">of RESEA </w:t>
      </w:r>
      <w:r w:rsidR="002664CA" w:rsidRPr="520F4CCB">
        <w:rPr>
          <w:rFonts w:eastAsiaTheme="minorEastAsia"/>
        </w:rPr>
        <w:t>across counselors will be examined using counselor-fixed effects</w:t>
      </w:r>
      <w:r w:rsidR="003254C9" w:rsidRPr="520F4CCB">
        <w:rPr>
          <w:rFonts w:eastAsiaTheme="minorEastAsia"/>
        </w:rPr>
        <w:t xml:space="preserve"> where differences in </w:t>
      </w:r>
      <w:r w:rsidR="002664CA" w:rsidRPr="520F4CCB">
        <w:rPr>
          <w:rFonts w:eastAsiaTheme="minorEastAsia"/>
        </w:rPr>
        <w:t xml:space="preserve">claimant outcomes </w:t>
      </w:r>
      <w:r w:rsidR="003254C9" w:rsidRPr="520F4CCB">
        <w:rPr>
          <w:rFonts w:eastAsiaTheme="minorEastAsia"/>
        </w:rPr>
        <w:t>are modeled as a function of the counselor completing the RESEA appointment</w:t>
      </w:r>
      <w:r w:rsidR="00E51410" w:rsidRPr="520F4CCB">
        <w:rPr>
          <w:rFonts w:eastAsiaTheme="minorEastAsia"/>
        </w:rPr>
        <w:t xml:space="preserve"> after adjusting for covariates. Month</w:t>
      </w:r>
      <w:r w:rsidR="003254C9" w:rsidRPr="520F4CCB">
        <w:rPr>
          <w:rFonts w:eastAsiaTheme="minorEastAsia"/>
        </w:rPr>
        <w:t>-of-selection</w:t>
      </w:r>
      <w:r w:rsidR="520F4CCB" w:rsidRPr="520F4CCB">
        <w:rPr>
          <w:rFonts w:eastAsiaTheme="minorEastAsia"/>
        </w:rPr>
        <w:t xml:space="preserve"> fixed effects also will be included to adjust for seasonal and other programmatic factors that may influence claimant outcomes but could be correlated with the assignment to specific counselors. These model results will demonstrate variation in the impact of RESEA but will not be able to identify the</w:t>
      </w:r>
      <w:r w:rsidR="00030D85">
        <w:rPr>
          <w:rFonts w:eastAsiaTheme="minorEastAsia"/>
        </w:rPr>
        <w:t xml:space="preserve"> contributing</w:t>
      </w:r>
      <w:r w:rsidR="520F4CCB" w:rsidRPr="520F4CCB">
        <w:rPr>
          <w:rFonts w:eastAsiaTheme="minorEastAsia"/>
        </w:rPr>
        <w:t xml:space="preserve"> factors. </w:t>
      </w:r>
    </w:p>
    <w:p w14:paraId="52077451" w14:textId="03061C19" w:rsidR="00F64852" w:rsidRDefault="00F64852" w:rsidP="45D34387">
      <w:pPr>
        <w:spacing w:after="0" w:line="240" w:lineRule="auto"/>
        <w:rPr>
          <w:rFonts w:eastAsiaTheme="minorEastAsia"/>
        </w:rPr>
      </w:pPr>
    </w:p>
    <w:p w14:paraId="6715AEAD" w14:textId="2E4B1FE2" w:rsidR="00E51410" w:rsidRDefault="00E51410" w:rsidP="00E51410">
      <w:pPr>
        <w:pStyle w:val="Heading3"/>
      </w:pPr>
      <w:r w:rsidRPr="2AD39660">
        <w:t>3.3.</w:t>
      </w:r>
      <w:r>
        <w:t>3 Supplemental Models and Sensitivity Tests</w:t>
      </w:r>
    </w:p>
    <w:p w14:paraId="55A2CCBB" w14:textId="77777777" w:rsidR="00E51410" w:rsidRDefault="00E51410" w:rsidP="45D34387">
      <w:pPr>
        <w:spacing w:after="0" w:line="240" w:lineRule="auto"/>
        <w:rPr>
          <w:rFonts w:eastAsiaTheme="minorEastAsia"/>
        </w:rPr>
      </w:pPr>
    </w:p>
    <w:p w14:paraId="63B909C0" w14:textId="77777777" w:rsidR="002842CA" w:rsidRDefault="00E51410" w:rsidP="45D34387">
      <w:pPr>
        <w:spacing w:after="0" w:line="240" w:lineRule="auto"/>
        <w:rPr>
          <w:rFonts w:eastAsiaTheme="minorEastAsia"/>
        </w:rPr>
      </w:pPr>
      <w:r>
        <w:rPr>
          <w:rFonts w:eastAsiaTheme="minorEastAsia"/>
        </w:rPr>
        <w:t xml:space="preserve">To test the robustness of estimates of program impact, we will conduct sensitivity tests where alternative sample exclusion criteria are </w:t>
      </w:r>
      <w:r w:rsidR="002842CA">
        <w:rPr>
          <w:rFonts w:eastAsiaTheme="minorEastAsia"/>
        </w:rPr>
        <w:t>used</w:t>
      </w:r>
      <w:r>
        <w:rPr>
          <w:rFonts w:eastAsiaTheme="minorEastAsia"/>
        </w:rPr>
        <w:t xml:space="preserve">. In particular, </w:t>
      </w:r>
      <w:r w:rsidR="002842CA">
        <w:rPr>
          <w:rFonts w:eastAsiaTheme="minorEastAsia"/>
        </w:rPr>
        <w:t xml:space="preserve">one limitation in interpreting the impact estimates is that some claimants in the evaluation will have been exposed to the RESEA program during a prior claim, and although the rate of prior exposure would be balanced across intervention and control groups, the experience of being in both the RESEA and control group may be different for claimants previously </w:t>
      </w:r>
      <w:r w:rsidR="002842CA">
        <w:rPr>
          <w:rFonts w:eastAsiaTheme="minorEastAsia"/>
        </w:rPr>
        <w:lastRenderedPageBreak/>
        <w:t xml:space="preserve">assigned to RESEA. Thus, we will include assignment to RESEA in the prior two years as an exclusion criterion, such that the assumption of no prior treatment can be more fully met. </w:t>
      </w:r>
    </w:p>
    <w:p w14:paraId="4736561A" w14:textId="77777777" w:rsidR="002842CA" w:rsidRDefault="002842CA" w:rsidP="45D34387">
      <w:pPr>
        <w:spacing w:after="0" w:line="240" w:lineRule="auto"/>
        <w:rPr>
          <w:rFonts w:eastAsiaTheme="minorEastAsia"/>
        </w:rPr>
      </w:pPr>
    </w:p>
    <w:p w14:paraId="0EC3109B" w14:textId="4088142C" w:rsidR="003254C9" w:rsidRDefault="002842CA" w:rsidP="45D34387">
      <w:pPr>
        <w:spacing w:after="0" w:line="240" w:lineRule="auto"/>
        <w:rPr>
          <w:rFonts w:eastAsiaTheme="minorEastAsia"/>
        </w:rPr>
      </w:pPr>
      <w:r>
        <w:rPr>
          <w:rFonts w:eastAsiaTheme="minorEastAsia"/>
        </w:rPr>
        <w:t xml:space="preserve">As a sensitivity test for the outcome of filing a new claim in the subsequent benefit year, we will exclude claimants from select industries with high rates of seasonal layoffs as the likelihood of recurrent UI claims in each benefit year tend to be high (e.g., construction, hospitality). </w:t>
      </w:r>
    </w:p>
    <w:p w14:paraId="693FCDF8" w14:textId="4FCD94FC" w:rsidR="00E51410" w:rsidRDefault="00E51410" w:rsidP="45D34387">
      <w:pPr>
        <w:spacing w:after="0" w:line="240" w:lineRule="auto"/>
        <w:rPr>
          <w:rFonts w:eastAsiaTheme="minorEastAsia"/>
        </w:rPr>
      </w:pPr>
    </w:p>
    <w:p w14:paraId="5B03DE6D" w14:textId="6218BC43" w:rsidR="00E51410" w:rsidRDefault="00F35B7C" w:rsidP="0889E492">
      <w:pPr>
        <w:spacing w:after="0" w:line="240" w:lineRule="auto"/>
        <w:rPr>
          <w:rStyle w:val="markedcontent"/>
          <w:rFonts w:eastAsiaTheme="minorEastAsia"/>
          <w:shd w:val="clear" w:color="auto" w:fill="FFFFFF"/>
        </w:rPr>
      </w:pPr>
      <w:r w:rsidRPr="0889E492">
        <w:rPr>
          <w:rStyle w:val="markedcontent"/>
          <w:rFonts w:eastAsiaTheme="minorEastAsia"/>
          <w:shd w:val="clear" w:color="auto" w:fill="FFFFFF"/>
        </w:rPr>
        <w:t>As a supplemental test, we will examine the extent to which there is variation in the timing of selection for the evaluation (and thus assignment to RESEA) and determine whether such variation would be sufficient for identifying how the timing of assignment to RESEA influences the impact on claimant outcomes. Claimants may be selected for the evaluation, and thus randomized to RESEA or control groups, in the first through third week after receiving their first UI payment. Because the selection o</w:t>
      </w:r>
      <w:r w:rsidR="00E51410" w:rsidRPr="0889E492">
        <w:rPr>
          <w:rStyle w:val="markedcontent"/>
          <w:rFonts w:eastAsiaTheme="minorEastAsia"/>
          <w:shd w:val="clear" w:color="auto" w:fill="FFFFFF"/>
        </w:rPr>
        <w:t>f claimants for the evaluation is</w:t>
      </w:r>
      <w:r w:rsidRPr="0889E492">
        <w:rPr>
          <w:rStyle w:val="markedcontent"/>
          <w:rFonts w:eastAsiaTheme="minorEastAsia"/>
          <w:shd w:val="clear" w:color="auto" w:fill="FFFFFF"/>
        </w:rPr>
        <w:t xml:space="preserve"> random, variation in timing will be exogenous from claimant characteristics, but not from programmatic factors and labor market conditions. Indeed, any variation in the timing is dependent on DWS UI not selecting all eligible claimants for the evaluation in a given week. Thus, for analyses examining the influence of timing of assignment</w:t>
      </w:r>
      <w:r w:rsidR="00426DBA" w:rsidRPr="0889E492">
        <w:rPr>
          <w:rStyle w:val="markedcontent"/>
          <w:rFonts w:eastAsiaTheme="minorEastAsia"/>
          <w:shd w:val="clear" w:color="auto" w:fill="FFFFFF"/>
        </w:rPr>
        <w:t>, we</w:t>
      </w:r>
      <w:r w:rsidRPr="0889E492">
        <w:rPr>
          <w:rStyle w:val="markedcontent"/>
          <w:rFonts w:eastAsiaTheme="minorEastAsia"/>
          <w:shd w:val="clear" w:color="auto" w:fill="FFFFFF"/>
        </w:rPr>
        <w:t xml:space="preserve"> will </w:t>
      </w:r>
      <w:r w:rsidR="00030D85">
        <w:rPr>
          <w:rStyle w:val="markedcontent"/>
          <w:rFonts w:eastAsiaTheme="minorEastAsia"/>
          <w:shd w:val="clear" w:color="auto" w:fill="FFFFFF"/>
        </w:rPr>
        <w:t xml:space="preserve">use regression and matching techniques to control for the probability of selection into the randomization for intervention and control claimants and </w:t>
      </w:r>
      <w:r w:rsidR="00426DBA" w:rsidRPr="0889E492">
        <w:rPr>
          <w:rStyle w:val="markedcontent"/>
          <w:rFonts w:eastAsiaTheme="minorEastAsia"/>
          <w:shd w:val="clear" w:color="auto" w:fill="FFFFFF"/>
        </w:rPr>
        <w:t xml:space="preserve">examine temporal and labor market covariates to adjust for potential confounding influences. </w:t>
      </w:r>
    </w:p>
    <w:p w14:paraId="1CD964FC" w14:textId="77777777" w:rsidR="00E51410" w:rsidRDefault="00E51410" w:rsidP="45D34387">
      <w:pPr>
        <w:spacing w:after="0" w:line="240" w:lineRule="auto"/>
        <w:rPr>
          <w:rFonts w:eastAsiaTheme="minorEastAsia"/>
        </w:rPr>
      </w:pPr>
    </w:p>
    <w:p w14:paraId="54A6E6E8" w14:textId="071083D7" w:rsidR="3A499947" w:rsidRDefault="2AD39660" w:rsidP="00F93313">
      <w:pPr>
        <w:pStyle w:val="Heading3"/>
      </w:pPr>
      <w:r w:rsidRPr="2AD39660">
        <w:t>3.3.</w:t>
      </w:r>
      <w:r w:rsidR="00E51410">
        <w:t>4</w:t>
      </w:r>
      <w:r w:rsidRPr="2AD39660">
        <w:t xml:space="preserve"> </w:t>
      </w:r>
      <w:r w:rsidR="3A499947">
        <w:t>Power Analysis</w:t>
      </w:r>
    </w:p>
    <w:p w14:paraId="709A6E0F" w14:textId="77777777" w:rsidR="00F93313" w:rsidRDefault="00F93313" w:rsidP="00F93313">
      <w:pPr>
        <w:spacing w:after="0" w:line="257" w:lineRule="auto"/>
        <w:rPr>
          <w:rFonts w:ascii="Calibri" w:eastAsia="Calibri" w:hAnsi="Calibri" w:cs="Calibri"/>
        </w:rPr>
      </w:pPr>
    </w:p>
    <w:p w14:paraId="0D25A8D7" w14:textId="3955E31C" w:rsidR="008A0682" w:rsidRPr="004D05C8" w:rsidRDefault="00B1428B" w:rsidP="004D05C8">
      <w:pPr>
        <w:spacing w:line="257" w:lineRule="auto"/>
        <w:rPr>
          <w:rFonts w:ascii="Calibri" w:eastAsia="Calibri" w:hAnsi="Calibri" w:cs="Calibri"/>
        </w:rPr>
      </w:pPr>
      <w:r>
        <w:rPr>
          <w:rFonts w:ascii="Calibri" w:eastAsia="Calibri" w:hAnsi="Calibri" w:cs="Calibri"/>
        </w:rPr>
        <w:t xml:space="preserve">We provide power calculations to estimate the required sample size </w:t>
      </w:r>
      <w:r w:rsidR="00460E6C">
        <w:rPr>
          <w:rFonts w:ascii="Calibri" w:eastAsia="Calibri" w:hAnsi="Calibri" w:cs="Calibri"/>
        </w:rPr>
        <w:t>by</w:t>
      </w:r>
      <w:r w:rsidR="00B46B9B">
        <w:rPr>
          <w:rFonts w:ascii="Calibri" w:eastAsia="Calibri" w:hAnsi="Calibri" w:cs="Calibri"/>
        </w:rPr>
        <w:t xml:space="preserve"> outcome </w:t>
      </w:r>
      <w:r>
        <w:rPr>
          <w:rFonts w:ascii="Calibri" w:eastAsia="Calibri" w:hAnsi="Calibri" w:cs="Calibri"/>
        </w:rPr>
        <w:t xml:space="preserve">based on </w:t>
      </w:r>
      <w:r w:rsidR="00B46B9B">
        <w:rPr>
          <w:rFonts w:ascii="Calibri" w:eastAsia="Calibri" w:hAnsi="Calibri" w:cs="Calibri"/>
        </w:rPr>
        <w:t xml:space="preserve">the </w:t>
      </w:r>
      <w:r w:rsidR="00FF563C">
        <w:rPr>
          <w:rFonts w:ascii="Calibri" w:eastAsia="Calibri" w:hAnsi="Calibri" w:cs="Calibri"/>
        </w:rPr>
        <w:t xml:space="preserve">expected effect size and commonly used thresholds for </w:t>
      </w:r>
      <w:r>
        <w:rPr>
          <w:rFonts w:ascii="Calibri" w:eastAsia="Calibri" w:hAnsi="Calibri" w:cs="Calibri"/>
        </w:rPr>
        <w:t>statistical power</w:t>
      </w:r>
      <w:r w:rsidR="00FF563C">
        <w:rPr>
          <w:rFonts w:ascii="Calibri" w:eastAsia="Calibri" w:hAnsi="Calibri" w:cs="Calibri"/>
        </w:rPr>
        <w:t xml:space="preserve"> and statistical significance (i.e., alpha). </w:t>
      </w:r>
      <w:r w:rsidR="6E92C476" w:rsidRPr="6E92C476">
        <w:rPr>
          <w:rFonts w:ascii="Calibri" w:eastAsia="Calibri" w:hAnsi="Calibri" w:cs="Calibri"/>
        </w:rPr>
        <w:t xml:space="preserve">Statistical power is the probability of </w:t>
      </w:r>
      <w:r>
        <w:rPr>
          <w:rFonts w:ascii="Calibri" w:eastAsia="Calibri" w:hAnsi="Calibri" w:cs="Calibri"/>
        </w:rPr>
        <w:t>detecting</w:t>
      </w:r>
      <w:r w:rsidR="6E92C476" w:rsidRPr="6E92C476">
        <w:rPr>
          <w:rFonts w:ascii="Calibri" w:eastAsia="Calibri" w:hAnsi="Calibri" w:cs="Calibri"/>
        </w:rPr>
        <w:t xml:space="preserve"> a statistically significant re</w:t>
      </w:r>
      <w:r>
        <w:rPr>
          <w:rFonts w:ascii="Calibri" w:eastAsia="Calibri" w:hAnsi="Calibri" w:cs="Calibri"/>
        </w:rPr>
        <w:t>lationship if one exists</w:t>
      </w:r>
      <w:r w:rsidR="6E92C476" w:rsidRPr="6E92C476">
        <w:rPr>
          <w:rFonts w:ascii="Calibri" w:eastAsia="Calibri" w:hAnsi="Calibri" w:cs="Calibri"/>
        </w:rPr>
        <w:t xml:space="preserve"> in the population. As a rule of thumb, the minimum statistical power is 0.80, indicating</w:t>
      </w:r>
      <w:r w:rsidR="007B257F">
        <w:rPr>
          <w:rFonts w:ascii="Calibri" w:eastAsia="Calibri" w:hAnsi="Calibri" w:cs="Calibri"/>
        </w:rPr>
        <w:t xml:space="preserve"> </w:t>
      </w:r>
      <w:r w:rsidR="00647060">
        <w:rPr>
          <w:rFonts w:ascii="Calibri" w:eastAsia="Calibri" w:hAnsi="Calibri" w:cs="Calibri"/>
        </w:rPr>
        <w:t>a relationship would be identified as statistically significant in</w:t>
      </w:r>
      <w:r w:rsidR="6E92C476" w:rsidRPr="6E92C476">
        <w:rPr>
          <w:rFonts w:ascii="Calibri" w:eastAsia="Calibri" w:hAnsi="Calibri" w:cs="Calibri"/>
        </w:rPr>
        <w:t xml:space="preserve"> 80% of random samples when such a relationship exists in the population (Cohen, 1988). </w:t>
      </w:r>
      <w:r w:rsidR="00FF563C">
        <w:rPr>
          <w:rFonts w:ascii="Calibri" w:eastAsia="Calibri" w:hAnsi="Calibri" w:cs="Calibri"/>
        </w:rPr>
        <w:t>In addition to expected effect size and desired power, the required</w:t>
      </w:r>
      <w:r w:rsidR="6E92C476" w:rsidRPr="6E92C476">
        <w:rPr>
          <w:rFonts w:ascii="Calibri" w:eastAsia="Calibri" w:hAnsi="Calibri" w:cs="Calibri"/>
        </w:rPr>
        <w:t xml:space="preserve"> sample size</w:t>
      </w:r>
      <w:r w:rsidR="00FF563C">
        <w:rPr>
          <w:rFonts w:ascii="Calibri" w:eastAsia="Calibri" w:hAnsi="Calibri" w:cs="Calibri"/>
        </w:rPr>
        <w:t xml:space="preserve"> </w:t>
      </w:r>
      <w:r w:rsidR="00AF034D">
        <w:rPr>
          <w:rFonts w:ascii="Calibri" w:eastAsia="Calibri" w:hAnsi="Calibri" w:cs="Calibri"/>
        </w:rPr>
        <w:t>depend</w:t>
      </w:r>
      <w:r w:rsidR="00FF563C">
        <w:rPr>
          <w:rFonts w:ascii="Calibri" w:eastAsia="Calibri" w:hAnsi="Calibri" w:cs="Calibri"/>
        </w:rPr>
        <w:t>s</w:t>
      </w:r>
      <w:r w:rsidR="00AF034D">
        <w:rPr>
          <w:rFonts w:ascii="Calibri" w:eastAsia="Calibri" w:hAnsi="Calibri" w:cs="Calibri"/>
        </w:rPr>
        <w:t xml:space="preserve"> on the</w:t>
      </w:r>
      <w:r w:rsidR="00FF563C">
        <w:rPr>
          <w:rFonts w:ascii="Calibri" w:eastAsia="Calibri" w:hAnsi="Calibri" w:cs="Calibri"/>
        </w:rPr>
        <w:t xml:space="preserve"> </w:t>
      </w:r>
      <w:r w:rsidR="00AF034D">
        <w:rPr>
          <w:rFonts w:ascii="Calibri" w:eastAsia="Calibri" w:hAnsi="Calibri" w:cs="Calibri"/>
        </w:rPr>
        <w:t xml:space="preserve">randomization ratio, inclusion of covariates, </w:t>
      </w:r>
      <w:r w:rsidR="00FF563C">
        <w:rPr>
          <w:rFonts w:ascii="Calibri" w:eastAsia="Calibri" w:hAnsi="Calibri" w:cs="Calibri"/>
        </w:rPr>
        <w:t xml:space="preserve">the variable type, </w:t>
      </w:r>
      <w:r w:rsidR="00AF034D">
        <w:rPr>
          <w:rFonts w:ascii="Calibri" w:eastAsia="Calibri" w:hAnsi="Calibri" w:cs="Calibri"/>
        </w:rPr>
        <w:t>among other factors</w:t>
      </w:r>
      <w:r w:rsidR="6E92C476" w:rsidRPr="6E92C476">
        <w:rPr>
          <w:rFonts w:ascii="Calibri" w:eastAsia="Calibri" w:hAnsi="Calibri" w:cs="Calibri"/>
        </w:rPr>
        <w:t xml:space="preserve">. The first scenario </w:t>
      </w:r>
      <w:r w:rsidR="00AF034D">
        <w:rPr>
          <w:rFonts w:ascii="Calibri" w:eastAsia="Calibri" w:hAnsi="Calibri" w:cs="Calibri"/>
        </w:rPr>
        <w:t xml:space="preserve">we show here </w:t>
      </w:r>
      <w:r w:rsidR="6E92C476" w:rsidRPr="6E92C476">
        <w:rPr>
          <w:rFonts w:ascii="Calibri" w:eastAsia="Calibri" w:hAnsi="Calibri" w:cs="Calibri"/>
        </w:rPr>
        <w:t>is based on simple mean comparisons between treatment and control groups without controlling for any covariates. Table 5 provides the required sample sizes estimated when power and alpha are set at 0.80 and 0.05, respectively. The sample sizes across outcome variables are calculated using the standardized effect sizes (Thetas</w:t>
      </w:r>
      <w:r w:rsidR="00460E6C">
        <w:rPr>
          <w:rFonts w:ascii="Calibri" w:eastAsia="Calibri" w:hAnsi="Calibri" w:cs="Calibri"/>
        </w:rPr>
        <w:t>)</w:t>
      </w:r>
      <w:r w:rsidR="6E92C476" w:rsidRPr="6E92C476">
        <w:rPr>
          <w:rFonts w:ascii="Calibri" w:eastAsia="Calibri" w:hAnsi="Calibri" w:cs="Calibri"/>
        </w:rPr>
        <w:t xml:space="preserve"> from Table 2 and the standard errors for each outcome. The required sample sizes vary from 362 to 1,778. </w:t>
      </w:r>
      <w:r w:rsidR="00FF563C">
        <w:rPr>
          <w:rFonts w:ascii="Calibri" w:eastAsia="Calibri" w:hAnsi="Calibri" w:cs="Calibri"/>
        </w:rPr>
        <w:t>E</w:t>
      </w:r>
      <w:r w:rsidR="6E92C476" w:rsidRPr="6E92C476">
        <w:rPr>
          <w:rFonts w:ascii="Calibri" w:eastAsia="Calibri" w:hAnsi="Calibri" w:cs="Calibri"/>
        </w:rPr>
        <w:t xml:space="preserve">mployment outcomes require a larger sample size to detect a significant effect due to smaller effect sizes. </w:t>
      </w:r>
      <w:r w:rsidR="6E92C476" w:rsidRPr="007F609E">
        <w:rPr>
          <w:rFonts w:ascii="Calibri" w:eastAsia="Calibri" w:hAnsi="Calibri" w:cs="Calibri"/>
          <w:b/>
        </w:rPr>
        <w:t>However, the</w:t>
      </w:r>
      <w:r w:rsidR="001E16AC" w:rsidRPr="007F609E">
        <w:rPr>
          <w:rFonts w:ascii="Calibri" w:eastAsia="Calibri" w:hAnsi="Calibri" w:cs="Calibri"/>
          <w:b/>
        </w:rPr>
        <w:t>se</w:t>
      </w:r>
      <w:r w:rsidR="6E92C476" w:rsidRPr="007F609E">
        <w:rPr>
          <w:rFonts w:ascii="Calibri" w:eastAsia="Calibri" w:hAnsi="Calibri" w:cs="Calibri"/>
          <w:b/>
        </w:rPr>
        <w:t xml:space="preserve"> estimates for required sample size</w:t>
      </w:r>
      <w:r w:rsidR="001E16AC" w:rsidRPr="007F609E">
        <w:rPr>
          <w:rFonts w:ascii="Calibri" w:eastAsia="Calibri" w:hAnsi="Calibri" w:cs="Calibri"/>
          <w:b/>
        </w:rPr>
        <w:t>s</w:t>
      </w:r>
      <w:r w:rsidR="6E92C476" w:rsidRPr="007F609E">
        <w:rPr>
          <w:rFonts w:ascii="Calibri" w:eastAsia="Calibri" w:hAnsi="Calibri" w:cs="Calibri"/>
          <w:b/>
        </w:rPr>
        <w:t xml:space="preserve"> should likely be considered as best-case estimates given the reliance on only two to </w:t>
      </w:r>
      <w:proofErr w:type="gramStart"/>
      <w:r w:rsidR="6E92C476" w:rsidRPr="007F609E">
        <w:rPr>
          <w:rFonts w:ascii="Calibri" w:eastAsia="Calibri" w:hAnsi="Calibri" w:cs="Calibri"/>
          <w:b/>
        </w:rPr>
        <w:t>four point</w:t>
      </w:r>
      <w:proofErr w:type="gramEnd"/>
      <w:r w:rsidR="6E92C476" w:rsidRPr="007F609E">
        <w:rPr>
          <w:rFonts w:ascii="Calibri" w:eastAsia="Calibri" w:hAnsi="Calibri" w:cs="Calibri"/>
          <w:b/>
        </w:rPr>
        <w:t xml:space="preserve"> estimates in our meta-analysis, one of which was for the Nevada REA program</w:t>
      </w:r>
      <w:r w:rsidR="6E92C476" w:rsidRPr="6E92C476">
        <w:rPr>
          <w:rFonts w:ascii="Calibri" w:eastAsia="Calibri" w:hAnsi="Calibri" w:cs="Calibri"/>
        </w:rPr>
        <w:t xml:space="preserve">. Impact estimates from </w:t>
      </w:r>
      <w:r w:rsidR="001E16AC">
        <w:rPr>
          <w:rFonts w:ascii="Calibri" w:eastAsia="Calibri" w:hAnsi="Calibri" w:cs="Calibri"/>
        </w:rPr>
        <w:t xml:space="preserve">the evaluation in </w:t>
      </w:r>
      <w:r w:rsidR="6E92C476" w:rsidRPr="6E92C476">
        <w:rPr>
          <w:rFonts w:ascii="Calibri" w:eastAsia="Calibri" w:hAnsi="Calibri" w:cs="Calibri"/>
        </w:rPr>
        <w:t xml:space="preserve">Nevada are unusually large as compared to all other REA impact estimates, and it is possible that the standardized effect sizes </w:t>
      </w:r>
      <w:r w:rsidR="00460E6C">
        <w:rPr>
          <w:rFonts w:ascii="Calibri" w:eastAsia="Calibri" w:hAnsi="Calibri" w:cs="Calibri"/>
        </w:rPr>
        <w:t>will be</w:t>
      </w:r>
      <w:r w:rsidR="6E92C476" w:rsidRPr="6E92C476">
        <w:rPr>
          <w:rFonts w:ascii="Calibri" w:eastAsia="Calibri" w:hAnsi="Calibri" w:cs="Calibri"/>
        </w:rPr>
        <w:t xml:space="preserve"> considerably smaller than we report here—thus, requiring a larger sample size to detect a significant impact. Moreover, statistical power is decreased when the treatment variable is imbalanced as in the case of a 2:1 randomization ratio,</w:t>
      </w:r>
      <w:r w:rsidR="00D9644F">
        <w:rPr>
          <w:rFonts w:ascii="Calibri" w:eastAsia="Calibri" w:hAnsi="Calibri" w:cs="Calibri"/>
        </w:rPr>
        <w:t xml:space="preserve"> with a 2:1 ratio requiring </w:t>
      </w:r>
      <w:r w:rsidR="003306C3">
        <w:rPr>
          <w:rFonts w:ascii="Calibri" w:eastAsia="Calibri" w:hAnsi="Calibri" w:cs="Calibri"/>
        </w:rPr>
        <w:t>a larger sample size than would a balanced study (e.g., 12% more participants</w:t>
      </w:r>
      <w:r w:rsidR="00625DC1">
        <w:rPr>
          <w:rFonts w:ascii="Calibri" w:eastAsia="Calibri" w:hAnsi="Calibri" w:cs="Calibri"/>
        </w:rPr>
        <w:t xml:space="preserve"> are required</w:t>
      </w:r>
      <w:r w:rsidR="003306C3">
        <w:rPr>
          <w:rFonts w:ascii="Calibri" w:eastAsia="Calibri" w:hAnsi="Calibri" w:cs="Calibri"/>
        </w:rPr>
        <w:t xml:space="preserve"> for 2:1 relative to 1:1 randomization</w:t>
      </w:r>
      <w:r w:rsidR="00625DC1">
        <w:rPr>
          <w:rFonts w:ascii="Calibri" w:eastAsia="Calibri" w:hAnsi="Calibri" w:cs="Calibri"/>
        </w:rPr>
        <w:t xml:space="preserve">; </w:t>
      </w:r>
      <w:r w:rsidR="00625DC1" w:rsidRPr="00625DC1">
        <w:rPr>
          <w:rFonts w:ascii="Calibri" w:eastAsia="Calibri" w:hAnsi="Calibri" w:cs="Calibri"/>
        </w:rPr>
        <w:t xml:space="preserve">Suresh &amp; </w:t>
      </w:r>
      <w:proofErr w:type="spellStart"/>
      <w:r w:rsidR="00625DC1" w:rsidRPr="00625DC1">
        <w:rPr>
          <w:rFonts w:ascii="Calibri" w:eastAsia="Calibri" w:hAnsi="Calibri" w:cs="Calibri"/>
        </w:rPr>
        <w:t>Chandrashekara</w:t>
      </w:r>
      <w:proofErr w:type="spellEnd"/>
      <w:r w:rsidR="00625DC1" w:rsidRPr="00625DC1">
        <w:rPr>
          <w:rFonts w:ascii="Calibri" w:eastAsia="Calibri" w:hAnsi="Calibri" w:cs="Calibri"/>
        </w:rPr>
        <w:t>, 2012).</w:t>
      </w:r>
      <w:r w:rsidR="6E92C476" w:rsidRPr="6E92C476">
        <w:rPr>
          <w:rFonts w:ascii="Calibri" w:eastAsia="Calibri" w:hAnsi="Calibri" w:cs="Calibri"/>
        </w:rPr>
        <w:t xml:space="preserve"> However, we note that the 2:1 randomization has advantages when describing process and outcome variables a</w:t>
      </w:r>
      <w:r w:rsidR="001E16AC">
        <w:rPr>
          <w:rFonts w:ascii="Calibri" w:eastAsia="Calibri" w:hAnsi="Calibri" w:cs="Calibri"/>
        </w:rPr>
        <w:t>nd testing impact heterogeneity as</w:t>
      </w:r>
      <w:r w:rsidR="6E92C476" w:rsidRPr="6E92C476">
        <w:rPr>
          <w:rFonts w:ascii="Calibri" w:eastAsia="Calibri" w:hAnsi="Calibri" w:cs="Calibri"/>
        </w:rPr>
        <w:t xml:space="preserve"> a function of claimant characteristics as </w:t>
      </w:r>
      <w:r w:rsidR="001E16AC">
        <w:rPr>
          <w:rFonts w:ascii="Calibri" w:eastAsia="Calibri" w:hAnsi="Calibri" w:cs="Calibri"/>
        </w:rPr>
        <w:t xml:space="preserve">individual </w:t>
      </w:r>
      <w:r w:rsidR="6E92C476" w:rsidRPr="6E92C476">
        <w:rPr>
          <w:rFonts w:ascii="Calibri" w:eastAsia="Calibri" w:hAnsi="Calibri" w:cs="Calibri"/>
        </w:rPr>
        <w:t>categories within the treatment</w:t>
      </w:r>
      <w:r w:rsidR="001E16AC">
        <w:rPr>
          <w:rFonts w:ascii="Calibri" w:eastAsia="Calibri" w:hAnsi="Calibri" w:cs="Calibri"/>
        </w:rPr>
        <w:t xml:space="preserve"> group will be</w:t>
      </w:r>
      <w:r w:rsidR="6E92C476" w:rsidRPr="6E92C476">
        <w:rPr>
          <w:rFonts w:ascii="Calibri" w:eastAsia="Calibri" w:hAnsi="Calibri" w:cs="Calibri"/>
        </w:rPr>
        <w:t xml:space="preserve"> larger</w:t>
      </w:r>
      <w:r w:rsidR="003306C3">
        <w:rPr>
          <w:rFonts w:ascii="Calibri" w:eastAsia="Calibri" w:hAnsi="Calibri" w:cs="Calibri"/>
        </w:rPr>
        <w:t xml:space="preserve"> than if 1:1 randomization was used</w:t>
      </w:r>
      <w:r w:rsidR="6E92C476" w:rsidRPr="6E92C476">
        <w:rPr>
          <w:rFonts w:ascii="Calibri" w:eastAsia="Calibri" w:hAnsi="Calibri" w:cs="Calibri"/>
        </w:rPr>
        <w:t xml:space="preserve">. </w:t>
      </w:r>
    </w:p>
    <w:p w14:paraId="78CB0A35" w14:textId="5D65E712" w:rsidR="008A0682" w:rsidRPr="00383DD7" w:rsidRDefault="526C5137" w:rsidP="526C5137">
      <w:pPr>
        <w:rPr>
          <w:rFonts w:eastAsiaTheme="minorEastAsia"/>
          <w:b/>
          <w:bCs/>
        </w:rPr>
      </w:pPr>
      <w:r w:rsidRPr="526C5137">
        <w:rPr>
          <w:rFonts w:eastAsiaTheme="minorEastAsia"/>
          <w:b/>
          <w:bCs/>
        </w:rPr>
        <w:lastRenderedPageBreak/>
        <w:t xml:space="preserve">Table 5. </w:t>
      </w:r>
      <w:r w:rsidR="00B2096B">
        <w:rPr>
          <w:rFonts w:eastAsiaTheme="minorEastAsia"/>
          <w:b/>
          <w:bCs/>
        </w:rPr>
        <w:t>R</w:t>
      </w:r>
      <w:r w:rsidRPr="526C5137">
        <w:rPr>
          <w:rFonts w:eastAsiaTheme="minorEastAsia"/>
          <w:b/>
          <w:bCs/>
        </w:rPr>
        <w:t xml:space="preserve">equired sample size </w:t>
      </w:r>
      <w:r w:rsidR="004C3132">
        <w:rPr>
          <w:rFonts w:eastAsiaTheme="minorEastAsia"/>
          <w:b/>
          <w:bCs/>
        </w:rPr>
        <w:t>based on</w:t>
      </w:r>
      <w:r w:rsidR="00B2096B">
        <w:rPr>
          <w:rFonts w:eastAsiaTheme="minorEastAsia"/>
          <w:b/>
          <w:bCs/>
        </w:rPr>
        <w:t xml:space="preserve"> </w:t>
      </w:r>
      <w:r w:rsidR="00FE1ACD">
        <w:rPr>
          <w:rFonts w:eastAsiaTheme="minorEastAsia"/>
          <w:b/>
          <w:bCs/>
        </w:rPr>
        <w:t>standardized effect size of REA impact</w:t>
      </w:r>
      <w:r w:rsidRPr="526C5137">
        <w:rPr>
          <w:rFonts w:eastAsiaTheme="minorEastAsia"/>
          <w:b/>
          <w:bCs/>
        </w:rPr>
        <w:t xml:space="preserve"> from</w:t>
      </w:r>
      <w:r w:rsidR="00771C79">
        <w:rPr>
          <w:rFonts w:eastAsiaTheme="minorEastAsia"/>
          <w:b/>
          <w:bCs/>
        </w:rPr>
        <w:t xml:space="preserve"> our</w:t>
      </w:r>
      <w:r w:rsidRPr="526C5137">
        <w:rPr>
          <w:rFonts w:eastAsiaTheme="minorEastAsia"/>
          <w:b/>
          <w:bCs/>
        </w:rPr>
        <w:t xml:space="preserve"> </w:t>
      </w:r>
      <w:r w:rsidR="00771C79">
        <w:rPr>
          <w:rFonts w:eastAsiaTheme="minorEastAsia"/>
          <w:b/>
          <w:bCs/>
        </w:rPr>
        <w:t xml:space="preserve">meta-analysis of </w:t>
      </w:r>
      <w:r w:rsidR="00FE1ACD">
        <w:rPr>
          <w:rFonts w:eastAsiaTheme="minorEastAsia"/>
          <w:b/>
          <w:bCs/>
        </w:rPr>
        <w:t>prior evaluations</w:t>
      </w:r>
      <w:r w:rsidR="00B2096B">
        <w:rPr>
          <w:rFonts w:eastAsiaTheme="minorEastAsia"/>
          <w:b/>
          <w:bCs/>
        </w:rPr>
        <w:t>.</w:t>
      </w:r>
    </w:p>
    <w:tbl>
      <w:tblPr>
        <w:tblStyle w:val="PlainTable3"/>
        <w:tblW w:w="6506" w:type="dxa"/>
        <w:tblLook w:val="04A0" w:firstRow="1" w:lastRow="0" w:firstColumn="1" w:lastColumn="0" w:noHBand="0" w:noVBand="1"/>
      </w:tblPr>
      <w:tblGrid>
        <w:gridCol w:w="3772"/>
        <w:gridCol w:w="2734"/>
      </w:tblGrid>
      <w:tr w:rsidR="008A0682" w14:paraId="6CE42FC7" w14:textId="77777777" w:rsidTr="00615532">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772" w:type="dxa"/>
            <w:tcBorders>
              <w:top w:val="single" w:sz="2" w:space="0" w:color="auto"/>
            </w:tcBorders>
          </w:tcPr>
          <w:p w14:paraId="3F3EB8D8" w14:textId="5ECC6DD8" w:rsidR="008A0682" w:rsidRDefault="35B90A2F" w:rsidP="35B90A2F">
            <w:r w:rsidRPr="35B90A2F">
              <w:rPr>
                <w:rFonts w:ascii="Calibri" w:eastAsia="Calibri" w:hAnsi="Calibri" w:cs="Calibri"/>
              </w:rPr>
              <w:t>Outcome measure</w:t>
            </w:r>
          </w:p>
        </w:tc>
        <w:tc>
          <w:tcPr>
            <w:tcW w:w="2734" w:type="dxa"/>
            <w:tcBorders>
              <w:top w:val="single" w:sz="2" w:space="0" w:color="auto"/>
            </w:tcBorders>
          </w:tcPr>
          <w:p w14:paraId="644602BE" w14:textId="77777777" w:rsidR="008A0682" w:rsidRDefault="35B90A2F" w:rsidP="35B90A2F">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vertAlign w:val="superscript"/>
              </w:rPr>
            </w:pPr>
            <w:r w:rsidRPr="35B90A2F">
              <w:rPr>
                <w:rFonts w:ascii="Calibri" w:eastAsia="Calibri" w:hAnsi="Calibri" w:cs="Calibri"/>
              </w:rPr>
              <w:t>REQuired sample size</w:t>
            </w:r>
            <w:r w:rsidRPr="35B90A2F">
              <w:rPr>
                <w:rFonts w:ascii="Calibri" w:eastAsia="Calibri" w:hAnsi="Calibri" w:cs="Calibri"/>
                <w:vertAlign w:val="superscript"/>
              </w:rPr>
              <w:t>b</w:t>
            </w:r>
          </w:p>
        </w:tc>
      </w:tr>
      <w:tr w:rsidR="008A0682" w14:paraId="17BF2269"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Pr>
          <w:p w14:paraId="0909CFB2" w14:textId="593AA471" w:rsidR="008A0682" w:rsidRDefault="00615532" w:rsidP="0080385F">
            <w:r w:rsidRPr="3B86F912">
              <w:rPr>
                <w:rFonts w:eastAsiaTheme="minorEastAsia"/>
              </w:rPr>
              <w:t>exhaust UI benefits</w:t>
            </w:r>
          </w:p>
        </w:tc>
        <w:tc>
          <w:tcPr>
            <w:tcW w:w="2734" w:type="dxa"/>
          </w:tcPr>
          <w:p w14:paraId="58719071" w14:textId="77777777" w:rsidR="008A0682" w:rsidRDefault="008A0682" w:rsidP="0080385F">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620</w:t>
            </w:r>
          </w:p>
        </w:tc>
      </w:tr>
      <w:tr w:rsidR="008A0682" w14:paraId="6F22A1CD" w14:textId="77777777" w:rsidTr="00615532">
        <w:trPr>
          <w:trHeight w:val="300"/>
        </w:trPr>
        <w:tc>
          <w:tcPr>
            <w:cnfStyle w:val="001000000000" w:firstRow="0" w:lastRow="0" w:firstColumn="1" w:lastColumn="0" w:oddVBand="0" w:evenVBand="0" w:oddHBand="0" w:evenHBand="0" w:firstRowFirstColumn="0" w:firstRowLastColumn="0" w:lastRowFirstColumn="0" w:lastRowLastColumn="0"/>
            <w:tcW w:w="3772" w:type="dxa"/>
          </w:tcPr>
          <w:p w14:paraId="1A97C414" w14:textId="31F44A02" w:rsidR="008A0682" w:rsidRDefault="00615532" w:rsidP="0080385F">
            <w:r w:rsidRPr="3B86F912">
              <w:rPr>
                <w:rFonts w:eastAsiaTheme="minorEastAsia"/>
              </w:rPr>
              <w:t>UI</w:t>
            </w:r>
            <w:r>
              <w:rPr>
                <w:rFonts w:eastAsiaTheme="minorEastAsia"/>
              </w:rPr>
              <w:t xml:space="preserve"> Duration</w:t>
            </w:r>
          </w:p>
        </w:tc>
        <w:tc>
          <w:tcPr>
            <w:tcW w:w="2734" w:type="dxa"/>
          </w:tcPr>
          <w:p w14:paraId="4B49F401" w14:textId="77777777" w:rsidR="008A0682" w:rsidRDefault="008A0682" w:rsidP="0080385F">
            <w:pPr>
              <w:jc w:val="center"/>
              <w:cnfStyle w:val="000000000000" w:firstRow="0" w:lastRow="0" w:firstColumn="0" w:lastColumn="0" w:oddVBand="0" w:evenVBand="0" w:oddHBand="0" w:evenHBand="0" w:firstRowFirstColumn="0" w:firstRowLastColumn="0" w:lastRowFirstColumn="0" w:lastRowLastColumn="0"/>
            </w:pPr>
            <w:r w:rsidRPr="6383DF3A">
              <w:rPr>
                <w:rFonts w:ascii="Calibri" w:eastAsia="Calibri" w:hAnsi="Calibri" w:cs="Calibri"/>
              </w:rPr>
              <w:t>362</w:t>
            </w:r>
          </w:p>
        </w:tc>
      </w:tr>
      <w:tr w:rsidR="008A0682" w14:paraId="6F7AC9DE"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Pr>
          <w:p w14:paraId="1EA634B4" w14:textId="3E2E09F4" w:rsidR="008A0682" w:rsidRDefault="00615532" w:rsidP="0080385F">
            <w:r w:rsidRPr="3B86F912">
              <w:rPr>
                <w:rFonts w:eastAsiaTheme="minorEastAsia"/>
              </w:rPr>
              <w:t>UI benefits</w:t>
            </w:r>
            <w:r>
              <w:rPr>
                <w:rFonts w:eastAsiaTheme="minorEastAsia"/>
              </w:rPr>
              <w:t xml:space="preserve"> Received</w:t>
            </w:r>
          </w:p>
        </w:tc>
        <w:tc>
          <w:tcPr>
            <w:tcW w:w="2734" w:type="dxa"/>
          </w:tcPr>
          <w:p w14:paraId="6940A159" w14:textId="77777777" w:rsidR="008A0682" w:rsidRDefault="008A0682" w:rsidP="0080385F">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921</w:t>
            </w:r>
          </w:p>
        </w:tc>
      </w:tr>
      <w:tr w:rsidR="00615532" w14:paraId="154FDAFE" w14:textId="77777777" w:rsidTr="00615532">
        <w:trPr>
          <w:trHeight w:val="300"/>
        </w:trPr>
        <w:tc>
          <w:tcPr>
            <w:cnfStyle w:val="001000000000" w:firstRow="0" w:lastRow="0" w:firstColumn="1" w:lastColumn="0" w:oddVBand="0" w:evenVBand="0" w:oddHBand="0" w:evenHBand="0" w:firstRowFirstColumn="0" w:firstRowLastColumn="0" w:lastRowFirstColumn="0" w:lastRowLastColumn="0"/>
            <w:tcW w:w="3772" w:type="dxa"/>
          </w:tcPr>
          <w:p w14:paraId="549F3120" w14:textId="124A2958" w:rsidR="00615532" w:rsidRDefault="00615532" w:rsidP="00615532">
            <w:r>
              <w:rPr>
                <w:rFonts w:eastAsiaTheme="minorEastAsia"/>
              </w:rPr>
              <w:t>Employment</w:t>
            </w:r>
            <w:r w:rsidRPr="3B86F912">
              <w:rPr>
                <w:rFonts w:eastAsiaTheme="minorEastAsia"/>
              </w:rPr>
              <w:t xml:space="preserve"> in Q1</w:t>
            </w:r>
          </w:p>
        </w:tc>
        <w:tc>
          <w:tcPr>
            <w:tcW w:w="2734" w:type="dxa"/>
          </w:tcPr>
          <w:p w14:paraId="7A2C6C9E" w14:textId="77777777" w:rsidR="00615532" w:rsidRDefault="00615532" w:rsidP="00615532">
            <w:pPr>
              <w:jc w:val="center"/>
              <w:cnfStyle w:val="000000000000" w:firstRow="0" w:lastRow="0" w:firstColumn="0" w:lastColumn="0" w:oddVBand="0" w:evenVBand="0" w:oddHBand="0" w:evenHBand="0" w:firstRowFirstColumn="0" w:firstRowLastColumn="0" w:lastRowFirstColumn="0" w:lastRowLastColumn="0"/>
            </w:pPr>
            <w:r w:rsidRPr="6383DF3A">
              <w:rPr>
                <w:rFonts w:ascii="Calibri" w:eastAsia="Calibri" w:hAnsi="Calibri" w:cs="Calibri"/>
              </w:rPr>
              <w:t>702</w:t>
            </w:r>
          </w:p>
        </w:tc>
      </w:tr>
      <w:tr w:rsidR="00615532" w14:paraId="6E0A0411"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Pr>
          <w:p w14:paraId="339103D6" w14:textId="02992258" w:rsidR="00615532" w:rsidRDefault="00615532" w:rsidP="00615532">
            <w:r>
              <w:rPr>
                <w:rFonts w:eastAsiaTheme="minorEastAsia"/>
              </w:rPr>
              <w:t>Employment</w:t>
            </w:r>
            <w:r w:rsidRPr="3B86F912">
              <w:rPr>
                <w:rFonts w:eastAsiaTheme="minorEastAsia"/>
              </w:rPr>
              <w:t xml:space="preserve"> in Q2</w:t>
            </w:r>
          </w:p>
        </w:tc>
        <w:tc>
          <w:tcPr>
            <w:tcW w:w="2734" w:type="dxa"/>
          </w:tcPr>
          <w:p w14:paraId="5D4D001B" w14:textId="77777777" w:rsidR="00615532" w:rsidRDefault="00615532" w:rsidP="00615532">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495</w:t>
            </w:r>
          </w:p>
        </w:tc>
      </w:tr>
      <w:tr w:rsidR="00615532" w14:paraId="02A19A2B" w14:textId="77777777" w:rsidTr="00615532">
        <w:trPr>
          <w:trHeight w:val="300"/>
        </w:trPr>
        <w:tc>
          <w:tcPr>
            <w:cnfStyle w:val="001000000000" w:firstRow="0" w:lastRow="0" w:firstColumn="1" w:lastColumn="0" w:oddVBand="0" w:evenVBand="0" w:oddHBand="0" w:evenHBand="0" w:firstRowFirstColumn="0" w:firstRowLastColumn="0" w:lastRowFirstColumn="0" w:lastRowLastColumn="0"/>
            <w:tcW w:w="3772" w:type="dxa"/>
          </w:tcPr>
          <w:p w14:paraId="114AEE79" w14:textId="40849BFD" w:rsidR="00615532" w:rsidRDefault="00615532" w:rsidP="00615532">
            <w:r>
              <w:rPr>
                <w:rFonts w:eastAsiaTheme="minorEastAsia"/>
              </w:rPr>
              <w:t>Employment</w:t>
            </w:r>
            <w:r w:rsidRPr="3B86F912">
              <w:rPr>
                <w:rFonts w:eastAsiaTheme="minorEastAsia"/>
              </w:rPr>
              <w:t xml:space="preserve"> in Q3</w:t>
            </w:r>
          </w:p>
        </w:tc>
        <w:tc>
          <w:tcPr>
            <w:tcW w:w="2734" w:type="dxa"/>
          </w:tcPr>
          <w:p w14:paraId="02AB59D3" w14:textId="77777777" w:rsidR="00615532" w:rsidRDefault="00615532" w:rsidP="00615532">
            <w:pPr>
              <w:jc w:val="center"/>
              <w:cnfStyle w:val="000000000000" w:firstRow="0" w:lastRow="0" w:firstColumn="0" w:lastColumn="0" w:oddVBand="0" w:evenVBand="0" w:oddHBand="0" w:evenHBand="0" w:firstRowFirstColumn="0" w:firstRowLastColumn="0" w:lastRowFirstColumn="0" w:lastRowLastColumn="0"/>
            </w:pPr>
            <w:r w:rsidRPr="6383DF3A">
              <w:rPr>
                <w:rFonts w:ascii="Calibri" w:eastAsia="Calibri" w:hAnsi="Calibri" w:cs="Calibri"/>
              </w:rPr>
              <w:t>633</w:t>
            </w:r>
          </w:p>
        </w:tc>
      </w:tr>
      <w:tr w:rsidR="00615532" w14:paraId="42FA5E7A"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Pr>
          <w:p w14:paraId="0CA4250A" w14:textId="360E2478" w:rsidR="00615532" w:rsidRDefault="00615532" w:rsidP="00615532">
            <w:r>
              <w:rPr>
                <w:rFonts w:eastAsiaTheme="minorEastAsia"/>
              </w:rPr>
              <w:t>Employment</w:t>
            </w:r>
            <w:r w:rsidRPr="3B86F912">
              <w:rPr>
                <w:rFonts w:eastAsiaTheme="minorEastAsia"/>
              </w:rPr>
              <w:t xml:space="preserve"> in Q4</w:t>
            </w:r>
          </w:p>
        </w:tc>
        <w:tc>
          <w:tcPr>
            <w:tcW w:w="2734" w:type="dxa"/>
          </w:tcPr>
          <w:p w14:paraId="102DAAB3" w14:textId="77777777" w:rsidR="00615532" w:rsidRDefault="00615532" w:rsidP="00615532">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968</w:t>
            </w:r>
          </w:p>
        </w:tc>
      </w:tr>
      <w:tr w:rsidR="00615532" w14:paraId="6332959D" w14:textId="77777777" w:rsidTr="00615532">
        <w:trPr>
          <w:trHeight w:val="300"/>
        </w:trPr>
        <w:tc>
          <w:tcPr>
            <w:cnfStyle w:val="001000000000" w:firstRow="0" w:lastRow="0" w:firstColumn="1" w:lastColumn="0" w:oddVBand="0" w:evenVBand="0" w:oddHBand="0" w:evenHBand="0" w:firstRowFirstColumn="0" w:firstRowLastColumn="0" w:lastRowFirstColumn="0" w:lastRowLastColumn="0"/>
            <w:tcW w:w="3772" w:type="dxa"/>
          </w:tcPr>
          <w:p w14:paraId="1A07409D" w14:textId="472FB266" w:rsidR="00615532" w:rsidRDefault="00615532" w:rsidP="00615532">
            <w:r w:rsidRPr="3B86F912">
              <w:rPr>
                <w:rFonts w:eastAsiaTheme="minorEastAsia"/>
              </w:rPr>
              <w:t>Wages in Q1</w:t>
            </w:r>
          </w:p>
        </w:tc>
        <w:tc>
          <w:tcPr>
            <w:tcW w:w="2734" w:type="dxa"/>
          </w:tcPr>
          <w:p w14:paraId="23468394" w14:textId="77777777" w:rsidR="00615532" w:rsidRDefault="00615532" w:rsidP="00615532">
            <w:pPr>
              <w:jc w:val="center"/>
              <w:cnfStyle w:val="000000000000" w:firstRow="0" w:lastRow="0" w:firstColumn="0" w:lastColumn="0" w:oddVBand="0" w:evenVBand="0" w:oddHBand="0" w:evenHBand="0" w:firstRowFirstColumn="0" w:firstRowLastColumn="0" w:lastRowFirstColumn="0" w:lastRowLastColumn="0"/>
            </w:pPr>
            <w:r w:rsidRPr="6383DF3A">
              <w:rPr>
                <w:rFonts w:ascii="Calibri" w:eastAsia="Calibri" w:hAnsi="Calibri" w:cs="Calibri"/>
              </w:rPr>
              <w:t>1,778</w:t>
            </w:r>
          </w:p>
        </w:tc>
      </w:tr>
      <w:tr w:rsidR="00615532" w14:paraId="440ED44C"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Pr>
          <w:p w14:paraId="26A28180" w14:textId="0D3E7D1D" w:rsidR="00615532" w:rsidRDefault="00615532" w:rsidP="00615532">
            <w:r w:rsidRPr="3B86F912">
              <w:rPr>
                <w:rFonts w:eastAsiaTheme="minorEastAsia"/>
              </w:rPr>
              <w:t>Wages in Q2</w:t>
            </w:r>
          </w:p>
        </w:tc>
        <w:tc>
          <w:tcPr>
            <w:tcW w:w="2734" w:type="dxa"/>
          </w:tcPr>
          <w:p w14:paraId="434EE0B2" w14:textId="77777777" w:rsidR="00615532" w:rsidRDefault="00615532" w:rsidP="00615532">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765</w:t>
            </w:r>
          </w:p>
        </w:tc>
      </w:tr>
      <w:tr w:rsidR="00615532" w14:paraId="356F62D9" w14:textId="77777777" w:rsidTr="00615532">
        <w:trPr>
          <w:trHeight w:val="300"/>
        </w:trPr>
        <w:tc>
          <w:tcPr>
            <w:cnfStyle w:val="001000000000" w:firstRow="0" w:lastRow="0" w:firstColumn="1" w:lastColumn="0" w:oddVBand="0" w:evenVBand="0" w:oddHBand="0" w:evenHBand="0" w:firstRowFirstColumn="0" w:firstRowLastColumn="0" w:lastRowFirstColumn="0" w:lastRowLastColumn="0"/>
            <w:tcW w:w="3772" w:type="dxa"/>
          </w:tcPr>
          <w:p w14:paraId="07F333F7" w14:textId="4317E8FF" w:rsidR="00615532" w:rsidRDefault="00615532" w:rsidP="00615532">
            <w:r w:rsidRPr="3B86F912">
              <w:rPr>
                <w:rFonts w:eastAsiaTheme="minorEastAsia"/>
              </w:rPr>
              <w:t>Wages in Q3</w:t>
            </w:r>
          </w:p>
        </w:tc>
        <w:tc>
          <w:tcPr>
            <w:tcW w:w="2734" w:type="dxa"/>
          </w:tcPr>
          <w:p w14:paraId="181D41BB" w14:textId="77777777" w:rsidR="00615532" w:rsidRDefault="00615532" w:rsidP="00615532">
            <w:pPr>
              <w:jc w:val="center"/>
              <w:cnfStyle w:val="000000000000" w:firstRow="0" w:lastRow="0" w:firstColumn="0" w:lastColumn="0" w:oddVBand="0" w:evenVBand="0" w:oddHBand="0" w:evenHBand="0" w:firstRowFirstColumn="0" w:firstRowLastColumn="0" w:lastRowFirstColumn="0" w:lastRowLastColumn="0"/>
            </w:pPr>
            <w:r w:rsidRPr="6383DF3A">
              <w:rPr>
                <w:rFonts w:ascii="Calibri" w:eastAsia="Calibri" w:hAnsi="Calibri" w:cs="Calibri"/>
              </w:rPr>
              <w:t>878</w:t>
            </w:r>
          </w:p>
        </w:tc>
      </w:tr>
      <w:tr w:rsidR="00615532" w14:paraId="24E2F550" w14:textId="77777777" w:rsidTr="0061553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72" w:type="dxa"/>
            <w:tcBorders>
              <w:bottom w:val="single" w:sz="2" w:space="0" w:color="auto"/>
            </w:tcBorders>
          </w:tcPr>
          <w:p w14:paraId="0D2FF65A" w14:textId="7B390796" w:rsidR="00615532" w:rsidRDefault="00615532" w:rsidP="00615532">
            <w:r w:rsidRPr="3B86F912">
              <w:rPr>
                <w:rFonts w:eastAsiaTheme="minorEastAsia"/>
              </w:rPr>
              <w:t>Wages in Q4</w:t>
            </w:r>
          </w:p>
        </w:tc>
        <w:tc>
          <w:tcPr>
            <w:tcW w:w="2734" w:type="dxa"/>
            <w:tcBorders>
              <w:bottom w:val="single" w:sz="2" w:space="0" w:color="auto"/>
            </w:tcBorders>
          </w:tcPr>
          <w:p w14:paraId="040A942B" w14:textId="77777777" w:rsidR="00615532" w:rsidRDefault="00615532" w:rsidP="00615532">
            <w:pPr>
              <w:jc w:val="center"/>
              <w:cnfStyle w:val="000000100000" w:firstRow="0" w:lastRow="0" w:firstColumn="0" w:lastColumn="0" w:oddVBand="0" w:evenVBand="0" w:oddHBand="1" w:evenHBand="0" w:firstRowFirstColumn="0" w:firstRowLastColumn="0" w:lastRowFirstColumn="0" w:lastRowLastColumn="0"/>
            </w:pPr>
            <w:r w:rsidRPr="6383DF3A">
              <w:rPr>
                <w:rFonts w:ascii="Calibri" w:eastAsia="Calibri" w:hAnsi="Calibri" w:cs="Calibri"/>
              </w:rPr>
              <w:t>1,339</w:t>
            </w:r>
            <w:r w:rsidRPr="6383DF3A">
              <w:rPr>
                <w:rFonts w:eastAsiaTheme="minorEastAsia"/>
                <w:i/>
                <w:iCs/>
              </w:rPr>
              <w:t xml:space="preserve"> </w:t>
            </w:r>
          </w:p>
        </w:tc>
      </w:tr>
    </w:tbl>
    <w:p w14:paraId="6F9172AE" w14:textId="32583117" w:rsidR="008A0682" w:rsidRPr="004D05C8" w:rsidRDefault="03145982" w:rsidP="03145982">
      <w:pPr>
        <w:spacing w:line="257" w:lineRule="auto"/>
        <w:rPr>
          <w:rFonts w:eastAsiaTheme="minorEastAsia"/>
        </w:rPr>
      </w:pPr>
      <w:r w:rsidRPr="03145982">
        <w:rPr>
          <w:rFonts w:eastAsiaTheme="minorEastAsia"/>
          <w:i/>
          <w:iCs/>
        </w:rPr>
        <w:t>Note</w:t>
      </w:r>
      <w:r w:rsidRPr="03145982">
        <w:rPr>
          <w:rFonts w:eastAsiaTheme="minorEastAsia"/>
        </w:rPr>
        <w:t xml:space="preserve">. Power </w:t>
      </w:r>
      <w:proofErr w:type="gramStart"/>
      <w:r w:rsidRPr="03145982">
        <w:rPr>
          <w:rFonts w:eastAsiaTheme="minorEastAsia"/>
        </w:rPr>
        <w:t>β(</w:t>
      </w:r>
      <w:proofErr w:type="gramEnd"/>
      <w:r w:rsidRPr="03145982">
        <w:rPr>
          <w:rFonts w:eastAsiaTheme="minorEastAsia"/>
        </w:rPr>
        <w:t xml:space="preserve">1- err. Prob.) = 0.8, α=0.05. </w:t>
      </w:r>
      <w:r w:rsidRPr="03145982">
        <w:rPr>
          <w:rFonts w:eastAsiaTheme="minorEastAsia"/>
          <w:vertAlign w:val="superscript"/>
        </w:rPr>
        <w:t>b</w:t>
      </w:r>
      <w:r w:rsidRPr="03145982">
        <w:rPr>
          <w:rFonts w:eastAsiaTheme="minorEastAsia"/>
        </w:rPr>
        <w:t xml:space="preserve"> </w:t>
      </w:r>
      <w:proofErr w:type="gramStart"/>
      <w:r w:rsidRPr="03145982">
        <w:rPr>
          <w:rFonts w:eastAsiaTheme="minorEastAsia"/>
        </w:rPr>
        <w:t>The</w:t>
      </w:r>
      <w:proofErr w:type="gramEnd"/>
      <w:r w:rsidRPr="03145982">
        <w:rPr>
          <w:rFonts w:eastAsiaTheme="minorEastAsia"/>
        </w:rPr>
        <w:t xml:space="preserve"> required sample size is calculated using the standardized effect sizes (Thetas) and the standard errors from Table 2. </w:t>
      </w:r>
    </w:p>
    <w:p w14:paraId="39F65E99" w14:textId="77777777" w:rsidR="00163071" w:rsidRDefault="008A0682" w:rsidP="56FBB37A">
      <w:pPr>
        <w:spacing w:line="257" w:lineRule="auto"/>
        <w:rPr>
          <w:rFonts w:eastAsiaTheme="minorEastAsia"/>
        </w:rPr>
      </w:pPr>
      <w:r w:rsidRPr="071E6AE9">
        <w:rPr>
          <w:rFonts w:ascii="Calibri" w:eastAsia="Calibri" w:hAnsi="Calibri" w:cs="Calibri"/>
        </w:rPr>
        <w:t>The second scenario</w:t>
      </w:r>
      <w:r w:rsidR="00656212">
        <w:rPr>
          <w:rFonts w:ascii="Calibri" w:eastAsia="Calibri" w:hAnsi="Calibri" w:cs="Calibri"/>
        </w:rPr>
        <w:t xml:space="preserve">, depicted in Table 6, </w:t>
      </w:r>
      <w:r w:rsidR="00426DBA">
        <w:rPr>
          <w:rFonts w:ascii="Calibri" w:eastAsia="Calibri" w:hAnsi="Calibri" w:cs="Calibri"/>
        </w:rPr>
        <w:t>shows how sample size requirements vary across different commonly used</w:t>
      </w:r>
      <w:r w:rsidR="00656212">
        <w:rPr>
          <w:rFonts w:ascii="Calibri" w:eastAsia="Calibri" w:hAnsi="Calibri" w:cs="Calibri"/>
        </w:rPr>
        <w:t xml:space="preserve"> power thresholds and</w:t>
      </w:r>
      <w:r w:rsidR="00426DBA">
        <w:rPr>
          <w:rFonts w:ascii="Calibri" w:eastAsia="Calibri" w:hAnsi="Calibri" w:cs="Calibri"/>
        </w:rPr>
        <w:t xml:space="preserve"> effect sizes </w:t>
      </w:r>
      <w:r w:rsidR="00656212">
        <w:rPr>
          <w:rFonts w:ascii="Calibri" w:eastAsia="Calibri" w:hAnsi="Calibri" w:cs="Calibri"/>
        </w:rPr>
        <w:t>when</w:t>
      </w:r>
      <w:r w:rsidR="00426DBA">
        <w:rPr>
          <w:rFonts w:ascii="Calibri" w:eastAsia="Calibri" w:hAnsi="Calibri" w:cs="Calibri"/>
        </w:rPr>
        <w:t xml:space="preserve"> </w:t>
      </w:r>
      <w:r w:rsidRPr="071E6AE9">
        <w:rPr>
          <w:rFonts w:ascii="Calibri" w:eastAsia="Calibri" w:hAnsi="Calibri" w:cs="Calibri"/>
        </w:rPr>
        <w:t xml:space="preserve">using multivariate regression analyses after controlling </w:t>
      </w:r>
      <w:r w:rsidR="00990252">
        <w:rPr>
          <w:rFonts w:ascii="Calibri" w:eastAsia="Calibri" w:hAnsi="Calibri" w:cs="Calibri"/>
        </w:rPr>
        <w:t xml:space="preserve">for </w:t>
      </w:r>
      <w:r w:rsidRPr="071E6AE9">
        <w:rPr>
          <w:rFonts w:ascii="Calibri" w:eastAsia="Calibri" w:hAnsi="Calibri" w:cs="Calibri"/>
        </w:rPr>
        <w:t xml:space="preserve">a rich set of covariates. Cohen's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Pr="071E6AE9">
        <w:rPr>
          <w:rFonts w:ascii="Calibri" w:eastAsia="Calibri" w:hAnsi="Calibri" w:cs="Calibri"/>
        </w:rPr>
        <w:t xml:space="preserve"> is a ratio of the explained variance proportion relative to the unexplained proportion (Cohen, 1988). As a rule of thumb, Cohen (1988) suggested using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Pr="071E6AE9">
        <w:rPr>
          <w:rFonts w:ascii="Calibri" w:eastAsia="Calibri" w:hAnsi="Calibri" w:cs="Calibri"/>
        </w:rPr>
        <w:t xml:space="preserve"> of 0.02, 0.15, and 0.35 for small, medium, and large effect sizes, respectively</w:t>
      </w:r>
      <w:r w:rsidR="00D02ABA">
        <w:rPr>
          <w:rFonts w:ascii="Calibri" w:eastAsia="Calibri" w:hAnsi="Calibri" w:cs="Calibri"/>
        </w:rPr>
        <w:t xml:space="preserve">, corresponding to standardized </w:t>
      </w:r>
      <w:r w:rsidR="00D02ABA" w:rsidRPr="071E6AE9">
        <w:rPr>
          <w:rFonts w:ascii="Calibri" w:eastAsia="Calibri" w:hAnsi="Calibri" w:cs="Calibri"/>
        </w:rPr>
        <w:t xml:space="preserve">coefficients of </w:t>
      </w:r>
      <w:r w:rsidR="00D02ABA">
        <w:rPr>
          <w:rFonts w:ascii="Calibri" w:eastAsia="Calibri" w:hAnsi="Calibri" w:cs="Calibri"/>
        </w:rPr>
        <w:t xml:space="preserve">approximately </w:t>
      </w:r>
      <w:r w:rsidR="00D02ABA" w:rsidRPr="071E6AE9">
        <w:rPr>
          <w:rFonts w:ascii="Calibri" w:eastAsia="Calibri" w:hAnsi="Calibri" w:cs="Calibri"/>
        </w:rPr>
        <w:t>0.14, 0.39, and 0.59, respectively</w:t>
      </w:r>
      <w:r w:rsidRPr="071E6AE9">
        <w:rPr>
          <w:rFonts w:ascii="Calibri" w:eastAsia="Calibri" w:hAnsi="Calibri" w:cs="Calibri"/>
        </w:rPr>
        <w:t xml:space="preserve">. </w:t>
      </w:r>
      <w:r w:rsidR="00D02ABA">
        <w:rPr>
          <w:rFonts w:ascii="Calibri" w:eastAsia="Calibri" w:hAnsi="Calibri" w:cs="Calibri"/>
        </w:rPr>
        <w:t>However, we expect that impacts will be small or even very small given our meta-analysis findings</w:t>
      </w:r>
      <w:r w:rsidR="00990252">
        <w:rPr>
          <w:rFonts w:ascii="Calibri" w:eastAsia="Calibri" w:hAnsi="Calibri" w:cs="Calibri"/>
        </w:rPr>
        <w:t>, with estimates ranging from 0</w:t>
      </w:r>
      <w:r w:rsidR="00990252" w:rsidRPr="071E6AE9">
        <w:rPr>
          <w:rFonts w:ascii="Calibri" w:eastAsia="Calibri" w:hAnsi="Calibri" w:cs="Calibri"/>
        </w:rPr>
        <w:t>.059 to 0.131</w:t>
      </w:r>
      <w:r w:rsidR="00990252">
        <w:rPr>
          <w:rFonts w:ascii="Calibri" w:eastAsia="Calibri" w:hAnsi="Calibri" w:cs="Calibri"/>
        </w:rPr>
        <w:t xml:space="preserve"> </w:t>
      </w:r>
      <w:r w:rsidR="00990252" w:rsidRPr="071E6AE9">
        <w:rPr>
          <w:rFonts w:ascii="Calibri" w:eastAsia="Calibri" w:hAnsi="Calibri" w:cs="Calibri"/>
        </w:rPr>
        <w:t xml:space="preserve">(See Table </w:t>
      </w:r>
      <w:r w:rsidR="00990252">
        <w:rPr>
          <w:rFonts w:ascii="Calibri" w:eastAsia="Calibri" w:hAnsi="Calibri" w:cs="Calibri"/>
        </w:rPr>
        <w:t>2</w:t>
      </w:r>
      <w:r w:rsidR="001E16AC" w:rsidRPr="071E6AE9">
        <w:rPr>
          <w:rFonts w:ascii="Calibri" w:eastAsia="Calibri" w:hAnsi="Calibri" w:cs="Calibri"/>
        </w:rPr>
        <w:t>)</w:t>
      </w:r>
      <w:r w:rsidR="001E16AC">
        <w:rPr>
          <w:rFonts w:ascii="Calibri" w:eastAsia="Calibri" w:hAnsi="Calibri" w:cs="Calibri"/>
        </w:rPr>
        <w:t xml:space="preserve">. </w:t>
      </w:r>
      <w:r w:rsidR="00990252">
        <w:rPr>
          <w:rFonts w:ascii="Calibri" w:eastAsia="Calibri" w:hAnsi="Calibri" w:cs="Calibri"/>
        </w:rPr>
        <w:t>Thus, w</w:t>
      </w:r>
      <w:r w:rsidR="001E16AC">
        <w:rPr>
          <w:rFonts w:ascii="Calibri" w:eastAsia="Calibri" w:hAnsi="Calibri" w:cs="Calibri"/>
        </w:rPr>
        <w:t>e report power calculations for</w:t>
      </w:r>
      <w:r w:rsidRPr="071E6AE9">
        <w:rPr>
          <w:rFonts w:ascii="Calibri" w:eastAsia="Calibri" w:hAnsi="Calibri" w:cs="Calibri"/>
        </w:rPr>
        <w:t xml:space="preserve">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001E16AC">
        <w:rPr>
          <w:rFonts w:ascii="Calibri" w:eastAsia="Calibri" w:hAnsi="Calibri" w:cs="Calibri"/>
        </w:rPr>
        <w:t xml:space="preserve"> of </w:t>
      </w:r>
      <w:r w:rsidRPr="071E6AE9">
        <w:rPr>
          <w:rFonts w:ascii="Calibri" w:eastAsia="Calibri" w:hAnsi="Calibri" w:cs="Calibri"/>
        </w:rPr>
        <w:t>0.0</w:t>
      </w:r>
      <w:r>
        <w:rPr>
          <w:rFonts w:ascii="Calibri" w:eastAsia="Calibri" w:hAnsi="Calibri" w:cs="Calibri"/>
        </w:rPr>
        <w:t>0</w:t>
      </w:r>
      <w:r w:rsidRPr="071E6AE9">
        <w:rPr>
          <w:rFonts w:ascii="Calibri" w:eastAsia="Calibri" w:hAnsi="Calibri" w:cs="Calibri"/>
        </w:rPr>
        <w:t>3, 0.008, 0.01,</w:t>
      </w:r>
      <w:r w:rsidR="00771C79">
        <w:rPr>
          <w:rFonts w:ascii="Calibri" w:eastAsia="Calibri" w:hAnsi="Calibri" w:cs="Calibri"/>
        </w:rPr>
        <w:t xml:space="preserve"> and</w:t>
      </w:r>
      <w:r w:rsidRPr="071E6AE9">
        <w:rPr>
          <w:rFonts w:ascii="Calibri" w:eastAsia="Calibri" w:hAnsi="Calibri" w:cs="Calibri"/>
        </w:rPr>
        <w:t xml:space="preserve"> 0.02</w:t>
      </w:r>
      <w:r w:rsidR="00771C79">
        <w:rPr>
          <w:rFonts w:ascii="Calibri" w:eastAsia="Calibri" w:hAnsi="Calibri" w:cs="Calibri"/>
        </w:rPr>
        <w:t>,</w:t>
      </w:r>
      <w:r w:rsidRPr="071E6AE9">
        <w:rPr>
          <w:rFonts w:ascii="Calibri" w:eastAsia="Calibri" w:hAnsi="Calibri" w:cs="Calibri"/>
        </w:rPr>
        <w:t xml:space="preserve"> </w:t>
      </w:r>
      <w:r w:rsidR="001E16AC">
        <w:rPr>
          <w:rFonts w:ascii="Calibri" w:eastAsia="Calibri" w:hAnsi="Calibri" w:cs="Calibri"/>
        </w:rPr>
        <w:t>which</w:t>
      </w:r>
      <w:r w:rsidRPr="071E6AE9">
        <w:rPr>
          <w:rFonts w:ascii="Calibri" w:eastAsia="Calibri" w:hAnsi="Calibri" w:cs="Calibri"/>
        </w:rPr>
        <w:t xml:space="preserve"> are equivalent to the standard</w:t>
      </w:r>
      <w:r w:rsidR="00656212">
        <w:rPr>
          <w:rFonts w:ascii="Calibri" w:eastAsia="Calibri" w:hAnsi="Calibri" w:cs="Calibri"/>
        </w:rPr>
        <w:t>ized</w:t>
      </w:r>
      <w:r w:rsidRPr="071E6AE9">
        <w:rPr>
          <w:rFonts w:ascii="Calibri" w:eastAsia="Calibri" w:hAnsi="Calibri" w:cs="Calibri"/>
        </w:rPr>
        <w:t xml:space="preserve"> coefficients of 0.05, 0.09, 0.1,</w:t>
      </w:r>
      <w:r w:rsidR="00771C79">
        <w:rPr>
          <w:rFonts w:ascii="Calibri" w:eastAsia="Calibri" w:hAnsi="Calibri" w:cs="Calibri"/>
        </w:rPr>
        <w:t xml:space="preserve"> and</w:t>
      </w:r>
      <w:r w:rsidRPr="071E6AE9">
        <w:rPr>
          <w:rFonts w:ascii="Calibri" w:eastAsia="Calibri" w:hAnsi="Calibri" w:cs="Calibri"/>
        </w:rPr>
        <w:t xml:space="preserve"> 0.14, respectively. </w:t>
      </w:r>
      <w:r w:rsidR="00990252">
        <w:rPr>
          <w:rFonts w:ascii="Calibri" w:eastAsia="Calibri" w:hAnsi="Calibri" w:cs="Calibri"/>
        </w:rPr>
        <w:t>As shown in Table 6, t</w:t>
      </w:r>
      <w:r w:rsidRPr="071E6AE9">
        <w:rPr>
          <w:rFonts w:ascii="Calibri" w:eastAsia="Calibri" w:hAnsi="Calibri" w:cs="Calibri"/>
        </w:rPr>
        <w:t xml:space="preserve">he required sample size ranges from </w:t>
      </w:r>
      <w:r w:rsidR="00B1428B" w:rsidRPr="071E6AE9">
        <w:rPr>
          <w:rFonts w:ascii="Calibri" w:eastAsia="Calibri" w:hAnsi="Calibri" w:cs="Calibri"/>
        </w:rPr>
        <w:t>395</w:t>
      </w:r>
      <w:r w:rsidR="00B1428B">
        <w:rPr>
          <w:rFonts w:ascii="Calibri" w:eastAsia="Calibri" w:hAnsi="Calibri" w:cs="Calibri"/>
        </w:rPr>
        <w:t xml:space="preserve"> to 3,505</w:t>
      </w:r>
      <w:r w:rsidRPr="071E6AE9">
        <w:rPr>
          <w:rFonts w:ascii="Calibri" w:eastAsia="Calibri" w:hAnsi="Calibri" w:cs="Calibri"/>
        </w:rPr>
        <w:t>, depending on power</w:t>
      </w:r>
      <w:r>
        <w:rPr>
          <w:rFonts w:ascii="Calibri" w:eastAsia="Calibri" w:hAnsi="Calibri" w:cs="Calibri"/>
        </w:rPr>
        <w:t xml:space="preserve"> and</w:t>
      </w:r>
      <w:r w:rsidRPr="071E6AE9">
        <w:rPr>
          <w:rFonts w:ascii="Calibri" w:eastAsia="Calibri" w:hAnsi="Calibri" w:cs="Calibri"/>
        </w:rPr>
        <w:t xml:space="preserve"> Cohen's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Pr="071E6AE9">
        <w:rPr>
          <w:rFonts w:ascii="Calibri" w:eastAsia="Calibri" w:hAnsi="Calibri" w:cs="Calibri"/>
        </w:rPr>
        <w:t>.</w:t>
      </w:r>
      <w:r w:rsidRPr="56FBB37A">
        <w:rPr>
          <w:rFonts w:eastAsiaTheme="minorEastAsia"/>
        </w:rPr>
        <w:t xml:space="preserve"> </w:t>
      </w:r>
    </w:p>
    <w:p w14:paraId="2C2FECB4" w14:textId="1CD90CAC" w:rsidR="00163071" w:rsidRDefault="00990252" w:rsidP="56FBB37A">
      <w:pPr>
        <w:spacing w:line="257" w:lineRule="auto"/>
        <w:rPr>
          <w:rFonts w:ascii="Calibri" w:eastAsia="Calibri" w:hAnsi="Calibri" w:cs="Calibri"/>
        </w:rPr>
      </w:pPr>
      <w:r>
        <w:rPr>
          <w:rFonts w:ascii="Calibri" w:eastAsia="Calibri" w:hAnsi="Calibri" w:cs="Calibri"/>
        </w:rPr>
        <w:t xml:space="preserve">Note, the effect sizes used are likely optimistic based on the influence of findings from the Nevada evaluation in our meta-analysis. </w:t>
      </w:r>
      <w:r w:rsidR="00163071">
        <w:rPr>
          <w:rFonts w:ascii="Calibri" w:eastAsia="Calibri" w:hAnsi="Calibri" w:cs="Calibri"/>
        </w:rPr>
        <w:t xml:space="preserve">A comparison of estimates from Tables 1 and 2 help illustrate how the standardized coefficients are likely inflated. In particular, the overall standardized coefficient for Q2 employment is 0.112 as compared to 0.207 in NV, whereas the overall unstandardized coefficient for Q2 employment is 2.7 weeks as compared to 8.1 in NV. In other words, in the meta-analysis of unstandardized effects, which includes six estimates, the overall unstandardized effect is only one-third the magnitude of the estimate from NV, but the overall standardized effect is more than half the magnitude of the estimate from NV. Similarly, </w:t>
      </w:r>
      <w:proofErr w:type="spellStart"/>
      <w:r w:rsidR="00163071">
        <w:rPr>
          <w:rFonts w:ascii="Calibri" w:eastAsia="Calibri" w:hAnsi="Calibri" w:cs="Calibri"/>
        </w:rPr>
        <w:t>Klerman</w:t>
      </w:r>
      <w:proofErr w:type="spellEnd"/>
      <w:r w:rsidR="00163071">
        <w:rPr>
          <w:rFonts w:ascii="Calibri" w:eastAsia="Calibri" w:hAnsi="Calibri" w:cs="Calibri"/>
        </w:rPr>
        <w:t xml:space="preserve"> et al. (2022) meta-analyze all available evaluations of REA and identify an approximately 2.5 percentage point increase in Q2 employment. Power calculations assuming a slightly</w:t>
      </w:r>
      <w:r w:rsidR="008866B8">
        <w:rPr>
          <w:rFonts w:ascii="Calibri" w:eastAsia="Calibri" w:hAnsi="Calibri" w:cs="Calibri"/>
        </w:rPr>
        <w:t xml:space="preserve"> smaller impact </w:t>
      </w:r>
      <w:r w:rsidR="00163071">
        <w:rPr>
          <w:rFonts w:ascii="Calibri" w:eastAsia="Calibri" w:hAnsi="Calibri" w:cs="Calibri"/>
        </w:rPr>
        <w:t>in Q2 employment of 2 percentage points with assignment to RESEA result in an estimated required sample size of</w:t>
      </w:r>
      <w:r w:rsidR="008866B8">
        <w:rPr>
          <w:rFonts w:ascii="Calibri" w:eastAsia="Calibri" w:hAnsi="Calibri" w:cs="Calibri"/>
        </w:rPr>
        <w:t xml:space="preserve"> approximately</w:t>
      </w:r>
      <w:r w:rsidR="00163071">
        <w:rPr>
          <w:rFonts w:ascii="Calibri" w:eastAsia="Calibri" w:hAnsi="Calibri" w:cs="Calibri"/>
        </w:rPr>
        <w:t xml:space="preserve"> 18,000 (</w:t>
      </w:r>
      <w:proofErr w:type="spellStart"/>
      <w:r>
        <w:rPr>
          <w:rFonts w:ascii="Calibri" w:eastAsia="Calibri" w:hAnsi="Calibri" w:cs="Calibri"/>
        </w:rPr>
        <w:t>Klerman</w:t>
      </w:r>
      <w:proofErr w:type="spellEnd"/>
      <w:r>
        <w:rPr>
          <w:rFonts w:ascii="Calibri" w:eastAsia="Calibri" w:hAnsi="Calibri" w:cs="Calibri"/>
        </w:rPr>
        <w:t xml:space="preserve"> et al.</w:t>
      </w:r>
      <w:r w:rsidR="00163071">
        <w:rPr>
          <w:rFonts w:ascii="Calibri" w:eastAsia="Calibri" w:hAnsi="Calibri" w:cs="Calibri"/>
        </w:rPr>
        <w:t xml:space="preserve">, </w:t>
      </w:r>
      <w:r>
        <w:rPr>
          <w:rFonts w:ascii="Calibri" w:eastAsia="Calibri" w:hAnsi="Calibri" w:cs="Calibri"/>
        </w:rPr>
        <w:t>2022)</w:t>
      </w:r>
      <w:r w:rsidR="00163071">
        <w:rPr>
          <w:rFonts w:ascii="Calibri" w:eastAsia="Calibri" w:hAnsi="Calibri" w:cs="Calibri"/>
        </w:rPr>
        <w:t>.</w:t>
      </w:r>
      <w:r w:rsidR="007F609E">
        <w:rPr>
          <w:rFonts w:ascii="Calibri" w:eastAsia="Calibri" w:hAnsi="Calibri" w:cs="Calibri"/>
        </w:rPr>
        <w:t xml:space="preserve"> </w:t>
      </w:r>
      <w:proofErr w:type="spellStart"/>
      <w:r w:rsidR="008666ED">
        <w:rPr>
          <w:rFonts w:ascii="Calibri" w:eastAsia="Calibri" w:hAnsi="Calibri" w:cs="Calibri"/>
        </w:rPr>
        <w:t>Klerman</w:t>
      </w:r>
      <w:proofErr w:type="spellEnd"/>
      <w:r w:rsidR="008666ED">
        <w:rPr>
          <w:rFonts w:ascii="Calibri" w:eastAsia="Calibri" w:hAnsi="Calibri" w:cs="Calibri"/>
        </w:rPr>
        <w:t xml:space="preserve"> et al. (2022) recommend the inclusion of a</w:t>
      </w:r>
      <w:r w:rsidR="008866B8">
        <w:rPr>
          <w:rFonts w:ascii="Calibri" w:eastAsia="Calibri" w:hAnsi="Calibri" w:cs="Calibri"/>
        </w:rPr>
        <w:t>n even</w:t>
      </w:r>
      <w:r w:rsidR="008666ED">
        <w:rPr>
          <w:rFonts w:ascii="Calibri" w:eastAsia="Calibri" w:hAnsi="Calibri" w:cs="Calibri"/>
        </w:rPr>
        <w:t xml:space="preserve"> larger sample</w:t>
      </w:r>
      <w:r w:rsidR="008866B8">
        <w:rPr>
          <w:rFonts w:ascii="Calibri" w:eastAsia="Calibri" w:hAnsi="Calibri" w:cs="Calibri"/>
        </w:rPr>
        <w:t xml:space="preserve"> </w:t>
      </w:r>
      <w:r w:rsidR="008666ED">
        <w:rPr>
          <w:rFonts w:ascii="Calibri" w:eastAsia="Calibri" w:hAnsi="Calibri" w:cs="Calibri"/>
        </w:rPr>
        <w:t>than power calculations suggest</w:t>
      </w:r>
      <w:r w:rsidR="008866B8">
        <w:rPr>
          <w:rFonts w:ascii="Calibri" w:eastAsia="Calibri" w:hAnsi="Calibri" w:cs="Calibri"/>
        </w:rPr>
        <w:t>, citing approximately 30,000,</w:t>
      </w:r>
      <w:r w:rsidR="008666ED">
        <w:rPr>
          <w:rFonts w:ascii="Calibri" w:eastAsia="Calibri" w:hAnsi="Calibri" w:cs="Calibri"/>
        </w:rPr>
        <w:t xml:space="preserve"> due to true heterogeneity in the program impact across states, such that the impact is smaller than expected for some states, and to </w:t>
      </w:r>
      <w:r w:rsidR="00163071">
        <w:rPr>
          <w:rFonts w:ascii="Calibri" w:eastAsia="Calibri" w:hAnsi="Calibri" w:cs="Calibri"/>
        </w:rPr>
        <w:t xml:space="preserve">further increase </w:t>
      </w:r>
      <w:r w:rsidR="008866B8">
        <w:rPr>
          <w:rFonts w:ascii="Calibri" w:eastAsia="Calibri" w:hAnsi="Calibri" w:cs="Calibri"/>
        </w:rPr>
        <w:t xml:space="preserve">statistical </w:t>
      </w:r>
      <w:r w:rsidR="00163071">
        <w:rPr>
          <w:rFonts w:ascii="Calibri" w:eastAsia="Calibri" w:hAnsi="Calibri" w:cs="Calibri"/>
        </w:rPr>
        <w:t>power</w:t>
      </w:r>
      <w:r w:rsidR="008866B8">
        <w:rPr>
          <w:rFonts w:ascii="Calibri" w:eastAsia="Calibri" w:hAnsi="Calibri" w:cs="Calibri"/>
        </w:rPr>
        <w:t xml:space="preserve"> beyond the norm of 0.8</w:t>
      </w:r>
      <w:r w:rsidR="008666ED">
        <w:rPr>
          <w:rFonts w:ascii="Calibri" w:eastAsia="Calibri" w:hAnsi="Calibri" w:cs="Calibri"/>
        </w:rPr>
        <w:t>.</w:t>
      </w:r>
    </w:p>
    <w:p w14:paraId="4DC7EF23" w14:textId="77777777" w:rsidR="008866B8" w:rsidRDefault="008866B8" w:rsidP="56FBB37A">
      <w:pPr>
        <w:spacing w:line="257" w:lineRule="auto"/>
        <w:rPr>
          <w:rFonts w:ascii="Calibri" w:eastAsia="Calibri" w:hAnsi="Calibri" w:cs="Calibri"/>
        </w:rPr>
      </w:pPr>
    </w:p>
    <w:p w14:paraId="07B996C6" w14:textId="4C428E27" w:rsidR="008A0682" w:rsidRPr="00383DD7" w:rsidRDefault="008666ED" w:rsidP="008866B8">
      <w:pPr>
        <w:spacing w:line="257" w:lineRule="auto"/>
        <w:rPr>
          <w:rFonts w:eastAsiaTheme="minorEastAsia"/>
          <w:b/>
          <w:bCs/>
        </w:rPr>
      </w:pPr>
      <w:r>
        <w:rPr>
          <w:rFonts w:ascii="Calibri" w:eastAsia="Calibri" w:hAnsi="Calibri" w:cs="Calibri"/>
        </w:rPr>
        <w:lastRenderedPageBreak/>
        <w:t xml:space="preserve"> </w:t>
      </w:r>
      <w:r w:rsidR="526C5137" w:rsidRPr="526C5137">
        <w:rPr>
          <w:rFonts w:eastAsiaTheme="minorEastAsia"/>
          <w:b/>
          <w:bCs/>
        </w:rPr>
        <w:t>Table 6. The required sample size by power</w:t>
      </w:r>
      <w:r w:rsidR="00615532">
        <w:rPr>
          <w:rFonts w:eastAsiaTheme="minorEastAsia"/>
          <w:b/>
          <w:bCs/>
        </w:rPr>
        <w:t xml:space="preserve"> and </w:t>
      </w:r>
      <w:r w:rsidR="526C5137" w:rsidRPr="526C5137">
        <w:rPr>
          <w:rFonts w:eastAsiaTheme="minorEastAsia"/>
          <w:b/>
          <w:bCs/>
        </w:rPr>
        <w:t>effect size</w:t>
      </w:r>
      <w:r w:rsidR="00615532">
        <w:rPr>
          <w:rFonts w:eastAsiaTheme="minorEastAsia"/>
          <w:b/>
          <w:bCs/>
        </w:rPr>
        <w:t xml:space="preserve"> in a</w:t>
      </w:r>
      <w:r w:rsidR="526C5137" w:rsidRPr="526C5137">
        <w:rPr>
          <w:rFonts w:eastAsiaTheme="minorEastAsia"/>
          <w:b/>
          <w:bCs/>
        </w:rPr>
        <w:t xml:space="preserve"> multivariate regression </w:t>
      </w:r>
      <w:r w:rsidR="00615532">
        <w:rPr>
          <w:rFonts w:eastAsiaTheme="minorEastAsia"/>
          <w:b/>
          <w:bCs/>
        </w:rPr>
        <w:t>model.</w:t>
      </w:r>
    </w:p>
    <w:tbl>
      <w:tblPr>
        <w:tblStyle w:val="PlainTable3"/>
        <w:tblW w:w="5000" w:type="pct"/>
        <w:tblLook w:val="04A0" w:firstRow="1" w:lastRow="0" w:firstColumn="1" w:lastColumn="0" w:noHBand="0" w:noVBand="1"/>
      </w:tblPr>
      <w:tblGrid>
        <w:gridCol w:w="1441"/>
        <w:gridCol w:w="1979"/>
        <w:gridCol w:w="2070"/>
        <w:gridCol w:w="1936"/>
        <w:gridCol w:w="1934"/>
      </w:tblGrid>
      <w:tr w:rsidR="00771C79" w14:paraId="407E8A0E" w14:textId="77777777" w:rsidTr="00771C7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770" w:type="pct"/>
            <w:tcBorders>
              <w:top w:val="single" w:sz="2" w:space="0" w:color="auto"/>
            </w:tcBorders>
            <w:tcMar>
              <w:left w:w="108" w:type="dxa"/>
              <w:right w:w="108" w:type="dxa"/>
            </w:tcMar>
          </w:tcPr>
          <w:p w14:paraId="75D9DEC0" w14:textId="77777777" w:rsidR="00771C79" w:rsidRDefault="00771C79" w:rsidP="0080385F">
            <w:pPr>
              <w:jc w:val="center"/>
            </w:pPr>
            <w:r w:rsidRPr="035C0768">
              <w:rPr>
                <w:rFonts w:ascii="Calibri" w:eastAsia="Calibri" w:hAnsi="Calibri" w:cs="Calibri"/>
              </w:rPr>
              <w:t>Power (1-</w:t>
            </w:r>
            <m:oMath>
              <m:r>
                <m:rPr>
                  <m:sty m:val="bi"/>
                </m:rPr>
                <w:rPr>
                  <w:rFonts w:ascii="Cambria Math" w:hAnsi="Cambria Math"/>
                </w:rPr>
                <m:t>β </m:t>
              </m:r>
            </m:oMath>
            <w:r w:rsidRPr="035C0768">
              <w:rPr>
                <w:rFonts w:ascii="Calibri" w:eastAsia="Calibri" w:hAnsi="Calibri" w:cs="Calibri"/>
              </w:rPr>
              <w:t xml:space="preserve"> err. prob.)</w:t>
            </w:r>
          </w:p>
        </w:tc>
        <w:tc>
          <w:tcPr>
            <w:tcW w:w="1057" w:type="pct"/>
            <w:tcBorders>
              <w:top w:val="single" w:sz="2" w:space="0" w:color="auto"/>
            </w:tcBorders>
            <w:tcMar>
              <w:left w:w="108" w:type="dxa"/>
              <w:right w:w="108" w:type="dxa"/>
            </w:tcMar>
          </w:tcPr>
          <w:p w14:paraId="42436E20" w14:textId="77777777" w:rsidR="00771C79" w:rsidRDefault="00771C79" w:rsidP="0080385F">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0.003</w:t>
            </w:r>
          </w:p>
        </w:tc>
        <w:tc>
          <w:tcPr>
            <w:tcW w:w="1106" w:type="pct"/>
            <w:tcBorders>
              <w:top w:val="single" w:sz="2" w:space="0" w:color="auto"/>
            </w:tcBorders>
            <w:tcMar>
              <w:left w:w="108" w:type="dxa"/>
              <w:right w:w="108" w:type="dxa"/>
            </w:tcMar>
          </w:tcPr>
          <w:p w14:paraId="2FE49D90" w14:textId="77777777" w:rsidR="00771C79" w:rsidRDefault="00771C79" w:rsidP="0080385F">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Cohen's</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xml:space="preserve"> = 0.008</w:t>
            </w:r>
          </w:p>
        </w:tc>
        <w:tc>
          <w:tcPr>
            <w:tcW w:w="1034" w:type="pct"/>
            <w:tcBorders>
              <w:top w:val="single" w:sz="2" w:space="0" w:color="auto"/>
            </w:tcBorders>
            <w:tcMar>
              <w:left w:w="108" w:type="dxa"/>
              <w:right w:w="108" w:type="dxa"/>
            </w:tcMar>
          </w:tcPr>
          <w:p w14:paraId="707D7247" w14:textId="77777777" w:rsidR="00771C79" w:rsidRDefault="00771C79" w:rsidP="0080385F">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0.01</w:t>
            </w:r>
          </w:p>
        </w:tc>
        <w:tc>
          <w:tcPr>
            <w:tcW w:w="1033" w:type="pct"/>
            <w:tcBorders>
              <w:top w:val="single" w:sz="2" w:space="0" w:color="auto"/>
            </w:tcBorders>
            <w:tcMar>
              <w:left w:w="108" w:type="dxa"/>
              <w:right w:w="108" w:type="dxa"/>
            </w:tcMar>
          </w:tcPr>
          <w:p w14:paraId="17960D40" w14:textId="77777777" w:rsidR="00771C79" w:rsidRDefault="00771C79" w:rsidP="0080385F">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0.02</w:t>
            </w:r>
          </w:p>
        </w:tc>
      </w:tr>
      <w:tr w:rsidR="007C4661" w14:paraId="5CAE7B61" w14:textId="77777777" w:rsidTr="00771C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0" w:type="pct"/>
            <w:tcMar>
              <w:left w:w="108" w:type="dxa"/>
              <w:right w:w="108" w:type="dxa"/>
            </w:tcMar>
          </w:tcPr>
          <w:p w14:paraId="51830171" w14:textId="77777777" w:rsidR="007C4661" w:rsidRDefault="007C4661" w:rsidP="007C4661">
            <w:pPr>
              <w:jc w:val="center"/>
            </w:pPr>
            <w:r w:rsidRPr="6383DF3A">
              <w:rPr>
                <w:rFonts w:ascii="Calibri" w:eastAsia="Calibri" w:hAnsi="Calibri" w:cs="Calibri"/>
              </w:rPr>
              <w:t>0.80</w:t>
            </w:r>
          </w:p>
        </w:tc>
        <w:tc>
          <w:tcPr>
            <w:tcW w:w="1057" w:type="pct"/>
            <w:tcMar>
              <w:left w:w="108" w:type="dxa"/>
              <w:right w:w="108" w:type="dxa"/>
            </w:tcMar>
          </w:tcPr>
          <w:p w14:paraId="29DB3B65" w14:textId="02401511"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2,619</w:t>
            </w:r>
          </w:p>
        </w:tc>
        <w:tc>
          <w:tcPr>
            <w:tcW w:w="1106" w:type="pct"/>
            <w:tcMar>
              <w:left w:w="108" w:type="dxa"/>
              <w:right w:w="108" w:type="dxa"/>
            </w:tcMar>
          </w:tcPr>
          <w:p w14:paraId="5A826862" w14:textId="7187DC17"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984</w:t>
            </w:r>
          </w:p>
        </w:tc>
        <w:tc>
          <w:tcPr>
            <w:tcW w:w="1034" w:type="pct"/>
            <w:tcMar>
              <w:left w:w="108" w:type="dxa"/>
              <w:right w:w="108" w:type="dxa"/>
            </w:tcMar>
          </w:tcPr>
          <w:p w14:paraId="57EB5782" w14:textId="746A795A"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787</w:t>
            </w:r>
          </w:p>
        </w:tc>
        <w:tc>
          <w:tcPr>
            <w:tcW w:w="1033" w:type="pct"/>
            <w:tcMar>
              <w:left w:w="108" w:type="dxa"/>
              <w:right w:w="108" w:type="dxa"/>
            </w:tcMar>
          </w:tcPr>
          <w:p w14:paraId="7A89033E" w14:textId="2941979D"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395</w:t>
            </w:r>
          </w:p>
        </w:tc>
      </w:tr>
      <w:tr w:rsidR="007C4661" w14:paraId="650138AE" w14:textId="77777777" w:rsidTr="00771C79">
        <w:trPr>
          <w:trHeight w:val="300"/>
        </w:trPr>
        <w:tc>
          <w:tcPr>
            <w:cnfStyle w:val="001000000000" w:firstRow="0" w:lastRow="0" w:firstColumn="1" w:lastColumn="0" w:oddVBand="0" w:evenVBand="0" w:oddHBand="0" w:evenHBand="0" w:firstRowFirstColumn="0" w:firstRowLastColumn="0" w:lastRowFirstColumn="0" w:lastRowLastColumn="0"/>
            <w:tcW w:w="770" w:type="pct"/>
            <w:tcMar>
              <w:left w:w="108" w:type="dxa"/>
              <w:right w:w="108" w:type="dxa"/>
            </w:tcMar>
          </w:tcPr>
          <w:p w14:paraId="2CC027A8" w14:textId="77777777" w:rsidR="007C4661" w:rsidRDefault="007C4661" w:rsidP="007C4661">
            <w:pPr>
              <w:jc w:val="center"/>
            </w:pPr>
            <w:r w:rsidRPr="6383DF3A">
              <w:rPr>
                <w:rFonts w:ascii="Calibri" w:eastAsia="Calibri" w:hAnsi="Calibri" w:cs="Calibri"/>
              </w:rPr>
              <w:t>0.85</w:t>
            </w:r>
          </w:p>
        </w:tc>
        <w:tc>
          <w:tcPr>
            <w:tcW w:w="1057" w:type="pct"/>
            <w:tcMar>
              <w:left w:w="108" w:type="dxa"/>
              <w:right w:w="108" w:type="dxa"/>
            </w:tcMar>
          </w:tcPr>
          <w:p w14:paraId="62BE35B1" w14:textId="576374C3"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58FA5DD3">
              <w:rPr>
                <w:rFonts w:ascii="Calibri" w:eastAsia="Calibri" w:hAnsi="Calibri" w:cs="Calibri"/>
              </w:rPr>
              <w:t>2,995</w:t>
            </w:r>
          </w:p>
        </w:tc>
        <w:tc>
          <w:tcPr>
            <w:tcW w:w="1106" w:type="pct"/>
            <w:tcMar>
              <w:left w:w="108" w:type="dxa"/>
              <w:right w:w="108" w:type="dxa"/>
            </w:tcMar>
          </w:tcPr>
          <w:p w14:paraId="361EA317" w14:textId="4F3CD2B7"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58FA5DD3">
              <w:rPr>
                <w:rFonts w:ascii="Calibri" w:eastAsia="Calibri" w:hAnsi="Calibri" w:cs="Calibri"/>
              </w:rPr>
              <w:t>1,125</w:t>
            </w:r>
          </w:p>
        </w:tc>
        <w:tc>
          <w:tcPr>
            <w:tcW w:w="1034" w:type="pct"/>
            <w:tcMar>
              <w:left w:w="108" w:type="dxa"/>
              <w:right w:w="108" w:type="dxa"/>
            </w:tcMar>
          </w:tcPr>
          <w:p w14:paraId="50637063" w14:textId="42226658"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58FA5DD3">
              <w:rPr>
                <w:rFonts w:ascii="Calibri" w:eastAsia="Calibri" w:hAnsi="Calibri" w:cs="Calibri"/>
              </w:rPr>
              <w:t>900</w:t>
            </w:r>
          </w:p>
        </w:tc>
        <w:tc>
          <w:tcPr>
            <w:tcW w:w="1033" w:type="pct"/>
            <w:tcMar>
              <w:left w:w="108" w:type="dxa"/>
              <w:right w:w="108" w:type="dxa"/>
            </w:tcMar>
          </w:tcPr>
          <w:p w14:paraId="11DB674D" w14:textId="3E32E744"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58FA5DD3">
              <w:rPr>
                <w:rFonts w:ascii="Calibri" w:eastAsia="Calibri" w:hAnsi="Calibri" w:cs="Calibri"/>
              </w:rPr>
              <w:t>451</w:t>
            </w:r>
          </w:p>
        </w:tc>
      </w:tr>
      <w:tr w:rsidR="007C4661" w14:paraId="05F5232D" w14:textId="77777777" w:rsidTr="00771C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0" w:type="pct"/>
            <w:tcBorders>
              <w:bottom w:val="single" w:sz="2" w:space="0" w:color="auto"/>
            </w:tcBorders>
            <w:tcMar>
              <w:left w:w="108" w:type="dxa"/>
              <w:right w:w="108" w:type="dxa"/>
            </w:tcMar>
          </w:tcPr>
          <w:p w14:paraId="7AE85EE6" w14:textId="77777777" w:rsidR="007C4661" w:rsidRDefault="007C4661" w:rsidP="007C4661">
            <w:pPr>
              <w:jc w:val="center"/>
            </w:pPr>
            <w:r w:rsidRPr="6383DF3A">
              <w:rPr>
                <w:rFonts w:ascii="Calibri" w:eastAsia="Calibri" w:hAnsi="Calibri" w:cs="Calibri"/>
              </w:rPr>
              <w:t>0.90</w:t>
            </w:r>
          </w:p>
        </w:tc>
        <w:tc>
          <w:tcPr>
            <w:tcW w:w="1057" w:type="pct"/>
            <w:tcBorders>
              <w:bottom w:val="single" w:sz="2" w:space="0" w:color="auto"/>
            </w:tcBorders>
            <w:tcMar>
              <w:left w:w="108" w:type="dxa"/>
              <w:right w:w="108" w:type="dxa"/>
            </w:tcMar>
          </w:tcPr>
          <w:p w14:paraId="3F8D88C7" w14:textId="22871B46"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3,505</w:t>
            </w:r>
          </w:p>
        </w:tc>
        <w:tc>
          <w:tcPr>
            <w:tcW w:w="1106" w:type="pct"/>
            <w:tcBorders>
              <w:bottom w:val="single" w:sz="2" w:space="0" w:color="auto"/>
            </w:tcBorders>
            <w:tcMar>
              <w:left w:w="108" w:type="dxa"/>
              <w:right w:w="108" w:type="dxa"/>
            </w:tcMar>
          </w:tcPr>
          <w:p w14:paraId="33C51170" w14:textId="645A71F8"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1,316</w:t>
            </w:r>
          </w:p>
        </w:tc>
        <w:tc>
          <w:tcPr>
            <w:tcW w:w="1034" w:type="pct"/>
            <w:tcBorders>
              <w:bottom w:val="single" w:sz="2" w:space="0" w:color="auto"/>
            </w:tcBorders>
            <w:tcMar>
              <w:left w:w="108" w:type="dxa"/>
              <w:right w:w="108" w:type="dxa"/>
            </w:tcMar>
          </w:tcPr>
          <w:p w14:paraId="2A3AB2AE" w14:textId="49516615"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1,053</w:t>
            </w:r>
          </w:p>
        </w:tc>
        <w:tc>
          <w:tcPr>
            <w:tcW w:w="1033" w:type="pct"/>
            <w:tcBorders>
              <w:bottom w:val="single" w:sz="2" w:space="0" w:color="auto"/>
            </w:tcBorders>
            <w:tcMar>
              <w:left w:w="108" w:type="dxa"/>
              <w:right w:w="108" w:type="dxa"/>
            </w:tcMar>
          </w:tcPr>
          <w:p w14:paraId="28E59182" w14:textId="11281B7A"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58FA5DD3">
              <w:rPr>
                <w:rFonts w:ascii="Calibri" w:eastAsia="Calibri" w:hAnsi="Calibri" w:cs="Calibri"/>
              </w:rPr>
              <w:t>528</w:t>
            </w:r>
          </w:p>
        </w:tc>
      </w:tr>
    </w:tbl>
    <w:p w14:paraId="60F2B8FC" w14:textId="4D1DB25F" w:rsidR="004042ED" w:rsidRPr="00615532" w:rsidRDefault="35B90A2F" w:rsidP="6C486768">
      <w:pPr>
        <w:spacing w:after="0" w:line="257" w:lineRule="auto"/>
      </w:pPr>
      <w:r w:rsidRPr="35B90A2F">
        <w:rPr>
          <w:rFonts w:ascii="Calibri" w:eastAsia="Calibri" w:hAnsi="Calibri" w:cs="Calibri"/>
          <w:i/>
          <w:iCs/>
        </w:rPr>
        <w:t>Note</w:t>
      </w:r>
      <w:r w:rsidRPr="35B90A2F">
        <w:rPr>
          <w:rFonts w:ascii="Calibri" w:eastAsia="Calibri" w:hAnsi="Calibri" w:cs="Calibri"/>
        </w:rPr>
        <w:t>.</w:t>
      </w:r>
      <w:r w:rsidR="000272E0">
        <w:rPr>
          <w:rFonts w:ascii="Calibri" w:eastAsia="Calibri" w:hAnsi="Calibri" w:cs="Calibri"/>
        </w:rPr>
        <w:t xml:space="preserve"> </w:t>
      </w:r>
      <w:proofErr w:type="gramStart"/>
      <w:r w:rsidRPr="35B90A2F">
        <w:rPr>
          <w:rFonts w:ascii="Calibri" w:eastAsia="Calibri" w:hAnsi="Calibri" w:cs="Calibri"/>
        </w:rPr>
        <w:t>α(</w:t>
      </w:r>
      <w:proofErr w:type="gramEnd"/>
      <w:r w:rsidRPr="35B90A2F">
        <w:rPr>
          <w:rFonts w:ascii="Calibri" w:eastAsia="Calibri" w:hAnsi="Calibri" w:cs="Calibri"/>
        </w:rPr>
        <w:t xml:space="preserve">err. </w:t>
      </w:r>
      <w:proofErr w:type="gramStart"/>
      <w:r w:rsidRPr="35B90A2F">
        <w:rPr>
          <w:rFonts w:ascii="Calibri" w:eastAsia="Calibri" w:hAnsi="Calibri" w:cs="Calibri"/>
        </w:rPr>
        <w:t>prob.)=</w:t>
      </w:r>
      <w:proofErr w:type="gramEnd"/>
      <w:r w:rsidRPr="35B90A2F">
        <w:rPr>
          <w:rFonts w:ascii="Calibri" w:eastAsia="Calibri" w:hAnsi="Calibri" w:cs="Calibri"/>
        </w:rPr>
        <w:t xml:space="preserve"> 0.05. The number of predictors is set to be 25.</w:t>
      </w:r>
      <w:r w:rsidR="000272E0">
        <w:rPr>
          <w:rFonts w:ascii="Calibri" w:eastAsia="Calibri" w:hAnsi="Calibri" w:cs="Calibri"/>
        </w:rPr>
        <w:t xml:space="preserve"> </w:t>
      </w:r>
      <w:r w:rsidR="008A0682" w:rsidRPr="00DC2791">
        <w:rPr>
          <w:rFonts w:cstheme="minorHAnsi"/>
          <w:b/>
          <w:bCs/>
          <w:i/>
          <w:iCs/>
          <w:shd w:val="clear" w:color="auto" w:fill="FFFFFF"/>
        </w:rPr>
        <w:br/>
      </w:r>
    </w:p>
    <w:p w14:paraId="76762D2A" w14:textId="77777777" w:rsidR="00625DC1" w:rsidRDefault="008A0682" w:rsidP="00A06581">
      <w:pPr>
        <w:spacing w:line="257" w:lineRule="auto"/>
        <w:rPr>
          <w:rFonts w:ascii="Calibri" w:eastAsia="Calibri" w:hAnsi="Calibri" w:cs="Calibri"/>
        </w:rPr>
      </w:pPr>
      <w:r w:rsidRPr="071E6AE9">
        <w:rPr>
          <w:rFonts w:ascii="Calibri" w:eastAsia="Calibri" w:hAnsi="Calibri" w:cs="Calibri"/>
        </w:rPr>
        <w:t xml:space="preserve">As the final scenario, </w:t>
      </w:r>
      <w:r w:rsidR="008866B8">
        <w:rPr>
          <w:rFonts w:ascii="Calibri" w:eastAsia="Calibri" w:hAnsi="Calibri" w:cs="Calibri"/>
        </w:rPr>
        <w:t xml:space="preserve">we show the </w:t>
      </w:r>
      <w:r w:rsidRPr="071E6AE9">
        <w:rPr>
          <w:rFonts w:ascii="Calibri" w:eastAsia="Calibri" w:hAnsi="Calibri" w:cs="Calibri"/>
        </w:rPr>
        <w:t>required</w:t>
      </w:r>
      <w:r w:rsidR="008866B8">
        <w:rPr>
          <w:rFonts w:ascii="Calibri" w:eastAsia="Calibri" w:hAnsi="Calibri" w:cs="Calibri"/>
        </w:rPr>
        <w:t xml:space="preserve"> sample size</w:t>
      </w:r>
      <w:r w:rsidRPr="071E6AE9">
        <w:rPr>
          <w:rFonts w:ascii="Calibri" w:eastAsia="Calibri" w:hAnsi="Calibri" w:cs="Calibri"/>
        </w:rPr>
        <w:t xml:space="preserve"> </w:t>
      </w:r>
      <w:r w:rsidR="00074981">
        <w:rPr>
          <w:rFonts w:ascii="Calibri" w:eastAsia="Calibri" w:hAnsi="Calibri" w:cs="Calibri"/>
        </w:rPr>
        <w:t xml:space="preserve">when testing whether the impact of RESEA varies or is moderated by claimant characteristics or </w:t>
      </w:r>
      <w:r w:rsidR="008866B8">
        <w:rPr>
          <w:rFonts w:ascii="Calibri" w:eastAsia="Calibri" w:hAnsi="Calibri" w:cs="Calibri"/>
        </w:rPr>
        <w:t xml:space="preserve">other </w:t>
      </w:r>
      <w:r w:rsidR="00074981">
        <w:rPr>
          <w:rFonts w:ascii="Calibri" w:eastAsia="Calibri" w:hAnsi="Calibri" w:cs="Calibri"/>
        </w:rPr>
        <w:t>factors.</w:t>
      </w:r>
      <w:r w:rsidRPr="071E6AE9">
        <w:rPr>
          <w:rFonts w:ascii="Calibri" w:eastAsia="Calibri" w:hAnsi="Calibri" w:cs="Calibri"/>
        </w:rPr>
        <w:t xml:space="preserve"> </w:t>
      </w:r>
      <w:r w:rsidR="008C20D6">
        <w:rPr>
          <w:rFonts w:ascii="Calibri" w:eastAsia="Calibri" w:hAnsi="Calibri" w:cs="Calibri"/>
        </w:rPr>
        <w:t>Moderation tests</w:t>
      </w:r>
      <w:r w:rsidRPr="071E6AE9">
        <w:rPr>
          <w:rFonts w:ascii="Calibri" w:eastAsia="Calibri" w:hAnsi="Calibri" w:cs="Calibri"/>
        </w:rPr>
        <w:t xml:space="preserve"> </w:t>
      </w:r>
      <w:r w:rsidR="008C20D6">
        <w:rPr>
          <w:rFonts w:ascii="Calibri" w:eastAsia="Calibri" w:hAnsi="Calibri" w:cs="Calibri"/>
        </w:rPr>
        <w:t>require</w:t>
      </w:r>
      <w:r w:rsidRPr="071E6AE9">
        <w:rPr>
          <w:rFonts w:ascii="Calibri" w:eastAsia="Calibri" w:hAnsi="Calibri" w:cs="Calibri"/>
        </w:rPr>
        <w:t xml:space="preserve"> larger sample sizes</w:t>
      </w:r>
      <w:r w:rsidR="00074981">
        <w:rPr>
          <w:rFonts w:ascii="Calibri" w:eastAsia="Calibri" w:hAnsi="Calibri" w:cs="Calibri"/>
        </w:rPr>
        <w:t xml:space="preserve"> </w:t>
      </w:r>
      <w:r w:rsidR="00074981" w:rsidRPr="071E6AE9">
        <w:rPr>
          <w:rFonts w:ascii="Calibri" w:eastAsia="Calibri" w:hAnsi="Calibri" w:cs="Calibri"/>
        </w:rPr>
        <w:t xml:space="preserve">to </w:t>
      </w:r>
      <w:r w:rsidR="00074981">
        <w:rPr>
          <w:rFonts w:ascii="Calibri" w:eastAsia="Calibri" w:hAnsi="Calibri" w:cs="Calibri"/>
        </w:rPr>
        <w:t>detect</w:t>
      </w:r>
      <w:r w:rsidR="00074981" w:rsidRPr="071E6AE9">
        <w:rPr>
          <w:rFonts w:ascii="Calibri" w:eastAsia="Calibri" w:hAnsi="Calibri" w:cs="Calibri"/>
        </w:rPr>
        <w:t xml:space="preserve"> statistically significant </w:t>
      </w:r>
      <w:r w:rsidR="00074981">
        <w:rPr>
          <w:rFonts w:ascii="Calibri" w:eastAsia="Calibri" w:hAnsi="Calibri" w:cs="Calibri"/>
        </w:rPr>
        <w:t>differences as compared to tests of significant differences for individual variables (</w:t>
      </w:r>
      <w:r w:rsidR="008866B8">
        <w:rPr>
          <w:rFonts w:ascii="Calibri" w:eastAsia="Calibri" w:hAnsi="Calibri" w:cs="Calibri"/>
        </w:rPr>
        <w:t>in this case</w:t>
      </w:r>
      <w:r w:rsidR="00074981">
        <w:rPr>
          <w:rFonts w:ascii="Calibri" w:eastAsia="Calibri" w:hAnsi="Calibri" w:cs="Calibri"/>
        </w:rPr>
        <w:t>, assignment to RESEA)</w:t>
      </w:r>
      <w:r w:rsidR="00627841">
        <w:rPr>
          <w:rFonts w:ascii="Calibri" w:eastAsia="Calibri" w:hAnsi="Calibri" w:cs="Calibri"/>
        </w:rPr>
        <w:t xml:space="preserve"> (</w:t>
      </w:r>
      <w:proofErr w:type="spellStart"/>
      <w:r w:rsidR="00627841">
        <w:rPr>
          <w:rFonts w:ascii="Calibri" w:eastAsia="Calibri" w:hAnsi="Calibri" w:cs="Calibri"/>
        </w:rPr>
        <w:t>Aguinis</w:t>
      </w:r>
      <w:proofErr w:type="spellEnd"/>
      <w:r w:rsidR="00627841">
        <w:rPr>
          <w:rFonts w:ascii="Calibri" w:eastAsia="Calibri" w:hAnsi="Calibri" w:cs="Calibri"/>
        </w:rPr>
        <w:t xml:space="preserve"> et al., 2005)</w:t>
      </w:r>
      <w:r w:rsidRPr="071E6AE9">
        <w:rPr>
          <w:rFonts w:ascii="Calibri" w:eastAsia="Calibri" w:hAnsi="Calibri" w:cs="Calibri"/>
        </w:rPr>
        <w:t xml:space="preserve">. A non-normal distribution </w:t>
      </w:r>
      <w:r w:rsidR="008C20D6">
        <w:rPr>
          <w:rFonts w:ascii="Calibri" w:eastAsia="Calibri" w:hAnsi="Calibri" w:cs="Calibri"/>
        </w:rPr>
        <w:t>for the</w:t>
      </w:r>
      <w:r w:rsidRPr="071E6AE9">
        <w:rPr>
          <w:rFonts w:ascii="Calibri" w:eastAsia="Calibri" w:hAnsi="Calibri" w:cs="Calibri"/>
        </w:rPr>
        <w:t xml:space="preserve"> interaction term</w:t>
      </w:r>
      <w:r w:rsidR="008C20D6">
        <w:rPr>
          <w:rFonts w:ascii="Calibri" w:eastAsia="Calibri" w:hAnsi="Calibri" w:cs="Calibri"/>
        </w:rPr>
        <w:t xml:space="preserve"> (</w:t>
      </w:r>
      <w:r w:rsidR="008866B8">
        <w:rPr>
          <w:rFonts w:ascii="Calibri" w:eastAsia="Calibri" w:hAnsi="Calibri" w:cs="Calibri"/>
        </w:rPr>
        <w:t>e.g.</w:t>
      </w:r>
      <w:r w:rsidR="008C20D6">
        <w:rPr>
          <w:rFonts w:ascii="Calibri" w:eastAsia="Calibri" w:hAnsi="Calibri" w:cs="Calibri"/>
        </w:rPr>
        <w:t>, RESEA assignment by the moderator)</w:t>
      </w:r>
      <w:r w:rsidRPr="071E6AE9">
        <w:rPr>
          <w:rFonts w:ascii="Calibri" w:eastAsia="Calibri" w:hAnsi="Calibri" w:cs="Calibri"/>
        </w:rPr>
        <w:t xml:space="preserve"> (McClelland &amp; Judd, 1993; O'Connor, 2006; Shieh, 2009) and the interaction shapes (ordinal vs. </w:t>
      </w:r>
      <w:proofErr w:type="spellStart"/>
      <w:r w:rsidRPr="071E6AE9">
        <w:rPr>
          <w:rFonts w:ascii="Calibri" w:eastAsia="Calibri" w:hAnsi="Calibri" w:cs="Calibri"/>
        </w:rPr>
        <w:t>disordinal</w:t>
      </w:r>
      <w:proofErr w:type="spellEnd"/>
      <w:r w:rsidRPr="071E6AE9">
        <w:rPr>
          <w:rFonts w:ascii="Calibri" w:eastAsia="Calibri" w:hAnsi="Calibri" w:cs="Calibri"/>
        </w:rPr>
        <w:t xml:space="preserve">) (Blake &amp; </w:t>
      </w:r>
      <w:proofErr w:type="spellStart"/>
      <w:r w:rsidRPr="071E6AE9">
        <w:rPr>
          <w:rFonts w:ascii="Calibri" w:eastAsia="Calibri" w:hAnsi="Calibri" w:cs="Calibri"/>
        </w:rPr>
        <w:t>Gangstead</w:t>
      </w:r>
      <w:proofErr w:type="spellEnd"/>
      <w:r w:rsidRPr="071E6AE9">
        <w:rPr>
          <w:rFonts w:ascii="Calibri" w:eastAsia="Calibri" w:hAnsi="Calibri" w:cs="Calibri"/>
        </w:rPr>
        <w:t xml:space="preserve">, 2020; </w:t>
      </w:r>
      <w:proofErr w:type="spellStart"/>
      <w:r w:rsidR="31EA7613" w:rsidRPr="31EA7613">
        <w:rPr>
          <w:rFonts w:ascii="Calibri" w:eastAsia="Calibri" w:hAnsi="Calibri" w:cs="Calibri"/>
        </w:rPr>
        <w:t>Champoux</w:t>
      </w:r>
      <w:proofErr w:type="spellEnd"/>
      <w:r w:rsidR="31EA7613" w:rsidRPr="31EA7613">
        <w:rPr>
          <w:rFonts w:ascii="Calibri" w:eastAsia="Calibri" w:hAnsi="Calibri" w:cs="Calibri"/>
        </w:rPr>
        <w:t xml:space="preserve"> &amp; Peters, 1987</w:t>
      </w:r>
      <w:r w:rsidRPr="071E6AE9">
        <w:rPr>
          <w:rFonts w:ascii="Calibri" w:eastAsia="Calibri" w:hAnsi="Calibri" w:cs="Calibri"/>
        </w:rPr>
        <w:t xml:space="preserve">) contribute to a lack of power. </w:t>
      </w:r>
      <w:r w:rsidR="00627841">
        <w:rPr>
          <w:rFonts w:ascii="Calibri" w:eastAsia="Calibri" w:hAnsi="Calibri" w:cs="Calibri"/>
        </w:rPr>
        <w:t xml:space="preserve">In a review of the published literature from top-tier applied psychology and management journals over a thirty-year period, the median moderated effect size </w:t>
      </w:r>
      <w:r w:rsidR="008866B8">
        <w:rPr>
          <w:rFonts w:ascii="Calibri" w:eastAsia="Calibri" w:hAnsi="Calibri" w:cs="Calibri"/>
        </w:rPr>
        <w:t>(</w:t>
      </w:r>
      <m:oMath>
        <m:sSup>
          <m:sSupPr>
            <m:ctrlPr>
              <w:rPr>
                <w:rFonts w:ascii="Cambria Math" w:hAnsi="Cambria Math"/>
              </w:rPr>
            </m:ctrlPr>
          </m:sSupPr>
          <m:e>
            <m:r>
              <w:rPr>
                <w:rFonts w:ascii="Cambria Math" w:hAnsi="Cambria Math"/>
              </w:rPr>
              <m:t>f</m:t>
            </m:r>
          </m:e>
          <m:sup>
            <m:r>
              <w:rPr>
                <w:rFonts w:ascii="Cambria Math" w:hAnsi="Cambria Math"/>
              </w:rPr>
              <m:t>2</m:t>
            </m:r>
          </m:sup>
        </m:sSup>
        <m:r>
          <w:rPr>
            <w:rFonts w:ascii="Cambria Math" w:hAnsi="Cambria Math"/>
          </w:rPr>
          <m:t>)</m:t>
        </m:r>
      </m:oMath>
      <w:r w:rsidR="008866B8">
        <w:rPr>
          <w:rFonts w:ascii="Calibri" w:eastAsia="Calibri" w:hAnsi="Calibri" w:cs="Calibri"/>
        </w:rPr>
        <w:t xml:space="preserve"> </w:t>
      </w:r>
      <w:r w:rsidR="00627841">
        <w:rPr>
          <w:rFonts w:ascii="Calibri" w:eastAsia="Calibri" w:hAnsi="Calibri" w:cs="Calibri"/>
        </w:rPr>
        <w:t>was 0.002 and the 25</w:t>
      </w:r>
      <w:r w:rsidR="00627841" w:rsidRPr="00627841">
        <w:rPr>
          <w:rFonts w:ascii="Calibri" w:eastAsia="Calibri" w:hAnsi="Calibri" w:cs="Calibri"/>
          <w:vertAlign w:val="superscript"/>
        </w:rPr>
        <w:t>th</w:t>
      </w:r>
      <w:r w:rsidR="00627841">
        <w:rPr>
          <w:rFonts w:ascii="Calibri" w:eastAsia="Calibri" w:hAnsi="Calibri" w:cs="Calibri"/>
        </w:rPr>
        <w:t xml:space="preserve"> percentile was 0.0004. </w:t>
      </w:r>
      <w:r w:rsidR="00AF034D">
        <w:rPr>
          <w:rFonts w:ascii="Calibri" w:eastAsia="Calibri" w:hAnsi="Calibri" w:cs="Calibri"/>
        </w:rPr>
        <w:t xml:space="preserve">We anticipate a very small effect size for moderation tests, with </w:t>
      </w:r>
      <w:r w:rsidR="008866B8">
        <w:rPr>
          <w:rFonts w:ascii="Calibri" w:eastAsia="Calibri" w:hAnsi="Calibri" w:cs="Calibri"/>
        </w:rPr>
        <w:t>0.0004</w:t>
      </w:r>
      <w:r w:rsidR="00AF034D">
        <w:rPr>
          <w:rFonts w:ascii="Calibri" w:eastAsia="Calibri" w:hAnsi="Calibri" w:cs="Calibri"/>
        </w:rPr>
        <w:t xml:space="preserve"> being a reasonable approximation of the upper-bound of the effect size. Thus, in </w:t>
      </w:r>
      <w:r w:rsidRPr="071E6AE9">
        <w:rPr>
          <w:rFonts w:ascii="Calibri" w:eastAsia="Calibri" w:hAnsi="Calibri" w:cs="Calibri"/>
        </w:rPr>
        <w:t xml:space="preserve">Table </w:t>
      </w:r>
      <w:r w:rsidR="28606EB7" w:rsidRPr="28606EB7">
        <w:rPr>
          <w:rFonts w:ascii="Calibri" w:eastAsia="Calibri" w:hAnsi="Calibri" w:cs="Calibri"/>
        </w:rPr>
        <w:t>7</w:t>
      </w:r>
      <w:r w:rsidR="00AF034D">
        <w:rPr>
          <w:rFonts w:ascii="Calibri" w:eastAsia="Calibri" w:hAnsi="Calibri" w:cs="Calibri"/>
        </w:rPr>
        <w:t>, we</w:t>
      </w:r>
      <w:r w:rsidRPr="071E6AE9">
        <w:rPr>
          <w:rFonts w:ascii="Calibri" w:eastAsia="Calibri" w:hAnsi="Calibri" w:cs="Calibri"/>
        </w:rPr>
        <w:t xml:space="preserve"> show the required sample sizes across different </w:t>
      </w:r>
      <w:r w:rsidR="00AF034D" w:rsidRPr="071E6AE9">
        <w:rPr>
          <w:rFonts w:ascii="Calibri" w:eastAsia="Calibri" w:hAnsi="Calibri" w:cs="Calibri"/>
        </w:rPr>
        <w:t xml:space="preserve">Cohen's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00AF034D">
        <w:rPr>
          <w:rFonts w:ascii="Calibri" w:eastAsia="Calibri" w:hAnsi="Calibri" w:cs="Calibri"/>
        </w:rPr>
        <w:t xml:space="preserve"> values and </w:t>
      </w:r>
      <w:r w:rsidRPr="071E6AE9">
        <w:rPr>
          <w:rFonts w:ascii="Calibri" w:eastAsia="Calibri" w:hAnsi="Calibri" w:cs="Calibri"/>
        </w:rPr>
        <w:t>power level</w:t>
      </w:r>
      <w:r w:rsidR="00AF034D">
        <w:rPr>
          <w:rFonts w:ascii="Calibri" w:eastAsia="Calibri" w:hAnsi="Calibri" w:cs="Calibri"/>
        </w:rPr>
        <w:t>s</w:t>
      </w:r>
      <w:r w:rsidRPr="071E6AE9">
        <w:rPr>
          <w:rFonts w:ascii="Calibri" w:eastAsia="Calibri" w:hAnsi="Calibri" w:cs="Calibri"/>
        </w:rPr>
        <w:t xml:space="preserve">. </w:t>
      </w:r>
      <w:r w:rsidR="008866B8">
        <w:rPr>
          <w:rFonts w:ascii="Calibri" w:eastAsia="Calibri" w:hAnsi="Calibri" w:cs="Calibri"/>
        </w:rPr>
        <w:t>R</w:t>
      </w:r>
      <w:r w:rsidRPr="071E6AE9">
        <w:rPr>
          <w:rFonts w:ascii="Calibri" w:eastAsia="Calibri" w:hAnsi="Calibri" w:cs="Calibri"/>
        </w:rPr>
        <w:t>equired sample size range</w:t>
      </w:r>
      <w:r w:rsidR="008C20D6">
        <w:rPr>
          <w:rFonts w:ascii="Calibri" w:eastAsia="Calibri" w:hAnsi="Calibri" w:cs="Calibri"/>
        </w:rPr>
        <w:t>s</w:t>
      </w:r>
      <w:r w:rsidRPr="071E6AE9">
        <w:rPr>
          <w:rFonts w:ascii="Calibri" w:eastAsia="Calibri" w:hAnsi="Calibri" w:cs="Calibri"/>
        </w:rPr>
        <w:t xml:space="preserve"> from </w:t>
      </w:r>
      <w:r w:rsidR="00894F3E" w:rsidRPr="071E6AE9">
        <w:rPr>
          <w:rFonts w:ascii="Calibri" w:eastAsia="Calibri" w:hAnsi="Calibri" w:cs="Calibri"/>
        </w:rPr>
        <w:t>19,625 to 129</w:t>
      </w:r>
      <w:r w:rsidR="00894F3E">
        <w:rPr>
          <w:rFonts w:ascii="Calibri" w:eastAsia="Calibri" w:hAnsi="Calibri" w:cs="Calibri"/>
        </w:rPr>
        <w:t>,950</w:t>
      </w:r>
      <w:r w:rsidRPr="071E6AE9">
        <w:rPr>
          <w:rFonts w:ascii="Calibri" w:eastAsia="Calibri" w:hAnsi="Calibri" w:cs="Calibri"/>
        </w:rPr>
        <w:t>.</w:t>
      </w:r>
      <w:r w:rsidR="009B5495">
        <w:rPr>
          <w:rFonts w:ascii="Calibri" w:eastAsia="Calibri" w:hAnsi="Calibri" w:cs="Calibri"/>
        </w:rPr>
        <w:t xml:space="preserve"> These results indicate that the present evaluation</w:t>
      </w:r>
      <w:r w:rsidR="00D9644F">
        <w:rPr>
          <w:rFonts w:ascii="Calibri" w:eastAsia="Calibri" w:hAnsi="Calibri" w:cs="Calibri"/>
        </w:rPr>
        <w:t>, with a sample of 45,000</w:t>
      </w:r>
      <w:r w:rsidR="009B5495">
        <w:rPr>
          <w:rFonts w:ascii="Calibri" w:eastAsia="Calibri" w:hAnsi="Calibri" w:cs="Calibri"/>
        </w:rPr>
        <w:t xml:space="preserve"> would be statistically powered to detect moderation effects that are equivalent to a</w:t>
      </w:r>
      <w:r w:rsidR="00AF034D">
        <w:rPr>
          <w:rFonts w:ascii="Calibri" w:eastAsia="Calibri" w:hAnsi="Calibri" w:cs="Calibri"/>
        </w:rPr>
        <w:t xml:space="preserve"> very</w:t>
      </w:r>
      <w:r w:rsidR="009B5495">
        <w:rPr>
          <w:rFonts w:ascii="Calibri" w:eastAsia="Calibri" w:hAnsi="Calibri" w:cs="Calibri"/>
        </w:rPr>
        <w:t xml:space="preserve"> small magnitude</w:t>
      </w:r>
      <w:r w:rsidR="00D9644F">
        <w:rPr>
          <w:rFonts w:ascii="Calibri" w:eastAsia="Calibri" w:hAnsi="Calibri" w:cs="Calibri"/>
        </w:rPr>
        <w:t xml:space="preserve"> of</w:t>
      </w:r>
      <w:r w:rsidR="008866B8">
        <w:rPr>
          <w:rFonts w:ascii="Calibri" w:eastAsia="Calibri" w:hAnsi="Calibri" w:cs="Calibri"/>
        </w:rPr>
        <w:t xml:space="preserve"> approximately </w:t>
      </w:r>
      <m:oMath>
        <m:sSup>
          <m:sSupPr>
            <m:ctrlPr>
              <w:rPr>
                <w:rFonts w:ascii="Cambria Math" w:hAnsi="Cambria Math"/>
              </w:rPr>
            </m:ctrlPr>
          </m:sSupPr>
          <m:e>
            <m:r>
              <w:rPr>
                <w:rFonts w:ascii="Cambria Math" w:hAnsi="Cambria Math"/>
              </w:rPr>
              <m:t>f</m:t>
            </m:r>
          </m:e>
          <m:sup>
            <m:r>
              <w:rPr>
                <w:rFonts w:ascii="Cambria Math" w:hAnsi="Cambria Math"/>
              </w:rPr>
              <m:t>2</m:t>
            </m:r>
          </m:sup>
        </m:sSup>
      </m:oMath>
      <w:r w:rsidR="008866B8" w:rsidRPr="18AD8057">
        <w:rPr>
          <w:rFonts w:ascii="Calibri" w:eastAsia="Calibri" w:hAnsi="Calibri" w:cs="Calibri"/>
        </w:rPr>
        <w:t>= 0.000225</w:t>
      </w:r>
      <w:r w:rsidR="00D9644F">
        <w:rPr>
          <w:rFonts w:ascii="Calibri" w:eastAsia="Calibri" w:hAnsi="Calibri" w:cs="Calibri"/>
        </w:rPr>
        <w:t>, or just over half of the 25</w:t>
      </w:r>
      <w:r w:rsidR="00D9644F" w:rsidRPr="00D9644F">
        <w:rPr>
          <w:rFonts w:ascii="Calibri" w:eastAsia="Calibri" w:hAnsi="Calibri" w:cs="Calibri"/>
          <w:vertAlign w:val="superscript"/>
        </w:rPr>
        <w:t>th</w:t>
      </w:r>
      <w:r w:rsidR="00D9644F">
        <w:rPr>
          <w:rFonts w:ascii="Calibri" w:eastAsia="Calibri" w:hAnsi="Calibri" w:cs="Calibri"/>
        </w:rPr>
        <w:t xml:space="preserve"> percentile value from the </w:t>
      </w:r>
      <w:proofErr w:type="spellStart"/>
      <w:r w:rsidR="00D9644F">
        <w:rPr>
          <w:rFonts w:ascii="Calibri" w:eastAsia="Calibri" w:hAnsi="Calibri" w:cs="Calibri"/>
        </w:rPr>
        <w:t>Aguinis</w:t>
      </w:r>
      <w:proofErr w:type="spellEnd"/>
      <w:r w:rsidR="00D9644F">
        <w:rPr>
          <w:rFonts w:ascii="Calibri" w:eastAsia="Calibri" w:hAnsi="Calibri" w:cs="Calibri"/>
        </w:rPr>
        <w:t xml:space="preserve"> et al. (2005) review</w:t>
      </w:r>
      <w:r w:rsidR="009B5495">
        <w:rPr>
          <w:rFonts w:ascii="Calibri" w:eastAsia="Calibri" w:hAnsi="Calibri" w:cs="Calibri"/>
        </w:rPr>
        <w:t xml:space="preserve">. </w:t>
      </w:r>
      <w:r w:rsidR="003306C3">
        <w:rPr>
          <w:rFonts w:ascii="Calibri" w:eastAsia="Calibri" w:hAnsi="Calibri" w:cs="Calibri"/>
        </w:rPr>
        <w:t xml:space="preserve">When accounting for the imbalanced design from the 2:1 randomization ratio, </w:t>
      </w:r>
      <w:r w:rsidR="00A06581">
        <w:rPr>
          <w:rFonts w:ascii="Calibri" w:eastAsia="Calibri" w:hAnsi="Calibri" w:cs="Calibri"/>
        </w:rPr>
        <w:t>the</w:t>
      </w:r>
      <w:r w:rsidR="00D9644F">
        <w:rPr>
          <w:rFonts w:ascii="Calibri" w:eastAsia="Calibri" w:hAnsi="Calibri" w:cs="Calibri"/>
        </w:rPr>
        <w:t xml:space="preserve"> sample size of 45,000</w:t>
      </w:r>
      <w:r w:rsidR="00AF034D">
        <w:rPr>
          <w:rFonts w:ascii="Calibri" w:eastAsia="Calibri" w:hAnsi="Calibri" w:cs="Calibri"/>
        </w:rPr>
        <w:t xml:space="preserve"> </w:t>
      </w:r>
      <w:r w:rsidR="00A06581">
        <w:rPr>
          <w:rFonts w:ascii="Calibri" w:eastAsia="Calibri" w:hAnsi="Calibri" w:cs="Calibri"/>
        </w:rPr>
        <w:t>is</w:t>
      </w:r>
      <w:r w:rsidR="003306C3">
        <w:rPr>
          <w:rFonts w:ascii="Calibri" w:eastAsia="Calibri" w:hAnsi="Calibri" w:cs="Calibri"/>
        </w:rPr>
        <w:t xml:space="preserve"> equivalent to approximately 40,000</w:t>
      </w:r>
      <w:r w:rsidR="00A06581">
        <w:rPr>
          <w:rFonts w:ascii="Calibri" w:eastAsia="Calibri" w:hAnsi="Calibri" w:cs="Calibri"/>
        </w:rPr>
        <w:t xml:space="preserve"> claimants</w:t>
      </w:r>
      <w:r w:rsidR="00092970">
        <w:rPr>
          <w:rFonts w:ascii="Calibri" w:eastAsia="Calibri" w:hAnsi="Calibri" w:cs="Calibri"/>
        </w:rPr>
        <w:t xml:space="preserve"> in a balanced study design (Suresh &amp; </w:t>
      </w:r>
      <w:proofErr w:type="spellStart"/>
      <w:r w:rsidR="00092970">
        <w:rPr>
          <w:rFonts w:ascii="Calibri" w:eastAsia="Calibri" w:hAnsi="Calibri" w:cs="Calibri"/>
        </w:rPr>
        <w:t>Chandrashekara</w:t>
      </w:r>
      <w:proofErr w:type="spellEnd"/>
      <w:r w:rsidR="00092970">
        <w:rPr>
          <w:rFonts w:ascii="Calibri" w:eastAsia="Calibri" w:hAnsi="Calibri" w:cs="Calibri"/>
        </w:rPr>
        <w:t>, 2012)</w:t>
      </w:r>
      <w:r w:rsidR="00A06581">
        <w:rPr>
          <w:rFonts w:ascii="Calibri" w:eastAsia="Calibri" w:hAnsi="Calibri" w:cs="Calibri"/>
        </w:rPr>
        <w:t>.</w:t>
      </w:r>
      <w:r w:rsidR="003306C3">
        <w:rPr>
          <w:rFonts w:ascii="Calibri" w:eastAsia="Calibri" w:hAnsi="Calibri" w:cs="Calibri"/>
        </w:rPr>
        <w:t xml:space="preserve"> </w:t>
      </w:r>
    </w:p>
    <w:p w14:paraId="710292F2" w14:textId="2EAF9134" w:rsidR="00656212" w:rsidRPr="00A06581" w:rsidRDefault="00A06581" w:rsidP="00A06581">
      <w:pPr>
        <w:spacing w:line="257" w:lineRule="auto"/>
        <w:rPr>
          <w:rFonts w:ascii="Calibri" w:eastAsia="Calibri" w:hAnsi="Calibri" w:cs="Calibri"/>
        </w:rPr>
      </w:pPr>
      <w:r w:rsidRPr="00092970">
        <w:rPr>
          <w:rFonts w:ascii="Calibri" w:eastAsia="Calibri" w:hAnsi="Calibri" w:cs="Calibri"/>
          <w:b/>
        </w:rPr>
        <w:t>In short, based on these power calculations, the effect sizes from the entire REA literature, and evidence-based recommendations from others (</w:t>
      </w:r>
      <w:proofErr w:type="spellStart"/>
      <w:r w:rsidRPr="00092970">
        <w:rPr>
          <w:rFonts w:ascii="Calibri" w:eastAsia="Calibri" w:hAnsi="Calibri" w:cs="Calibri"/>
          <w:b/>
        </w:rPr>
        <w:t>Aguinis</w:t>
      </w:r>
      <w:proofErr w:type="spellEnd"/>
      <w:r w:rsidRPr="00092970">
        <w:rPr>
          <w:rFonts w:ascii="Calibri" w:eastAsia="Calibri" w:hAnsi="Calibri" w:cs="Calibri"/>
          <w:b/>
        </w:rPr>
        <w:t xml:space="preserve"> et al., 2005; </w:t>
      </w:r>
      <w:proofErr w:type="spellStart"/>
      <w:r w:rsidRPr="00092970">
        <w:rPr>
          <w:rFonts w:ascii="Calibri" w:eastAsia="Calibri" w:hAnsi="Calibri" w:cs="Calibri"/>
          <w:b/>
        </w:rPr>
        <w:t>Klerman</w:t>
      </w:r>
      <w:proofErr w:type="spellEnd"/>
      <w:r w:rsidRPr="00092970">
        <w:rPr>
          <w:rFonts w:ascii="Calibri" w:eastAsia="Calibri" w:hAnsi="Calibri" w:cs="Calibri"/>
          <w:b/>
        </w:rPr>
        <w:t xml:space="preserve"> et al., 2022), we conclude that the proposed sample size of 30,000 claimants assigned to RESEA and 15,000 claimants </w:t>
      </w:r>
      <w:r w:rsidR="00092970">
        <w:rPr>
          <w:rFonts w:ascii="Calibri" w:eastAsia="Calibri" w:hAnsi="Calibri" w:cs="Calibri"/>
          <w:b/>
        </w:rPr>
        <w:t>to</w:t>
      </w:r>
      <w:r w:rsidRPr="00092970">
        <w:rPr>
          <w:rFonts w:ascii="Calibri" w:eastAsia="Calibri" w:hAnsi="Calibri" w:cs="Calibri"/>
          <w:b/>
        </w:rPr>
        <w:t xml:space="preserve"> the control group is </w:t>
      </w:r>
      <w:r w:rsidR="00092970">
        <w:rPr>
          <w:rFonts w:ascii="Calibri" w:eastAsia="Calibri" w:hAnsi="Calibri" w:cs="Calibri"/>
          <w:b/>
        </w:rPr>
        <w:t>adequately powered</w:t>
      </w:r>
      <w:r w:rsidRPr="00092970">
        <w:rPr>
          <w:rFonts w:ascii="Calibri" w:eastAsia="Calibri" w:hAnsi="Calibri" w:cs="Calibri"/>
          <w:b/>
        </w:rPr>
        <w:t xml:space="preserve"> to accomplish the aims of this evaluation</w:t>
      </w:r>
      <w:r>
        <w:rPr>
          <w:rFonts w:ascii="Calibri" w:eastAsia="Calibri" w:hAnsi="Calibri" w:cs="Calibri"/>
        </w:rPr>
        <w:t>. This sample size will ensure we are well-powered to identify the impact of RESEA on UI and employment outcomes while ensuring adequate power to identify moderation effects of a reasonable but very small magnitude. We will likely not have sufficient power to detect many of the</w:t>
      </w:r>
      <w:r w:rsidR="00092970">
        <w:rPr>
          <w:rFonts w:ascii="Calibri" w:eastAsia="Calibri" w:hAnsi="Calibri" w:cs="Calibri"/>
        </w:rPr>
        <w:t xml:space="preserve"> proposed</w:t>
      </w:r>
      <w:r>
        <w:rPr>
          <w:rFonts w:ascii="Calibri" w:eastAsia="Calibri" w:hAnsi="Calibri" w:cs="Calibri"/>
        </w:rPr>
        <w:t xml:space="preserve"> moderation analyses</w:t>
      </w:r>
      <w:r w:rsidR="00092970">
        <w:rPr>
          <w:rFonts w:ascii="Calibri" w:eastAsia="Calibri" w:hAnsi="Calibri" w:cs="Calibri"/>
        </w:rPr>
        <w:t>, and possibly even long-term impact</w:t>
      </w:r>
      <w:r w:rsidR="00625DC1">
        <w:rPr>
          <w:rFonts w:ascii="Calibri" w:eastAsia="Calibri" w:hAnsi="Calibri" w:cs="Calibri"/>
        </w:rPr>
        <w:t>s</w:t>
      </w:r>
      <w:r w:rsidR="00092970">
        <w:rPr>
          <w:rFonts w:ascii="Calibri" w:eastAsia="Calibri" w:hAnsi="Calibri" w:cs="Calibri"/>
        </w:rPr>
        <w:t xml:space="preserve"> of RESEA</w:t>
      </w:r>
      <w:r>
        <w:rPr>
          <w:rFonts w:ascii="Calibri" w:eastAsia="Calibri" w:hAnsi="Calibri" w:cs="Calibri"/>
        </w:rPr>
        <w:t>, but our estimates can be meta-analyzed with those from other studies to examine heterogeneity</w:t>
      </w:r>
      <w:r w:rsidR="00092970" w:rsidRPr="00092970">
        <w:rPr>
          <w:rFonts w:ascii="Calibri" w:eastAsia="Calibri" w:hAnsi="Calibri" w:cs="Calibri"/>
        </w:rPr>
        <w:t xml:space="preserve"> </w:t>
      </w:r>
      <w:r w:rsidR="00092970">
        <w:rPr>
          <w:rFonts w:ascii="Calibri" w:eastAsia="Calibri" w:hAnsi="Calibri" w:cs="Calibri"/>
        </w:rPr>
        <w:t>in the impact of the RESEA program</w:t>
      </w:r>
      <w:r>
        <w:rPr>
          <w:rFonts w:ascii="Calibri" w:eastAsia="Calibri" w:hAnsi="Calibri" w:cs="Calibri"/>
        </w:rPr>
        <w:t xml:space="preserve">. </w:t>
      </w:r>
    </w:p>
    <w:p w14:paraId="48FF94F0" w14:textId="64A0FCE0" w:rsidR="008A0682" w:rsidRPr="00383DD7" w:rsidRDefault="1358D142" w:rsidP="1358D142">
      <w:pPr>
        <w:rPr>
          <w:rFonts w:eastAsiaTheme="minorEastAsia"/>
          <w:b/>
          <w:bCs/>
        </w:rPr>
      </w:pPr>
      <w:r w:rsidRPr="1358D142">
        <w:rPr>
          <w:rFonts w:eastAsiaTheme="minorEastAsia"/>
          <w:b/>
          <w:bCs/>
        </w:rPr>
        <w:t>Table 7. Required sample size for moderating variables by power and effect size.</w:t>
      </w:r>
    </w:p>
    <w:tbl>
      <w:tblPr>
        <w:tblStyle w:val="PlainTable3"/>
        <w:tblW w:w="7417" w:type="dxa"/>
        <w:tblLook w:val="04A0" w:firstRow="1" w:lastRow="0" w:firstColumn="1" w:lastColumn="0" w:noHBand="0" w:noVBand="1"/>
      </w:tblPr>
      <w:tblGrid>
        <w:gridCol w:w="1588"/>
        <w:gridCol w:w="1943"/>
        <w:gridCol w:w="1943"/>
        <w:gridCol w:w="1943"/>
      </w:tblGrid>
      <w:tr w:rsidR="007C4661" w14:paraId="0CC81D4F" w14:textId="77777777" w:rsidTr="007C4661">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588" w:type="dxa"/>
            <w:tcBorders>
              <w:top w:val="single" w:sz="2" w:space="0" w:color="auto"/>
            </w:tcBorders>
          </w:tcPr>
          <w:p w14:paraId="4308D6D0" w14:textId="77777777" w:rsidR="007C4661" w:rsidRDefault="007C4661" w:rsidP="007C4661">
            <w:pPr>
              <w:jc w:val="center"/>
              <w:rPr>
                <w:rFonts w:ascii="Calibri" w:eastAsia="Calibri" w:hAnsi="Calibri" w:cs="Calibri"/>
                <w:b w:val="0"/>
                <w:bCs w:val="0"/>
                <w:caps w:val="0"/>
              </w:rPr>
            </w:pPr>
            <w:r w:rsidRPr="66D4C17F">
              <w:rPr>
                <w:rFonts w:ascii="Calibri" w:eastAsia="Calibri" w:hAnsi="Calibri" w:cs="Calibri"/>
              </w:rPr>
              <w:t xml:space="preserve">Power </w:t>
            </w:r>
          </w:p>
          <w:p w14:paraId="10019661" w14:textId="2417E069" w:rsidR="007C4661" w:rsidRDefault="007C4661" w:rsidP="007C4661">
            <w:pPr>
              <w:jc w:val="center"/>
            </w:pPr>
            <w:r w:rsidRPr="66D4C17F">
              <w:rPr>
                <w:rFonts w:ascii="Calibri" w:eastAsia="Calibri" w:hAnsi="Calibri" w:cs="Calibri"/>
              </w:rPr>
              <w:t>(1- β err. prob.)</w:t>
            </w:r>
          </w:p>
        </w:tc>
        <w:tc>
          <w:tcPr>
            <w:tcW w:w="1943" w:type="dxa"/>
            <w:tcBorders>
              <w:top w:val="single" w:sz="2" w:space="0" w:color="auto"/>
            </w:tcBorders>
          </w:tcPr>
          <w:p w14:paraId="27F2D3E4" w14:textId="77777777" w:rsidR="007C4661" w:rsidRDefault="007C4661" w:rsidP="007C4661">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0.0001</w:t>
            </w:r>
          </w:p>
        </w:tc>
        <w:tc>
          <w:tcPr>
            <w:tcW w:w="1943" w:type="dxa"/>
            <w:tcBorders>
              <w:top w:val="single" w:sz="2" w:space="0" w:color="auto"/>
            </w:tcBorders>
          </w:tcPr>
          <w:p w14:paraId="042DE60B" w14:textId="0EB6A347" w:rsidR="007C4661" w:rsidRPr="071E6AE9" w:rsidRDefault="007C4661" w:rsidP="007C466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r w:rsidRPr="18AD8057">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18AD8057">
              <w:rPr>
                <w:rFonts w:ascii="Calibri" w:eastAsia="Calibri" w:hAnsi="Calibri" w:cs="Calibri"/>
              </w:rPr>
              <w:t>= 0.000225</w:t>
            </w:r>
          </w:p>
        </w:tc>
        <w:tc>
          <w:tcPr>
            <w:tcW w:w="1943" w:type="dxa"/>
            <w:tcBorders>
              <w:top w:val="single" w:sz="2" w:space="0" w:color="auto"/>
            </w:tcBorders>
          </w:tcPr>
          <w:p w14:paraId="29B7A4B3" w14:textId="37132A70" w:rsidR="007C4661" w:rsidRDefault="007C4661" w:rsidP="007C4661">
            <w:pPr>
              <w:jc w:val="center"/>
              <w:cnfStyle w:val="100000000000" w:firstRow="1" w:lastRow="0" w:firstColumn="0" w:lastColumn="0" w:oddVBand="0" w:evenVBand="0" w:oddHBand="0" w:evenHBand="0" w:firstRowFirstColumn="0" w:firstRowLastColumn="0" w:lastRowFirstColumn="0" w:lastRowLastColumn="0"/>
            </w:pPr>
            <w:r w:rsidRPr="071E6AE9">
              <w:rPr>
                <w:rFonts w:ascii="Calibri" w:eastAsia="Calibri" w:hAnsi="Calibri" w:cs="Calibri"/>
              </w:rPr>
              <w:t xml:space="preserve">Cohen's </w:t>
            </w:r>
            <m:oMath>
              <m:sSup>
                <m:sSupPr>
                  <m:ctrlPr>
                    <w:rPr>
                      <w:rFonts w:ascii="Cambria Math" w:hAnsi="Cambria Math"/>
                    </w:rPr>
                  </m:ctrlPr>
                </m:sSupPr>
                <m:e>
                  <m:r>
                    <m:rPr>
                      <m:sty m:val="bi"/>
                    </m:rPr>
                    <w:rPr>
                      <w:rFonts w:ascii="Cambria Math" w:hAnsi="Cambria Math"/>
                    </w:rPr>
                    <m:t>f</m:t>
                  </m:r>
                </m:e>
                <m:sup>
                  <m:r>
                    <m:rPr>
                      <m:sty m:val="bi"/>
                    </m:rPr>
                    <w:rPr>
                      <w:rFonts w:ascii="Cambria Math" w:hAnsi="Cambria Math"/>
                    </w:rPr>
                    <m:t>2</m:t>
                  </m:r>
                </m:sup>
              </m:sSup>
            </m:oMath>
            <w:r w:rsidRPr="071E6AE9">
              <w:rPr>
                <w:rFonts w:ascii="Calibri" w:eastAsia="Calibri" w:hAnsi="Calibri" w:cs="Calibri"/>
              </w:rPr>
              <w:t>= 0.0004</w:t>
            </w:r>
          </w:p>
        </w:tc>
      </w:tr>
      <w:tr w:rsidR="007C4661" w14:paraId="4458E93D" w14:textId="77777777" w:rsidTr="007C46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8" w:type="dxa"/>
          </w:tcPr>
          <w:p w14:paraId="74190B14" w14:textId="77777777" w:rsidR="007C4661" w:rsidRDefault="007C4661" w:rsidP="007C4661">
            <w:pPr>
              <w:jc w:val="center"/>
            </w:pPr>
            <w:r w:rsidRPr="087BAB67">
              <w:rPr>
                <w:rFonts w:ascii="Calibri" w:eastAsia="Calibri" w:hAnsi="Calibri" w:cs="Calibri"/>
              </w:rPr>
              <w:t>0.80</w:t>
            </w:r>
          </w:p>
        </w:tc>
        <w:tc>
          <w:tcPr>
            <w:tcW w:w="1943" w:type="dxa"/>
          </w:tcPr>
          <w:p w14:paraId="7FCB04FC" w14:textId="53D790FF"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18AD8057">
              <w:rPr>
                <w:rFonts w:ascii="Calibri" w:eastAsia="Calibri" w:hAnsi="Calibri" w:cs="Calibri"/>
              </w:rPr>
              <w:t>78,491</w:t>
            </w:r>
          </w:p>
        </w:tc>
        <w:tc>
          <w:tcPr>
            <w:tcW w:w="1943" w:type="dxa"/>
          </w:tcPr>
          <w:p w14:paraId="533537B8" w14:textId="0FA2935E" w:rsidR="007C4661" w:rsidRPr="18AD8057" w:rsidRDefault="007C4661" w:rsidP="007C4661">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18AD8057">
              <w:rPr>
                <w:rFonts w:ascii="Calibri" w:eastAsia="Calibri" w:hAnsi="Calibri" w:cs="Calibri"/>
              </w:rPr>
              <w:t>34,886</w:t>
            </w:r>
          </w:p>
        </w:tc>
        <w:tc>
          <w:tcPr>
            <w:tcW w:w="1943" w:type="dxa"/>
          </w:tcPr>
          <w:p w14:paraId="2A8B282A" w14:textId="15B9B850"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18AD8057">
              <w:rPr>
                <w:rFonts w:ascii="Calibri" w:eastAsia="Calibri" w:hAnsi="Calibri" w:cs="Calibri"/>
              </w:rPr>
              <w:t>19,625</w:t>
            </w:r>
          </w:p>
        </w:tc>
      </w:tr>
      <w:tr w:rsidR="007C4661" w14:paraId="6BE8404D" w14:textId="77777777" w:rsidTr="007C4661">
        <w:trPr>
          <w:trHeight w:val="300"/>
        </w:trPr>
        <w:tc>
          <w:tcPr>
            <w:cnfStyle w:val="001000000000" w:firstRow="0" w:lastRow="0" w:firstColumn="1" w:lastColumn="0" w:oddVBand="0" w:evenVBand="0" w:oddHBand="0" w:evenHBand="0" w:firstRowFirstColumn="0" w:firstRowLastColumn="0" w:lastRowFirstColumn="0" w:lastRowLastColumn="0"/>
            <w:tcW w:w="1588" w:type="dxa"/>
          </w:tcPr>
          <w:p w14:paraId="21F89211" w14:textId="77777777" w:rsidR="007C4661" w:rsidRDefault="007C4661" w:rsidP="007C4661">
            <w:pPr>
              <w:jc w:val="center"/>
            </w:pPr>
            <w:r w:rsidRPr="087BAB67">
              <w:rPr>
                <w:rFonts w:ascii="Calibri" w:eastAsia="Calibri" w:hAnsi="Calibri" w:cs="Calibri"/>
              </w:rPr>
              <w:t>0.85</w:t>
            </w:r>
          </w:p>
        </w:tc>
        <w:tc>
          <w:tcPr>
            <w:tcW w:w="1943" w:type="dxa"/>
          </w:tcPr>
          <w:p w14:paraId="580865E6" w14:textId="7DE63419"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18AD8057">
              <w:rPr>
                <w:rFonts w:ascii="Calibri" w:eastAsia="Calibri" w:hAnsi="Calibri" w:cs="Calibri"/>
              </w:rPr>
              <w:t>105,077</w:t>
            </w:r>
          </w:p>
        </w:tc>
        <w:tc>
          <w:tcPr>
            <w:tcW w:w="1943" w:type="dxa"/>
          </w:tcPr>
          <w:p w14:paraId="1F4481A1" w14:textId="6AFC35F1" w:rsidR="007C4661" w:rsidRPr="18AD8057" w:rsidRDefault="007C4661" w:rsidP="007C4661">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18AD8057">
              <w:rPr>
                <w:rFonts w:ascii="Calibri" w:eastAsia="Calibri" w:hAnsi="Calibri" w:cs="Calibri"/>
              </w:rPr>
              <w:t>39,906</w:t>
            </w:r>
          </w:p>
        </w:tc>
        <w:tc>
          <w:tcPr>
            <w:tcW w:w="1943" w:type="dxa"/>
          </w:tcPr>
          <w:p w14:paraId="553A0C95" w14:textId="10EE674A" w:rsidR="007C4661" w:rsidRDefault="007C4661" w:rsidP="007C4661">
            <w:pPr>
              <w:jc w:val="center"/>
              <w:cnfStyle w:val="000000000000" w:firstRow="0" w:lastRow="0" w:firstColumn="0" w:lastColumn="0" w:oddVBand="0" w:evenVBand="0" w:oddHBand="0" w:evenHBand="0" w:firstRowFirstColumn="0" w:firstRowLastColumn="0" w:lastRowFirstColumn="0" w:lastRowLastColumn="0"/>
            </w:pPr>
            <w:r w:rsidRPr="18AD8057">
              <w:rPr>
                <w:rFonts w:ascii="Calibri" w:eastAsia="Calibri" w:hAnsi="Calibri" w:cs="Calibri"/>
              </w:rPr>
              <w:t>22,448</w:t>
            </w:r>
          </w:p>
        </w:tc>
      </w:tr>
      <w:tr w:rsidR="007C4661" w14:paraId="7E43683B" w14:textId="77777777" w:rsidTr="007C466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8" w:type="dxa"/>
            <w:tcBorders>
              <w:bottom w:val="single" w:sz="2" w:space="0" w:color="auto"/>
            </w:tcBorders>
          </w:tcPr>
          <w:p w14:paraId="47F7CB26" w14:textId="77777777" w:rsidR="007C4661" w:rsidRDefault="007C4661" w:rsidP="007C4661">
            <w:pPr>
              <w:jc w:val="center"/>
            </w:pPr>
            <w:r w:rsidRPr="087BAB67">
              <w:rPr>
                <w:rFonts w:ascii="Calibri" w:eastAsia="Calibri" w:hAnsi="Calibri" w:cs="Calibri"/>
              </w:rPr>
              <w:t>0.90</w:t>
            </w:r>
          </w:p>
        </w:tc>
        <w:tc>
          <w:tcPr>
            <w:tcW w:w="1943" w:type="dxa"/>
            <w:tcBorders>
              <w:bottom w:val="single" w:sz="2" w:space="0" w:color="auto"/>
            </w:tcBorders>
          </w:tcPr>
          <w:p w14:paraId="08395058" w14:textId="03DE398C"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18AD8057">
              <w:rPr>
                <w:rFonts w:ascii="Calibri" w:eastAsia="Calibri" w:hAnsi="Calibri" w:cs="Calibri"/>
              </w:rPr>
              <w:t>129,950</w:t>
            </w:r>
          </w:p>
        </w:tc>
        <w:tc>
          <w:tcPr>
            <w:tcW w:w="1943" w:type="dxa"/>
            <w:tcBorders>
              <w:bottom w:val="single" w:sz="2" w:space="0" w:color="auto"/>
            </w:tcBorders>
          </w:tcPr>
          <w:p w14:paraId="5074682D" w14:textId="68AE529D" w:rsidR="007C4661" w:rsidRPr="18AD8057" w:rsidRDefault="007C4661" w:rsidP="007C4661">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18AD8057">
              <w:rPr>
                <w:rFonts w:ascii="Calibri" w:eastAsia="Calibri" w:hAnsi="Calibri" w:cs="Calibri"/>
              </w:rPr>
              <w:t>46,702</w:t>
            </w:r>
          </w:p>
        </w:tc>
        <w:tc>
          <w:tcPr>
            <w:tcW w:w="1943" w:type="dxa"/>
            <w:tcBorders>
              <w:bottom w:val="single" w:sz="2" w:space="0" w:color="auto"/>
            </w:tcBorders>
          </w:tcPr>
          <w:p w14:paraId="19CBE3CA" w14:textId="242AF71C" w:rsidR="007C4661" w:rsidRDefault="007C4661" w:rsidP="007C4661">
            <w:pPr>
              <w:jc w:val="center"/>
              <w:cnfStyle w:val="000000100000" w:firstRow="0" w:lastRow="0" w:firstColumn="0" w:lastColumn="0" w:oddVBand="0" w:evenVBand="0" w:oddHBand="1" w:evenHBand="0" w:firstRowFirstColumn="0" w:firstRowLastColumn="0" w:lastRowFirstColumn="0" w:lastRowLastColumn="0"/>
            </w:pPr>
            <w:r w:rsidRPr="18AD8057">
              <w:rPr>
                <w:rFonts w:ascii="Calibri" w:eastAsia="Calibri" w:hAnsi="Calibri" w:cs="Calibri"/>
              </w:rPr>
              <w:t>32,489</w:t>
            </w:r>
          </w:p>
        </w:tc>
      </w:tr>
    </w:tbl>
    <w:p w14:paraId="7B029272" w14:textId="3EA29D5F" w:rsidR="008A0682" w:rsidRDefault="35B90A2F" w:rsidP="00F957A6">
      <w:pPr>
        <w:spacing w:after="0" w:line="257" w:lineRule="auto"/>
        <w:rPr>
          <w:rFonts w:eastAsiaTheme="minorEastAsia"/>
        </w:rPr>
      </w:pPr>
      <w:r w:rsidRPr="35B90A2F">
        <w:rPr>
          <w:rFonts w:eastAsiaTheme="minorEastAsia"/>
        </w:rPr>
        <w:t xml:space="preserve"> </w:t>
      </w:r>
      <w:r w:rsidRPr="35B90A2F">
        <w:rPr>
          <w:rFonts w:ascii="Calibri" w:eastAsia="Calibri" w:hAnsi="Calibri" w:cs="Calibri"/>
          <w:i/>
          <w:iCs/>
        </w:rPr>
        <w:t>Note</w:t>
      </w:r>
      <w:r w:rsidRPr="35B90A2F">
        <w:rPr>
          <w:rFonts w:ascii="Calibri" w:eastAsia="Calibri" w:hAnsi="Calibri" w:cs="Calibri"/>
        </w:rPr>
        <w:t>.</w:t>
      </w:r>
      <w:r w:rsidR="000272E0">
        <w:rPr>
          <w:rFonts w:ascii="Calibri" w:eastAsia="Calibri" w:hAnsi="Calibri" w:cs="Calibri"/>
        </w:rPr>
        <w:t xml:space="preserve"> </w:t>
      </w:r>
      <w:proofErr w:type="gramStart"/>
      <w:r w:rsidRPr="35B90A2F">
        <w:rPr>
          <w:rFonts w:ascii="Calibri" w:eastAsia="Calibri" w:hAnsi="Calibri" w:cs="Calibri"/>
        </w:rPr>
        <w:t>α(</w:t>
      </w:r>
      <w:proofErr w:type="gramEnd"/>
      <w:r w:rsidRPr="35B90A2F">
        <w:rPr>
          <w:rFonts w:ascii="Calibri" w:eastAsia="Calibri" w:hAnsi="Calibri" w:cs="Calibri"/>
        </w:rPr>
        <w:t xml:space="preserve">err. prob.) = 0.05. The number of predictors is 26. </w:t>
      </w:r>
    </w:p>
    <w:p w14:paraId="0C91E0ED" w14:textId="33FE9817" w:rsidR="008A0682" w:rsidRPr="00DC2791" w:rsidRDefault="008A0682" w:rsidP="00F957A6">
      <w:pPr>
        <w:pStyle w:val="Heading2"/>
        <w:spacing w:before="0"/>
        <w:rPr>
          <w:rStyle w:val="markedcontent"/>
          <w:rFonts w:eastAsiaTheme="minorEastAsia"/>
          <w:b/>
          <w:bCs/>
          <w:i/>
          <w:iCs/>
        </w:rPr>
      </w:pPr>
      <w:r w:rsidRPr="35B90A2F">
        <w:lastRenderedPageBreak/>
        <w:t xml:space="preserve">3.4 </w:t>
      </w:r>
      <w:r w:rsidRPr="00451B0D">
        <w:t>Threats to Validity</w:t>
      </w:r>
    </w:p>
    <w:p w14:paraId="536E9AF2" w14:textId="77777777" w:rsidR="008A0682" w:rsidRPr="00DC2791" w:rsidRDefault="008A0682" w:rsidP="0080385F">
      <w:pPr>
        <w:spacing w:after="0" w:line="240" w:lineRule="auto"/>
        <w:rPr>
          <w:rStyle w:val="markedcontent"/>
          <w:rFonts w:eastAsiaTheme="minorEastAsia"/>
          <w:b/>
          <w:bCs/>
          <w:i/>
          <w:iCs/>
          <w:shd w:val="clear" w:color="auto" w:fill="FFFFFF"/>
        </w:rPr>
      </w:pPr>
    </w:p>
    <w:p w14:paraId="553B0E41" w14:textId="480BB7A7" w:rsidR="008A0682" w:rsidRPr="00C55523" w:rsidRDefault="53EBBAEC" w:rsidP="00BD59FE">
      <w:pPr>
        <w:pStyle w:val="Heading3"/>
        <w:rPr>
          <w:rStyle w:val="markedcontent"/>
          <w:rFonts w:eastAsiaTheme="minorEastAsia"/>
          <w:i/>
          <w:iCs/>
        </w:rPr>
      </w:pPr>
      <w:r>
        <w:t>3.4.</w:t>
      </w:r>
      <w:r w:rsidR="00535A21">
        <w:t>1</w:t>
      </w:r>
      <w:r>
        <w:t xml:space="preserve"> </w:t>
      </w:r>
      <w:r w:rsidRPr="00BD59FE">
        <w:t xml:space="preserve">Selection </w:t>
      </w:r>
      <w:r>
        <w:t>B</w:t>
      </w:r>
      <w:r w:rsidRPr="00BD59FE">
        <w:t>ias</w:t>
      </w:r>
    </w:p>
    <w:p w14:paraId="31C19BDA" w14:textId="5CF39C87" w:rsidR="53EBBAEC" w:rsidRDefault="53EBBAEC" w:rsidP="53EBBAEC">
      <w:pPr>
        <w:spacing w:after="0" w:line="240" w:lineRule="auto"/>
        <w:rPr>
          <w:rFonts w:ascii="Calibri" w:eastAsia="Calibri" w:hAnsi="Calibri" w:cs="Calibri"/>
        </w:rPr>
      </w:pPr>
    </w:p>
    <w:p w14:paraId="559EB35F" w14:textId="154B7B73" w:rsidR="008A0682" w:rsidRPr="00C55523" w:rsidRDefault="2463C6C3" w:rsidP="35B90A2F">
      <w:pPr>
        <w:spacing w:after="0" w:line="240" w:lineRule="auto"/>
        <w:rPr>
          <w:rStyle w:val="markedcontent"/>
          <w:rFonts w:eastAsiaTheme="minorEastAsia"/>
          <w:shd w:val="clear" w:color="auto" w:fill="FFFFFF"/>
        </w:rPr>
      </w:pPr>
      <w:r w:rsidRPr="2463C6C3">
        <w:rPr>
          <w:rFonts w:ascii="Calibri" w:eastAsia="Calibri" w:hAnsi="Calibri" w:cs="Calibri"/>
        </w:rPr>
        <w:t xml:space="preserve">If claimant characteristics are associated with RESEA participation and UI/employment outcomes, the impact estimate could be biased. For example, claimants with </w:t>
      </w:r>
      <w:r w:rsidR="00921EC5">
        <w:rPr>
          <w:rFonts w:ascii="Calibri" w:eastAsia="Calibri" w:hAnsi="Calibri" w:cs="Calibri"/>
        </w:rPr>
        <w:t>higher motivation to return to</w:t>
      </w:r>
      <w:r w:rsidRPr="2463C6C3">
        <w:rPr>
          <w:rFonts w:ascii="Calibri" w:eastAsia="Calibri" w:hAnsi="Calibri" w:cs="Calibri"/>
        </w:rPr>
        <w:t xml:space="preserve"> work </w:t>
      </w:r>
      <w:r w:rsidR="00921EC5">
        <w:rPr>
          <w:rFonts w:ascii="Calibri" w:eastAsia="Calibri" w:hAnsi="Calibri" w:cs="Calibri"/>
        </w:rPr>
        <w:t xml:space="preserve">may </w:t>
      </w:r>
      <w:r w:rsidRPr="2463C6C3">
        <w:rPr>
          <w:rFonts w:ascii="Calibri" w:eastAsia="Calibri" w:hAnsi="Calibri" w:cs="Calibri"/>
        </w:rPr>
        <w:t>participate in RESEA</w:t>
      </w:r>
      <w:r w:rsidR="00921EC5">
        <w:rPr>
          <w:rFonts w:ascii="Calibri" w:eastAsia="Calibri" w:hAnsi="Calibri" w:cs="Calibri"/>
        </w:rPr>
        <w:t xml:space="preserve"> mor</w:t>
      </w:r>
      <w:r w:rsidR="00921EC5" w:rsidRPr="2463C6C3">
        <w:rPr>
          <w:rFonts w:ascii="Calibri" w:eastAsia="Calibri" w:hAnsi="Calibri" w:cs="Calibri"/>
        </w:rPr>
        <w:t>e</w:t>
      </w:r>
      <w:r w:rsidR="00921EC5">
        <w:rPr>
          <w:rFonts w:ascii="Calibri" w:eastAsia="Calibri" w:hAnsi="Calibri" w:cs="Calibri"/>
        </w:rPr>
        <w:t xml:space="preserve"> </w:t>
      </w:r>
      <w:r w:rsidR="006268D9">
        <w:rPr>
          <w:rFonts w:ascii="Calibri" w:eastAsia="Calibri" w:hAnsi="Calibri" w:cs="Calibri"/>
        </w:rPr>
        <w:t>intensively</w:t>
      </w:r>
      <w:r w:rsidR="00921EC5">
        <w:rPr>
          <w:rFonts w:ascii="Calibri" w:eastAsia="Calibri" w:hAnsi="Calibri" w:cs="Calibri"/>
        </w:rPr>
        <w:t>, but also</w:t>
      </w:r>
      <w:r w:rsidR="006268D9">
        <w:rPr>
          <w:rFonts w:ascii="Calibri" w:eastAsia="Calibri" w:hAnsi="Calibri" w:cs="Calibri"/>
        </w:rPr>
        <w:t xml:space="preserve"> </w:t>
      </w:r>
      <w:r w:rsidR="00921EC5">
        <w:rPr>
          <w:rFonts w:ascii="Calibri" w:eastAsia="Calibri" w:hAnsi="Calibri" w:cs="Calibri"/>
        </w:rPr>
        <w:t>to</w:t>
      </w:r>
      <w:r w:rsidRPr="2463C6C3">
        <w:rPr>
          <w:rFonts w:ascii="Calibri" w:eastAsia="Calibri" w:hAnsi="Calibri" w:cs="Calibri"/>
        </w:rPr>
        <w:t xml:space="preserve"> receive fewer UI benefits and </w:t>
      </w:r>
      <w:r w:rsidR="00921EC5">
        <w:rPr>
          <w:rFonts w:ascii="Calibri" w:eastAsia="Calibri" w:hAnsi="Calibri" w:cs="Calibri"/>
        </w:rPr>
        <w:t>be reemployed more quickly relative to claimants with lower motivation to be reemployed</w:t>
      </w:r>
      <w:r w:rsidRPr="2463C6C3">
        <w:rPr>
          <w:rFonts w:ascii="Calibri" w:eastAsia="Calibri" w:hAnsi="Calibri" w:cs="Calibri"/>
        </w:rPr>
        <w:t xml:space="preserve">. In that case, the program impact </w:t>
      </w:r>
      <w:r w:rsidR="00921EC5">
        <w:rPr>
          <w:rFonts w:ascii="Calibri" w:eastAsia="Calibri" w:hAnsi="Calibri" w:cs="Calibri"/>
        </w:rPr>
        <w:t>may</w:t>
      </w:r>
      <w:r w:rsidRPr="2463C6C3">
        <w:rPr>
          <w:rFonts w:ascii="Calibri" w:eastAsia="Calibri" w:hAnsi="Calibri" w:cs="Calibri"/>
        </w:rPr>
        <w:t xml:space="preserve"> be overestimated, acting as a threat to the internal validity of the estimates. This impact study avoids this selection bias by randomly assigning UI claimants to the treatment and the control groups as described in the study sample section. Given the random assignment, </w:t>
      </w:r>
      <w:r w:rsidR="00F957A6">
        <w:rPr>
          <w:rFonts w:ascii="Calibri" w:eastAsia="Calibri" w:hAnsi="Calibri" w:cs="Calibri"/>
        </w:rPr>
        <w:t xml:space="preserve">claimant </w:t>
      </w:r>
      <w:r w:rsidRPr="2463C6C3">
        <w:rPr>
          <w:rFonts w:ascii="Calibri" w:eastAsia="Calibri" w:hAnsi="Calibri" w:cs="Calibri"/>
        </w:rPr>
        <w:t>characteristics</w:t>
      </w:r>
      <w:r w:rsidR="00F957A6">
        <w:rPr>
          <w:rFonts w:ascii="Calibri" w:eastAsia="Calibri" w:hAnsi="Calibri" w:cs="Calibri"/>
        </w:rPr>
        <w:t xml:space="preserve"> </w:t>
      </w:r>
      <w:r w:rsidRPr="2463C6C3">
        <w:rPr>
          <w:rFonts w:ascii="Calibri" w:eastAsia="Calibri" w:hAnsi="Calibri" w:cs="Calibri"/>
        </w:rPr>
        <w:t xml:space="preserve">in the treatment and control groups are expected to be balanced pre-assignment to RESEA. Any differences in outcomes between the treatment and the control groups post-RESEA are thus attributable to the intervention, not to systematic differences in UI claimants. This evaluation design will rely on an Intention-to-treat (ITT) analysis that includes all randomized UI claimants, regardless of their actual participation of RESEA. The ITT analysis results are usually conservative in that non-participation will dilute the impact of, in the present case, reemployment assistance (as some claimants will not participate). Yet, the ITT analysis provides unbiased estimates, and CLEAR also requires that RCTs be evaluated using the ITT analysis. </w:t>
      </w:r>
    </w:p>
    <w:p w14:paraId="44542299" w14:textId="77777777" w:rsidR="008A0682" w:rsidRDefault="008A0682" w:rsidP="0080385F">
      <w:pPr>
        <w:spacing w:after="0" w:line="240" w:lineRule="auto"/>
        <w:rPr>
          <w:rStyle w:val="markedcontent"/>
          <w:rFonts w:eastAsiaTheme="minorEastAsia"/>
        </w:rPr>
      </w:pPr>
    </w:p>
    <w:p w14:paraId="6AC00E50" w14:textId="552E95E4" w:rsidR="008A0682" w:rsidRPr="00A47C27" w:rsidRDefault="53EBBAEC" w:rsidP="00BD59FE">
      <w:pPr>
        <w:pStyle w:val="Heading3"/>
        <w:rPr>
          <w:rStyle w:val="markedcontent"/>
          <w:rFonts w:eastAsiaTheme="minorEastAsia"/>
          <w:i/>
          <w:iCs/>
        </w:rPr>
      </w:pPr>
      <w:r>
        <w:t>3.4.</w:t>
      </w:r>
      <w:r w:rsidR="00535A21">
        <w:t>2</w:t>
      </w:r>
      <w:r>
        <w:t xml:space="preserve"> </w:t>
      </w:r>
      <w:r w:rsidR="008A0682" w:rsidRPr="00BD59FE">
        <w:t xml:space="preserve">Non-response </w:t>
      </w:r>
      <w:r>
        <w:t>B</w:t>
      </w:r>
      <w:r w:rsidR="008A0682" w:rsidRPr="00BD59FE">
        <w:t>ias</w:t>
      </w:r>
      <w:r w:rsidR="00DE2F53" w:rsidRPr="00BD59FE">
        <w:t xml:space="preserve"> and </w:t>
      </w:r>
      <w:r>
        <w:t>A</w:t>
      </w:r>
      <w:r w:rsidR="00DE2F53" w:rsidRPr="00BD59FE">
        <w:t xml:space="preserve">ttrition </w:t>
      </w:r>
      <w:r>
        <w:t>B</w:t>
      </w:r>
      <w:r w:rsidR="00DE2F53" w:rsidRPr="00BD59FE">
        <w:t>ias</w:t>
      </w:r>
    </w:p>
    <w:p w14:paraId="00BA9C78" w14:textId="427E713D" w:rsidR="53EBBAEC" w:rsidRDefault="53EBBAEC" w:rsidP="53EBBAEC">
      <w:pPr>
        <w:spacing w:after="0" w:line="257" w:lineRule="auto"/>
        <w:rPr>
          <w:rFonts w:ascii="Calibri" w:eastAsia="Calibri" w:hAnsi="Calibri" w:cs="Calibri"/>
        </w:rPr>
      </w:pPr>
    </w:p>
    <w:p w14:paraId="69BC9C62" w14:textId="3F01DDEB" w:rsidR="00535A21" w:rsidRDefault="35B90A2F" w:rsidP="35B90A2F">
      <w:pPr>
        <w:spacing w:after="0" w:line="257" w:lineRule="auto"/>
        <w:rPr>
          <w:rFonts w:ascii="Calibri" w:eastAsia="Calibri" w:hAnsi="Calibri" w:cs="Calibri"/>
        </w:rPr>
      </w:pPr>
      <w:r w:rsidRPr="35B90A2F">
        <w:rPr>
          <w:rFonts w:ascii="Calibri" w:eastAsia="Calibri" w:hAnsi="Calibri" w:cs="Calibri"/>
        </w:rPr>
        <w:t xml:space="preserve">Non-response bias is a potential threat to the internal validity of impact estimates if data </w:t>
      </w:r>
      <w:r w:rsidR="00EF2248">
        <w:rPr>
          <w:rFonts w:ascii="Calibri" w:eastAsia="Calibri" w:hAnsi="Calibri" w:cs="Calibri"/>
        </w:rPr>
        <w:t>are</w:t>
      </w:r>
      <w:r w:rsidRPr="35B90A2F">
        <w:rPr>
          <w:rFonts w:ascii="Calibri" w:eastAsia="Calibri" w:hAnsi="Calibri" w:cs="Calibri"/>
        </w:rPr>
        <w:t xml:space="preserve"> missing non-randomly as a function of RESEA assignment. Attrition bias is a form of non-response bias where follow-up data collection occurs differentially over time based on participant characteristics (e.g., assignment to RESEA). However, we will rely on administrative data for UI claimants that are collected over time regardless of random assignment, thus reducing problems of non-response. Moreover, this evaluation will use an ITT analysis that includes all claimants in the sample even if they do not participate in the intervention.</w:t>
      </w:r>
    </w:p>
    <w:p w14:paraId="33357C09" w14:textId="77777777" w:rsidR="00535A21" w:rsidRDefault="00535A21" w:rsidP="35B90A2F">
      <w:pPr>
        <w:spacing w:after="0" w:line="257" w:lineRule="auto"/>
        <w:rPr>
          <w:rFonts w:ascii="Calibri" w:eastAsia="Calibri" w:hAnsi="Calibri" w:cs="Calibri"/>
        </w:rPr>
      </w:pPr>
    </w:p>
    <w:p w14:paraId="25E422CA" w14:textId="41D07B5A" w:rsidR="00535A21" w:rsidRDefault="00535A21" w:rsidP="00535A21">
      <w:pPr>
        <w:pStyle w:val="Heading3"/>
        <w:spacing w:before="0"/>
        <w:rPr>
          <w:rFonts w:ascii="Calibri" w:eastAsia="Calibri" w:hAnsi="Calibri" w:cs="Calibri"/>
        </w:rPr>
      </w:pPr>
      <w:r>
        <w:t>3.4.</w:t>
      </w:r>
      <w:r w:rsidR="00012AF7">
        <w:t>3</w:t>
      </w:r>
      <w:r>
        <w:t xml:space="preserve"> Multiple Comparison Issues </w:t>
      </w:r>
    </w:p>
    <w:p w14:paraId="3C1757BB" w14:textId="77777777" w:rsidR="00535A21" w:rsidRDefault="00535A21" w:rsidP="00535A21">
      <w:pPr>
        <w:spacing w:after="0" w:line="257" w:lineRule="auto"/>
        <w:rPr>
          <w:rFonts w:ascii="Calibri" w:eastAsia="Calibri" w:hAnsi="Calibri" w:cs="Calibri"/>
        </w:rPr>
      </w:pPr>
    </w:p>
    <w:p w14:paraId="64F1FEE2" w14:textId="42F5F58D" w:rsidR="008A0682" w:rsidRDefault="6DBD58E3" w:rsidP="35B90A2F">
      <w:pPr>
        <w:spacing w:after="0" w:line="257" w:lineRule="auto"/>
        <w:rPr>
          <w:rFonts w:ascii="Calibri" w:eastAsia="Calibri" w:hAnsi="Calibri" w:cs="Calibri"/>
        </w:rPr>
      </w:pPr>
      <w:r w:rsidRPr="6DBD58E3">
        <w:rPr>
          <w:rFonts w:ascii="Calibri" w:eastAsia="Calibri" w:hAnsi="Calibri" w:cs="Calibri"/>
        </w:rPr>
        <w:t xml:space="preserve">Null hypothesis significance testing, in the case of the present evaluation, allows for a formal statistical test of whether the observed difference in the intervention and control group arose by chance or is statistically significant using a threshold </w:t>
      </w:r>
      <w:r w:rsidRPr="6DBD58E3">
        <w:rPr>
          <w:rFonts w:ascii="Calibri" w:eastAsia="Calibri" w:hAnsi="Calibri" w:cs="Calibri"/>
          <w:i/>
          <w:iCs/>
        </w:rPr>
        <w:t xml:space="preserve">p </w:t>
      </w:r>
      <w:r w:rsidRPr="6DBD58E3">
        <w:rPr>
          <w:rFonts w:ascii="Calibri" w:eastAsia="Calibri" w:hAnsi="Calibri" w:cs="Calibri"/>
        </w:rPr>
        <w:t xml:space="preserve">value of .05. The </w:t>
      </w:r>
      <w:r w:rsidRPr="00092970">
        <w:rPr>
          <w:rFonts w:ascii="Calibri" w:eastAsia="Calibri" w:hAnsi="Calibri" w:cs="Calibri"/>
          <w:i/>
          <w:iCs/>
        </w:rPr>
        <w:t>p</w:t>
      </w:r>
      <w:r w:rsidRPr="6DBD58E3">
        <w:rPr>
          <w:rFonts w:ascii="Calibri" w:eastAsia="Calibri" w:hAnsi="Calibri" w:cs="Calibri"/>
          <w:i/>
          <w:iCs/>
        </w:rPr>
        <w:t xml:space="preserve"> </w:t>
      </w:r>
      <w:r w:rsidRPr="6DBD58E3">
        <w:rPr>
          <w:rFonts w:ascii="Calibri" w:eastAsia="Calibri" w:hAnsi="Calibri" w:cs="Calibri"/>
        </w:rPr>
        <w:t xml:space="preserve">values of less than .05 indicate a lower than 5% probability that the observed difference or one even larger would be found by chance given an assumed statistical distribution. This commonly used </w:t>
      </w:r>
      <w:r w:rsidRPr="6DBD58E3">
        <w:rPr>
          <w:rFonts w:ascii="Calibri" w:eastAsia="Calibri" w:hAnsi="Calibri" w:cs="Calibri"/>
          <w:i/>
          <w:iCs/>
        </w:rPr>
        <w:t xml:space="preserve">p </w:t>
      </w:r>
      <w:r w:rsidRPr="6DBD58E3">
        <w:rPr>
          <w:rFonts w:ascii="Calibri" w:eastAsia="Calibri" w:hAnsi="Calibri" w:cs="Calibri"/>
        </w:rPr>
        <w:t xml:space="preserve">value for null hypothesis significance testing assumes a single comparison, however, and solutions have been proposed when multiple comparisons are conducted (e.g., in the case of numerous independent or dependent variables). A multiple comparison test is not a substantial concern in the current evaluation because we include only one treatment variable—whether or not a UI claimant is assigned to RESEA—and we differentiate between primary and secondary outcomes. Moreover, we will rely on effect sizes and the broader pattern of observed differences </w:t>
      </w:r>
      <w:r w:rsidR="00EF2248">
        <w:rPr>
          <w:rFonts w:ascii="Calibri" w:eastAsia="Calibri" w:hAnsi="Calibri" w:cs="Calibri"/>
        </w:rPr>
        <w:t xml:space="preserve">(rather than single estimates) </w:t>
      </w:r>
      <w:r w:rsidRPr="6DBD58E3">
        <w:rPr>
          <w:rFonts w:ascii="Calibri" w:eastAsia="Calibri" w:hAnsi="Calibri" w:cs="Calibri"/>
        </w:rPr>
        <w:t xml:space="preserve">when interpreting evaluation findings. </w:t>
      </w:r>
    </w:p>
    <w:p w14:paraId="2001E2D6" w14:textId="1AC43E4E" w:rsidR="008504E1" w:rsidRDefault="008504E1" w:rsidP="35B90A2F">
      <w:pPr>
        <w:spacing w:after="0" w:line="240" w:lineRule="auto"/>
        <w:rPr>
          <w:rStyle w:val="markedcontent"/>
          <w:rFonts w:eastAsiaTheme="minorEastAsia"/>
        </w:rPr>
      </w:pPr>
    </w:p>
    <w:p w14:paraId="4B124B4F" w14:textId="2FCAA956" w:rsidR="00DC15F4" w:rsidRPr="00DC2791" w:rsidRDefault="00A75798" w:rsidP="00A75798">
      <w:pPr>
        <w:pStyle w:val="Heading2"/>
        <w:rPr>
          <w:rStyle w:val="markedcontent"/>
          <w:rFonts w:eastAsiaTheme="minorEastAsia"/>
          <w:b/>
          <w:bCs/>
          <w:i/>
          <w:iCs/>
        </w:rPr>
      </w:pPr>
      <w:r>
        <w:lastRenderedPageBreak/>
        <w:t>3.5</w:t>
      </w:r>
      <w:r w:rsidR="009652B1" w:rsidRPr="1FBD61AD">
        <w:t xml:space="preserve"> </w:t>
      </w:r>
      <w:r w:rsidR="009652B1" w:rsidRPr="00BD59FE">
        <w:t>Human Subjects Protections</w:t>
      </w:r>
    </w:p>
    <w:p w14:paraId="3C9D8F90" w14:textId="77777777" w:rsidR="00B913BF" w:rsidRPr="00DC2791" w:rsidRDefault="00B913BF" w:rsidP="002352C7">
      <w:pPr>
        <w:spacing w:after="0" w:line="240" w:lineRule="auto"/>
        <w:rPr>
          <w:rStyle w:val="markedcontent"/>
          <w:rFonts w:eastAsiaTheme="minorEastAsia"/>
          <w:b/>
          <w:bCs/>
          <w:i/>
          <w:iCs/>
          <w:shd w:val="clear" w:color="auto" w:fill="FFFFFF"/>
        </w:rPr>
      </w:pPr>
    </w:p>
    <w:p w14:paraId="302976A5" w14:textId="77777777" w:rsidR="00AA7515" w:rsidRDefault="00B913BF" w:rsidP="4A90A887">
      <w:pPr>
        <w:spacing w:after="0" w:line="240" w:lineRule="auto"/>
        <w:rPr>
          <w:rStyle w:val="markedcontent"/>
          <w:rFonts w:eastAsiaTheme="minorEastAsia"/>
          <w:shd w:val="clear" w:color="auto" w:fill="FFFFFF"/>
        </w:rPr>
      </w:pPr>
      <w:r w:rsidRPr="2E2F0B0E">
        <w:rPr>
          <w:rStyle w:val="markedcontent"/>
          <w:rFonts w:eastAsiaTheme="minorEastAsia"/>
          <w:shd w:val="clear" w:color="auto" w:fill="FFFFFF"/>
        </w:rPr>
        <w:t xml:space="preserve">The impact study is </w:t>
      </w:r>
      <w:r w:rsidR="5E6517E6" w:rsidRPr="5E6517E6">
        <w:rPr>
          <w:rStyle w:val="markedcontent"/>
          <w:rFonts w:eastAsiaTheme="minorEastAsia"/>
        </w:rPr>
        <w:t>considered exempt research</w:t>
      </w:r>
      <w:r w:rsidRPr="2E2F0B0E">
        <w:rPr>
          <w:rStyle w:val="markedcontent"/>
          <w:rFonts w:eastAsiaTheme="minorEastAsia"/>
          <w:shd w:val="clear" w:color="auto" w:fill="FFFFFF"/>
        </w:rPr>
        <w:t xml:space="preserve"> </w:t>
      </w:r>
      <w:r w:rsidR="5E6517E6" w:rsidRPr="5E6517E6">
        <w:rPr>
          <w:rStyle w:val="markedcontent"/>
          <w:rFonts w:eastAsiaTheme="minorEastAsia"/>
        </w:rPr>
        <w:t xml:space="preserve">due to the federal policy for protection of human subjects, </w:t>
      </w:r>
      <w:r w:rsidRPr="2E2F0B0E">
        <w:rPr>
          <w:rStyle w:val="markedcontent"/>
          <w:rFonts w:eastAsiaTheme="minorEastAsia"/>
          <w:shd w:val="clear" w:color="auto" w:fill="FFFFFF"/>
        </w:rPr>
        <w:t>Common Rule 46.104</w:t>
      </w:r>
      <w:r w:rsidR="5E6517E6" w:rsidRPr="5E6517E6">
        <w:rPr>
          <w:rStyle w:val="markedcontent"/>
          <w:rFonts w:eastAsiaTheme="minorEastAsia"/>
        </w:rPr>
        <w:t xml:space="preserve"> (2018).</w:t>
      </w:r>
      <w:r w:rsidRPr="2E2F0B0E">
        <w:rPr>
          <w:rStyle w:val="markedcontent"/>
          <w:rFonts w:eastAsiaTheme="minorEastAsia"/>
          <w:shd w:val="clear" w:color="auto" w:fill="FFFFFF"/>
        </w:rPr>
        <w:t xml:space="preserve"> </w:t>
      </w:r>
      <w:r w:rsidR="5E6517E6" w:rsidRPr="5E6517E6">
        <w:rPr>
          <w:rStyle w:val="markedcontent"/>
          <w:rFonts w:eastAsiaTheme="minorEastAsia"/>
        </w:rPr>
        <w:t xml:space="preserve">Subsection 5 of </w:t>
      </w:r>
      <w:r w:rsidRPr="2E2F0B0E">
        <w:rPr>
          <w:rStyle w:val="markedcontent"/>
          <w:rFonts w:eastAsiaTheme="minorEastAsia"/>
          <w:shd w:val="clear" w:color="auto" w:fill="FFFFFF"/>
        </w:rPr>
        <w:t xml:space="preserve">46.104 </w:t>
      </w:r>
      <w:r w:rsidR="5E6517E6" w:rsidRPr="5E6517E6">
        <w:rPr>
          <w:rStyle w:val="markedcontent"/>
          <w:rFonts w:eastAsiaTheme="minorEastAsia"/>
        </w:rPr>
        <w:t>state</w:t>
      </w:r>
      <w:r w:rsidRPr="2E2F0B0E">
        <w:rPr>
          <w:rStyle w:val="markedcontent"/>
          <w:rFonts w:eastAsiaTheme="minorEastAsia"/>
          <w:shd w:val="clear" w:color="auto" w:fill="FFFFFF"/>
        </w:rPr>
        <w:t xml:space="preserve">s: </w:t>
      </w:r>
    </w:p>
    <w:p w14:paraId="46AE141B" w14:textId="165403FB" w:rsidR="00B913BF" w:rsidRPr="00DC2791" w:rsidRDefault="178B8F8F" w:rsidP="00AA7515">
      <w:pPr>
        <w:spacing w:after="0" w:line="240" w:lineRule="auto"/>
        <w:ind w:left="720"/>
        <w:rPr>
          <w:rStyle w:val="markedcontent"/>
          <w:rFonts w:eastAsiaTheme="minorEastAsia"/>
        </w:rPr>
      </w:pPr>
      <w:r w:rsidRPr="2E2F0B0E">
        <w:rPr>
          <w:rStyle w:val="markedcontent"/>
          <w:rFonts w:eastAsiaTheme="minorEastAsia"/>
        </w:rPr>
        <w:t>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alternatives to those programs or procedures, or possible changes in methods or levels of payment for benefits or services under those programs. Such projects include, but are not limited to, internal studies by Federal employees, and studies under contracts or consulting arrangements, cooperative agreements, or grants. Exempt projects also include waivers of otherwise mandatory requirements using authorities such as sections 1115 and 1115A of the Social Security Act, as amended.</w:t>
      </w:r>
      <w:r w:rsidR="003C346C">
        <w:rPr>
          <w:rStyle w:val="markedcontent"/>
          <w:rFonts w:eastAsiaTheme="minorEastAsia"/>
        </w:rPr>
        <w:t xml:space="preserve"> </w:t>
      </w:r>
    </w:p>
    <w:p w14:paraId="2F4A9A2B" w14:textId="63ABCFDB" w:rsidR="00B913BF" w:rsidRDefault="178B8F8F" w:rsidP="00AA7515">
      <w:pPr>
        <w:spacing w:after="0" w:line="240" w:lineRule="auto"/>
        <w:ind w:left="1440"/>
        <w:rPr>
          <w:rStyle w:val="markedcontent"/>
          <w:rFonts w:eastAsiaTheme="minorEastAsia"/>
          <w:shd w:val="clear" w:color="auto" w:fill="FFFFFF"/>
        </w:rPr>
      </w:pPr>
      <w:r w:rsidRPr="11416AA6">
        <w:rPr>
          <w:rStyle w:val="markedcontent"/>
          <w:rFonts w:eastAsiaTheme="minorEastAsia"/>
        </w:rPr>
        <w:t>(i) Each Federal department or agency conducting or supporting the research and demonstration projects must establish, on a publicly accessible Federal Web site or in such other manner as the department or agency head may determine, a list of the research and demonstration projects that the Federal department or agency conducts or supports under this provision. The research or demonstration project must be published on this list prior to commencing the research involving human subjects.</w:t>
      </w:r>
    </w:p>
    <w:p w14:paraId="60710F0C" w14:textId="77777777" w:rsidR="00554DC9" w:rsidRPr="00DC2791" w:rsidRDefault="00554DC9" w:rsidP="11416AA6">
      <w:pPr>
        <w:spacing w:after="0" w:line="240" w:lineRule="auto"/>
        <w:ind w:left="720"/>
        <w:rPr>
          <w:rStyle w:val="markedcontent"/>
          <w:rFonts w:eastAsiaTheme="minorEastAsia"/>
          <w:shd w:val="clear" w:color="auto" w:fill="FFFFFF"/>
        </w:rPr>
      </w:pPr>
    </w:p>
    <w:p w14:paraId="5E5390BA" w14:textId="3E03F75F" w:rsidR="178B8F8F" w:rsidRDefault="00B2096B" w:rsidP="178B8F8F">
      <w:pPr>
        <w:spacing w:after="0" w:line="240" w:lineRule="auto"/>
        <w:rPr>
          <w:rStyle w:val="markedcontent"/>
          <w:rFonts w:eastAsiaTheme="minorEastAsia"/>
        </w:rPr>
      </w:pPr>
      <w:r>
        <w:rPr>
          <w:rStyle w:val="markedcontent"/>
          <w:rFonts w:eastAsiaTheme="minorEastAsia"/>
        </w:rPr>
        <w:t>These criteria for exempt research are met, as t</w:t>
      </w:r>
      <w:r w:rsidR="00554DC9">
        <w:rPr>
          <w:rStyle w:val="markedcontent"/>
          <w:rFonts w:eastAsiaTheme="minorEastAsia"/>
        </w:rPr>
        <w:t>he current evaluation is supported by DOL funds and is designed to evaluate a public benefit program. The independent evaluators designing and conducting the evaluation are funded by a contract with DWS UI that is enabled by RESEA grant funds.</w:t>
      </w:r>
      <w:r w:rsidR="007F15CC">
        <w:rPr>
          <w:rStyle w:val="markedcontent"/>
          <w:rFonts w:eastAsiaTheme="minorEastAsia"/>
        </w:rPr>
        <w:t xml:space="preserve"> </w:t>
      </w:r>
      <w:r>
        <w:rPr>
          <w:rStyle w:val="markedcontent"/>
          <w:rFonts w:eastAsiaTheme="minorEastAsia"/>
        </w:rPr>
        <w:t xml:space="preserve">Moreover, </w:t>
      </w:r>
      <w:r w:rsidR="007F15CC">
        <w:rPr>
          <w:rStyle w:val="markedcontent"/>
          <w:rFonts w:eastAsiaTheme="minorEastAsia"/>
        </w:rPr>
        <w:t xml:space="preserve">DOL </w:t>
      </w:r>
      <w:r>
        <w:rPr>
          <w:rStyle w:val="markedcontent"/>
          <w:rFonts w:eastAsiaTheme="minorEastAsia"/>
        </w:rPr>
        <w:t xml:space="preserve">references the ongoing RESEA state evaluations on public-facing websites and is supporting efforts to track state evaluations (e.g., </w:t>
      </w:r>
      <w:hyperlink r:id="rId12" w:history="1">
        <w:r w:rsidRPr="00C156E3">
          <w:rPr>
            <w:rStyle w:val="Hyperlink"/>
            <w:rFonts w:eastAsiaTheme="minorEastAsia"/>
          </w:rPr>
          <w:t>https://clear.dol.gov/reemployment-services-and-eligibility-assessments-resea</w:t>
        </w:r>
      </w:hyperlink>
      <w:r>
        <w:rPr>
          <w:rStyle w:val="markedcontent"/>
          <w:rFonts w:eastAsiaTheme="minorEastAsia"/>
        </w:rPr>
        <w:t xml:space="preserve">; </w:t>
      </w:r>
      <w:proofErr w:type="spellStart"/>
      <w:r>
        <w:rPr>
          <w:rStyle w:val="markedcontent"/>
          <w:rFonts w:eastAsiaTheme="minorEastAsia"/>
        </w:rPr>
        <w:t>Klerman</w:t>
      </w:r>
      <w:proofErr w:type="spellEnd"/>
      <w:r>
        <w:rPr>
          <w:rStyle w:val="markedcontent"/>
          <w:rFonts w:eastAsiaTheme="minorEastAsia"/>
        </w:rPr>
        <w:t xml:space="preserve"> et al., 2022)</w:t>
      </w:r>
      <w:r w:rsidR="000272E0">
        <w:rPr>
          <w:rStyle w:val="markedcontent"/>
          <w:rFonts w:eastAsiaTheme="minorEastAsia"/>
        </w:rPr>
        <w:t>.</w:t>
      </w:r>
    </w:p>
    <w:p w14:paraId="25DF8185" w14:textId="77777777" w:rsidR="00554DC9" w:rsidRDefault="00554DC9" w:rsidP="178B8F8F">
      <w:pPr>
        <w:spacing w:after="0" w:line="240" w:lineRule="auto"/>
      </w:pPr>
    </w:p>
    <w:p w14:paraId="029C0E5C" w14:textId="6822B378" w:rsidR="002C1BEE" w:rsidRPr="00DC2791" w:rsidRDefault="00A75798" w:rsidP="00A75798">
      <w:pPr>
        <w:pStyle w:val="Heading3"/>
        <w:rPr>
          <w:rStyle w:val="markedcontent"/>
          <w:rFonts w:eastAsiaTheme="minorEastAsia"/>
          <w:b/>
          <w:bCs/>
          <w:i/>
          <w:iCs/>
        </w:rPr>
      </w:pPr>
      <w:r>
        <w:t>3.5.1</w:t>
      </w:r>
      <w:r w:rsidR="009652B1" w:rsidRPr="002352C7">
        <w:t xml:space="preserve"> </w:t>
      </w:r>
      <w:r w:rsidR="009652B1" w:rsidRPr="00BD59FE">
        <w:t>Data Security</w:t>
      </w:r>
    </w:p>
    <w:p w14:paraId="14F40BAD" w14:textId="3BA438E8" w:rsidR="002C1BEE" w:rsidRDefault="002C1BEE" w:rsidP="002352C7">
      <w:pPr>
        <w:spacing w:after="0" w:line="240" w:lineRule="auto"/>
        <w:rPr>
          <w:rStyle w:val="markedcontent"/>
          <w:rFonts w:eastAsiaTheme="minorEastAsia"/>
          <w:b/>
          <w:bCs/>
          <w:i/>
          <w:iCs/>
          <w:shd w:val="clear" w:color="auto" w:fill="FFFFFF"/>
        </w:rPr>
      </w:pPr>
    </w:p>
    <w:p w14:paraId="2627FF30" w14:textId="43E992D4" w:rsidR="009B5495" w:rsidRPr="009B5495" w:rsidRDefault="009B5495" w:rsidP="002352C7">
      <w:pPr>
        <w:spacing w:after="0" w:line="240" w:lineRule="auto"/>
        <w:rPr>
          <w:rStyle w:val="markedcontent"/>
          <w:rFonts w:eastAsiaTheme="minorEastAsia"/>
          <w:bCs/>
          <w:iCs/>
          <w:shd w:val="clear" w:color="auto" w:fill="FFFFFF"/>
        </w:rPr>
      </w:pPr>
      <w:r>
        <w:rPr>
          <w:rStyle w:val="markedcontent"/>
          <w:rFonts w:eastAsiaTheme="minorEastAsia"/>
          <w:bCs/>
          <w:iCs/>
          <w:shd w:val="clear" w:color="auto" w:fill="FFFFFF"/>
        </w:rPr>
        <w:t>The following precautions will be taken to ensure data security:</w:t>
      </w:r>
    </w:p>
    <w:p w14:paraId="3EAABE6B" w14:textId="09C602FD" w:rsidR="00FC2379" w:rsidRPr="00DC2791" w:rsidRDefault="00EF2248" w:rsidP="002352C7">
      <w:pPr>
        <w:pStyle w:val="ListParagraph"/>
        <w:numPr>
          <w:ilvl w:val="0"/>
          <w:numId w:val="33"/>
        </w:numPr>
        <w:spacing w:after="0" w:line="240" w:lineRule="auto"/>
        <w:rPr>
          <w:rStyle w:val="markedcontent"/>
          <w:rFonts w:eastAsiaTheme="minorEastAsia"/>
          <w:b/>
          <w:bCs/>
          <w:i/>
          <w:iCs/>
          <w:shd w:val="clear" w:color="auto" w:fill="FFFFFF"/>
        </w:rPr>
      </w:pPr>
      <w:r>
        <w:rPr>
          <w:rFonts w:eastAsiaTheme="minorEastAsia"/>
        </w:rPr>
        <w:t>S</w:t>
      </w:r>
      <w:r w:rsidR="00F65962">
        <w:rPr>
          <w:rFonts w:eastAsiaTheme="minorEastAsia"/>
        </w:rPr>
        <w:t>haring</w:t>
      </w:r>
      <w:r w:rsidR="002352C7" w:rsidRPr="002352C7">
        <w:rPr>
          <w:rFonts w:eastAsiaTheme="minorEastAsia"/>
        </w:rPr>
        <w:t xml:space="preserve"> of </w:t>
      </w:r>
      <w:r w:rsidR="00F65962">
        <w:rPr>
          <w:rFonts w:eastAsiaTheme="minorEastAsia"/>
        </w:rPr>
        <w:t>claimant data</w:t>
      </w:r>
      <w:r w:rsidR="002352C7" w:rsidRPr="002352C7">
        <w:rPr>
          <w:rFonts w:eastAsiaTheme="minorEastAsia"/>
        </w:rPr>
        <w:t xml:space="preserve"> is limited to the amount necessary to achieve the aims of the research, so that no </w:t>
      </w:r>
      <w:r w:rsidR="00F65962">
        <w:rPr>
          <w:rFonts w:eastAsiaTheme="minorEastAsia"/>
        </w:rPr>
        <w:t>unnecessary data is accessed</w:t>
      </w:r>
      <w:r>
        <w:rPr>
          <w:rFonts w:eastAsiaTheme="minorEastAsia"/>
        </w:rPr>
        <w:t xml:space="preserve"> by the evaluation contractors</w:t>
      </w:r>
      <w:r w:rsidR="002352C7" w:rsidRPr="002352C7">
        <w:rPr>
          <w:rFonts w:eastAsiaTheme="minorEastAsia"/>
        </w:rPr>
        <w:t>.</w:t>
      </w:r>
    </w:p>
    <w:p w14:paraId="217CDB6C" w14:textId="28F8C6C3" w:rsidR="009652B1" w:rsidRPr="00DC2791" w:rsidRDefault="00EF2248" w:rsidP="20758CA3">
      <w:pPr>
        <w:pStyle w:val="ListParagraph"/>
        <w:numPr>
          <w:ilvl w:val="0"/>
          <w:numId w:val="33"/>
        </w:numPr>
        <w:spacing w:after="0" w:line="240" w:lineRule="auto"/>
        <w:rPr>
          <w:rFonts w:eastAsiaTheme="minorEastAsia"/>
          <w:b/>
          <w:bCs/>
          <w:i/>
          <w:iCs/>
        </w:rPr>
      </w:pPr>
      <w:r>
        <w:rPr>
          <w:rFonts w:eastAsiaTheme="minorEastAsia"/>
        </w:rPr>
        <w:t>R</w:t>
      </w:r>
      <w:r w:rsidR="20758CA3" w:rsidRPr="20758CA3">
        <w:rPr>
          <w:rFonts w:eastAsiaTheme="minorEastAsia"/>
        </w:rPr>
        <w:t xml:space="preserve">esearch data </w:t>
      </w:r>
      <w:r>
        <w:rPr>
          <w:rFonts w:eastAsiaTheme="minorEastAsia"/>
        </w:rPr>
        <w:t xml:space="preserve">will be stored </w:t>
      </w:r>
      <w:r w:rsidR="20758CA3" w:rsidRPr="20758CA3">
        <w:rPr>
          <w:rFonts w:eastAsiaTheme="minorEastAsia"/>
        </w:rPr>
        <w:t>on encrypted servers and password protected computers.</w:t>
      </w:r>
    </w:p>
    <w:p w14:paraId="30CBDD45" w14:textId="239890BE" w:rsidR="009652B1" w:rsidRPr="00DC2791" w:rsidRDefault="2BEC92DA" w:rsidP="2BEC92DA">
      <w:pPr>
        <w:pStyle w:val="ListParagraph"/>
        <w:numPr>
          <w:ilvl w:val="0"/>
          <w:numId w:val="33"/>
        </w:numPr>
        <w:spacing w:after="0" w:line="240" w:lineRule="auto"/>
        <w:rPr>
          <w:rFonts w:eastAsiaTheme="minorEastAsia"/>
          <w:b/>
          <w:bCs/>
          <w:i/>
          <w:iCs/>
        </w:rPr>
      </w:pPr>
      <w:r w:rsidRPr="2BEC92DA">
        <w:rPr>
          <w:rFonts w:eastAsiaTheme="minorEastAsia"/>
        </w:rPr>
        <w:t>De-identification of study data prior to DWS UI sharing with the evaluation contractors.</w:t>
      </w:r>
    </w:p>
    <w:p w14:paraId="32578999" w14:textId="155CAD71" w:rsidR="00256B11" w:rsidRPr="00DC2791" w:rsidRDefault="2BEC92DA" w:rsidP="00D05EEA">
      <w:pPr>
        <w:pStyle w:val="ListParagraph"/>
        <w:numPr>
          <w:ilvl w:val="0"/>
          <w:numId w:val="33"/>
        </w:numPr>
        <w:spacing w:after="0" w:line="240" w:lineRule="auto"/>
        <w:rPr>
          <w:shd w:val="clear" w:color="auto" w:fill="FFFFFF"/>
        </w:rPr>
      </w:pPr>
      <w:r>
        <w:t xml:space="preserve">Monitor study data </w:t>
      </w:r>
      <w:r w:rsidR="00F65962">
        <w:t>regularly, with a monthly frequency in the first few months of the evaluation and quarterly to biannual frequency after this point</w:t>
      </w:r>
      <w:r>
        <w:t>.</w:t>
      </w:r>
      <w:r w:rsidR="38BFD3E2">
        <w:br/>
      </w:r>
    </w:p>
    <w:p w14:paraId="6B0153D1" w14:textId="7B0281F8" w:rsidR="00DC15F4" w:rsidRPr="00BD59FE" w:rsidRDefault="00A75798" w:rsidP="00BD59FE">
      <w:pPr>
        <w:pStyle w:val="Heading2"/>
        <w:rPr>
          <w:rStyle w:val="markedcontent"/>
          <w:rFonts w:eastAsiaTheme="minorEastAsia"/>
          <w:b/>
          <w:bCs/>
          <w:i/>
          <w:iCs/>
        </w:rPr>
      </w:pPr>
      <w:r>
        <w:t>3.6</w:t>
      </w:r>
      <w:r w:rsidR="009652B1" w:rsidRPr="00BD59FE">
        <w:t xml:space="preserve"> Reporting</w:t>
      </w:r>
    </w:p>
    <w:p w14:paraId="371B161B" w14:textId="45A27552" w:rsidR="6B7B468C" w:rsidRDefault="6B7B468C" w:rsidP="6B7B468C">
      <w:pPr>
        <w:spacing w:after="0" w:line="240" w:lineRule="auto"/>
        <w:rPr>
          <w:rStyle w:val="markedcontent"/>
          <w:rFonts w:eastAsiaTheme="minorEastAsia"/>
          <w:i/>
          <w:iCs/>
        </w:rPr>
      </w:pPr>
    </w:p>
    <w:p w14:paraId="5D75F873" w14:textId="103BB04B" w:rsidR="007C51CA" w:rsidRDefault="5B88F185" w:rsidP="5B88F185">
      <w:pPr>
        <w:spacing w:after="0" w:line="240" w:lineRule="auto"/>
        <w:rPr>
          <w:rStyle w:val="markedcontent"/>
          <w:rFonts w:eastAsiaTheme="minorEastAsia"/>
        </w:rPr>
      </w:pPr>
      <w:r w:rsidRPr="5B88F185">
        <w:rPr>
          <w:rStyle w:val="markedcontent"/>
          <w:rFonts w:eastAsiaTheme="minorEastAsia"/>
        </w:rPr>
        <w:t>Findings from the impact study will be shared</w:t>
      </w:r>
      <w:r w:rsidR="00EF2248">
        <w:rPr>
          <w:rStyle w:val="markedcontent"/>
          <w:rFonts w:eastAsiaTheme="minorEastAsia"/>
        </w:rPr>
        <w:t xml:space="preserve"> with </w:t>
      </w:r>
      <w:r w:rsidR="00EF2248" w:rsidRPr="5B88F185">
        <w:rPr>
          <w:rStyle w:val="markedcontent"/>
          <w:rFonts w:eastAsiaTheme="minorEastAsia"/>
        </w:rPr>
        <w:t>DWS</w:t>
      </w:r>
      <w:r w:rsidR="00EF2248">
        <w:rPr>
          <w:rStyle w:val="markedcontent"/>
          <w:rFonts w:eastAsiaTheme="minorEastAsia"/>
        </w:rPr>
        <w:t xml:space="preserve"> UI</w:t>
      </w:r>
      <w:r w:rsidRPr="5B88F185">
        <w:rPr>
          <w:rStyle w:val="markedcontent"/>
          <w:rFonts w:eastAsiaTheme="minorEastAsia"/>
        </w:rPr>
        <w:t xml:space="preserve"> in </w:t>
      </w:r>
      <w:r w:rsidR="00EF2248">
        <w:rPr>
          <w:rStyle w:val="markedcontent"/>
          <w:rFonts w:eastAsiaTheme="minorEastAsia"/>
        </w:rPr>
        <w:t>two i</w:t>
      </w:r>
      <w:r w:rsidRPr="5B88F185">
        <w:rPr>
          <w:rStyle w:val="markedcontent"/>
          <w:rFonts w:eastAsiaTheme="minorEastAsia"/>
        </w:rPr>
        <w:t xml:space="preserve">mpact </w:t>
      </w:r>
      <w:r w:rsidR="00EF2248">
        <w:rPr>
          <w:rStyle w:val="markedcontent"/>
          <w:rFonts w:eastAsiaTheme="minorEastAsia"/>
        </w:rPr>
        <w:t>e</w:t>
      </w:r>
      <w:r w:rsidRPr="5B88F185">
        <w:rPr>
          <w:rStyle w:val="markedcontent"/>
          <w:rFonts w:eastAsiaTheme="minorEastAsia"/>
        </w:rPr>
        <w:t xml:space="preserve">valuation </w:t>
      </w:r>
      <w:r w:rsidR="00EF2248">
        <w:rPr>
          <w:rStyle w:val="markedcontent"/>
          <w:rFonts w:eastAsiaTheme="minorEastAsia"/>
        </w:rPr>
        <w:t>r</w:t>
      </w:r>
      <w:r w:rsidRPr="5B88F185">
        <w:rPr>
          <w:rStyle w:val="markedcontent"/>
          <w:rFonts w:eastAsiaTheme="minorEastAsia"/>
        </w:rPr>
        <w:t>epor</w:t>
      </w:r>
      <w:r w:rsidR="00EF2248">
        <w:rPr>
          <w:rStyle w:val="markedcontent"/>
          <w:rFonts w:eastAsiaTheme="minorEastAsia"/>
        </w:rPr>
        <w:t>ts</w:t>
      </w:r>
      <w:r w:rsidRPr="5B88F185">
        <w:rPr>
          <w:rStyle w:val="markedcontent"/>
          <w:rFonts w:eastAsiaTheme="minorEastAsia"/>
        </w:rPr>
        <w:t xml:space="preserve">. </w:t>
      </w:r>
      <w:r w:rsidR="00EF2248">
        <w:rPr>
          <w:rStyle w:val="markedcontent"/>
          <w:rFonts w:eastAsiaTheme="minorEastAsia"/>
        </w:rPr>
        <w:t>R</w:t>
      </w:r>
      <w:r w:rsidRPr="5B88F185">
        <w:rPr>
          <w:rStyle w:val="markedcontent"/>
          <w:rFonts w:eastAsiaTheme="minorEastAsia"/>
        </w:rPr>
        <w:t>eport</w:t>
      </w:r>
      <w:r w:rsidR="00EF2248">
        <w:rPr>
          <w:rStyle w:val="markedcontent"/>
          <w:rFonts w:eastAsiaTheme="minorEastAsia"/>
        </w:rPr>
        <w:t>s</w:t>
      </w:r>
      <w:r w:rsidRPr="5B88F185">
        <w:rPr>
          <w:rStyle w:val="markedcontent"/>
          <w:rFonts w:eastAsiaTheme="minorEastAsia"/>
        </w:rPr>
        <w:t xml:space="preserve"> </w:t>
      </w:r>
      <w:r w:rsidR="00EF2248" w:rsidRPr="5B88F185">
        <w:rPr>
          <w:rStyle w:val="markedcontent"/>
          <w:rFonts w:eastAsiaTheme="minorEastAsia"/>
        </w:rPr>
        <w:t xml:space="preserve">also </w:t>
      </w:r>
      <w:r w:rsidRPr="5B88F185">
        <w:rPr>
          <w:rStyle w:val="markedcontent"/>
          <w:rFonts w:eastAsiaTheme="minorEastAsia"/>
        </w:rPr>
        <w:t>will be submitted to</w:t>
      </w:r>
      <w:r w:rsidR="00EF2248">
        <w:rPr>
          <w:rStyle w:val="markedcontent"/>
          <w:rFonts w:eastAsiaTheme="minorEastAsia"/>
        </w:rPr>
        <w:t xml:space="preserve"> </w:t>
      </w:r>
      <w:r w:rsidRPr="5B88F185">
        <w:rPr>
          <w:rStyle w:val="markedcontent"/>
          <w:rFonts w:eastAsiaTheme="minorEastAsia"/>
        </w:rPr>
        <w:t>CLEAR</w:t>
      </w:r>
      <w:r w:rsidR="00EF2248">
        <w:rPr>
          <w:rStyle w:val="markedcontent"/>
          <w:rFonts w:eastAsiaTheme="minorEastAsia"/>
        </w:rPr>
        <w:t xml:space="preserve"> </w:t>
      </w:r>
      <w:r w:rsidR="00AA7515">
        <w:rPr>
          <w:rStyle w:val="markedcontent"/>
          <w:rFonts w:eastAsiaTheme="minorEastAsia"/>
        </w:rPr>
        <w:t xml:space="preserve">for the strength of causal evidence </w:t>
      </w:r>
      <w:r w:rsidR="00EF2248">
        <w:rPr>
          <w:rStyle w:val="markedcontent"/>
          <w:rFonts w:eastAsiaTheme="minorEastAsia"/>
        </w:rPr>
        <w:t>to be rated</w:t>
      </w:r>
      <w:r w:rsidRPr="5B88F185">
        <w:rPr>
          <w:rStyle w:val="markedcontent"/>
          <w:rFonts w:eastAsiaTheme="minorEastAsia"/>
        </w:rPr>
        <w:t>. Further,</w:t>
      </w:r>
      <w:r w:rsidR="00206562">
        <w:rPr>
          <w:rStyle w:val="markedcontent"/>
          <w:rFonts w:eastAsiaTheme="minorEastAsia"/>
        </w:rPr>
        <w:t xml:space="preserve"> we anticipate sharing</w:t>
      </w:r>
      <w:r w:rsidRPr="5B88F185">
        <w:rPr>
          <w:rStyle w:val="markedcontent"/>
          <w:rFonts w:eastAsiaTheme="minorEastAsia"/>
        </w:rPr>
        <w:t xml:space="preserve"> evaluation results in peer-reviewed journal article</w:t>
      </w:r>
      <w:r w:rsidR="00206562">
        <w:rPr>
          <w:rStyle w:val="markedcontent"/>
          <w:rFonts w:eastAsiaTheme="minorEastAsia"/>
        </w:rPr>
        <w:t>s</w:t>
      </w:r>
      <w:r w:rsidRPr="5B88F185">
        <w:rPr>
          <w:rStyle w:val="markedcontent"/>
          <w:rFonts w:eastAsiaTheme="minorEastAsia"/>
        </w:rPr>
        <w:t xml:space="preserve">. </w:t>
      </w:r>
      <w:r w:rsidR="00BD59FE">
        <w:rPr>
          <w:rStyle w:val="markedcontent"/>
          <w:rFonts w:eastAsiaTheme="minorEastAsia"/>
        </w:rPr>
        <w:t>Prior to the impact study, we will prepare a</w:t>
      </w:r>
      <w:r w:rsidRPr="5B88F185">
        <w:rPr>
          <w:rStyle w:val="markedcontent"/>
          <w:rFonts w:eastAsiaTheme="minorEastAsia"/>
        </w:rPr>
        <w:t xml:space="preserve"> process evaluation report </w:t>
      </w:r>
      <w:r w:rsidR="00BD59FE">
        <w:rPr>
          <w:rStyle w:val="markedcontent"/>
          <w:rFonts w:eastAsiaTheme="minorEastAsia"/>
        </w:rPr>
        <w:t>that will be</w:t>
      </w:r>
      <w:r w:rsidRPr="5B88F185">
        <w:rPr>
          <w:rStyle w:val="markedcontent"/>
          <w:rFonts w:eastAsiaTheme="minorEastAsia"/>
        </w:rPr>
        <w:t xml:space="preserve"> shared with DWS</w:t>
      </w:r>
      <w:r w:rsidR="00BD59FE">
        <w:rPr>
          <w:rStyle w:val="markedcontent"/>
          <w:rFonts w:eastAsiaTheme="minorEastAsia"/>
        </w:rPr>
        <w:t xml:space="preserve"> UI</w:t>
      </w:r>
      <w:r w:rsidRPr="5B88F185">
        <w:rPr>
          <w:rStyle w:val="markedcontent"/>
          <w:rFonts w:eastAsiaTheme="minorEastAsia"/>
        </w:rPr>
        <w:t xml:space="preserve">. </w:t>
      </w:r>
      <w:r w:rsidR="00BD59FE">
        <w:rPr>
          <w:rStyle w:val="markedcontent"/>
          <w:rFonts w:eastAsiaTheme="minorEastAsia"/>
        </w:rPr>
        <w:t>P</w:t>
      </w:r>
      <w:r w:rsidRPr="5B88F185">
        <w:rPr>
          <w:rStyle w:val="markedcontent"/>
          <w:rFonts w:eastAsiaTheme="minorEastAsia"/>
        </w:rPr>
        <w:t xml:space="preserve">rocess evaluation findings may be integrated into the </w:t>
      </w:r>
      <w:r w:rsidR="00EF2248">
        <w:rPr>
          <w:rStyle w:val="markedcontent"/>
          <w:rFonts w:eastAsiaTheme="minorEastAsia"/>
        </w:rPr>
        <w:t>i</w:t>
      </w:r>
      <w:r w:rsidRPr="5B88F185">
        <w:rPr>
          <w:rStyle w:val="markedcontent"/>
          <w:rFonts w:eastAsiaTheme="minorEastAsia"/>
        </w:rPr>
        <w:t xml:space="preserve">mpact </w:t>
      </w:r>
      <w:r w:rsidR="00EF2248">
        <w:rPr>
          <w:rStyle w:val="markedcontent"/>
          <w:rFonts w:eastAsiaTheme="minorEastAsia"/>
        </w:rPr>
        <w:t>e</w:t>
      </w:r>
      <w:r w:rsidRPr="5B88F185">
        <w:rPr>
          <w:rStyle w:val="markedcontent"/>
          <w:rFonts w:eastAsiaTheme="minorEastAsia"/>
        </w:rPr>
        <w:t xml:space="preserve">valuation </w:t>
      </w:r>
      <w:r w:rsidR="00EF2248">
        <w:rPr>
          <w:rStyle w:val="markedcontent"/>
          <w:rFonts w:eastAsiaTheme="minorEastAsia"/>
        </w:rPr>
        <w:t>r</w:t>
      </w:r>
      <w:r w:rsidRPr="5B88F185">
        <w:rPr>
          <w:rStyle w:val="markedcontent"/>
          <w:rFonts w:eastAsiaTheme="minorEastAsia"/>
        </w:rPr>
        <w:t>eport</w:t>
      </w:r>
      <w:r w:rsidR="00EF2248">
        <w:rPr>
          <w:rStyle w:val="markedcontent"/>
          <w:rFonts w:eastAsiaTheme="minorEastAsia"/>
        </w:rPr>
        <w:t>s</w:t>
      </w:r>
      <w:r w:rsidRPr="5B88F185">
        <w:rPr>
          <w:rStyle w:val="markedcontent"/>
          <w:rFonts w:eastAsiaTheme="minorEastAsia"/>
        </w:rPr>
        <w:t xml:space="preserve"> to help explain and contextualize </w:t>
      </w:r>
      <w:r w:rsidR="00BD59FE">
        <w:rPr>
          <w:rStyle w:val="markedcontent"/>
          <w:rFonts w:eastAsiaTheme="minorEastAsia"/>
        </w:rPr>
        <w:t xml:space="preserve">program </w:t>
      </w:r>
      <w:r w:rsidRPr="5B88F185">
        <w:rPr>
          <w:rStyle w:val="markedcontent"/>
          <w:rFonts w:eastAsiaTheme="minorEastAsia"/>
        </w:rPr>
        <w:t xml:space="preserve">impact </w:t>
      </w:r>
      <w:r w:rsidR="00BD59FE">
        <w:rPr>
          <w:rStyle w:val="markedcontent"/>
          <w:rFonts w:eastAsiaTheme="minorEastAsia"/>
        </w:rPr>
        <w:t>estimates</w:t>
      </w:r>
      <w:r w:rsidRPr="5B88F185">
        <w:rPr>
          <w:rStyle w:val="markedcontent"/>
          <w:rFonts w:eastAsiaTheme="minorEastAsia"/>
        </w:rPr>
        <w:t xml:space="preserve">. </w:t>
      </w:r>
    </w:p>
    <w:p w14:paraId="29525A16" w14:textId="05E17BA8" w:rsidR="007C51CA" w:rsidRPr="00DC2791" w:rsidRDefault="00A75798" w:rsidP="00A75798">
      <w:pPr>
        <w:pStyle w:val="Heading2"/>
        <w:rPr>
          <w:rStyle w:val="markedcontent"/>
          <w:rFonts w:eastAsiaTheme="minorEastAsia"/>
          <w:b/>
          <w:bCs/>
          <w:i/>
          <w:iCs/>
        </w:rPr>
      </w:pPr>
      <w:r>
        <w:lastRenderedPageBreak/>
        <w:t>3.7</w:t>
      </w:r>
      <w:r w:rsidR="009652B1" w:rsidRPr="7EF9A4EB">
        <w:t xml:space="preserve"> Evaluation Timeline </w:t>
      </w:r>
    </w:p>
    <w:p w14:paraId="19C6D30B" w14:textId="77777777" w:rsidR="00A75798" w:rsidRDefault="00A75798" w:rsidP="526C5137">
      <w:pPr>
        <w:spacing w:after="0" w:line="240" w:lineRule="auto"/>
      </w:pPr>
    </w:p>
    <w:p w14:paraId="607FF4C6" w14:textId="7C10562C" w:rsidR="3F6E8733" w:rsidRDefault="526C5137" w:rsidP="00B2096B">
      <w:pPr>
        <w:spacing w:after="40" w:line="240" w:lineRule="auto"/>
        <w:rPr>
          <w:rStyle w:val="markedcontent"/>
          <w:rFonts w:eastAsiaTheme="minorEastAsia"/>
          <w:b/>
          <w:bCs/>
        </w:rPr>
      </w:pPr>
      <w:r w:rsidRPr="526C5137">
        <w:rPr>
          <w:rStyle w:val="markedcontent"/>
          <w:rFonts w:eastAsiaTheme="minorEastAsia"/>
          <w:b/>
          <w:bCs/>
        </w:rPr>
        <w:t>Table 8. Timeline of key milestones and evaluation activities for RESEA impact study</w:t>
      </w:r>
    </w:p>
    <w:tbl>
      <w:tblPr>
        <w:tblStyle w:val="TableGrid"/>
        <w:tblW w:w="9360" w:type="dxa"/>
        <w:tblLayout w:type="fixed"/>
        <w:tblLook w:val="06A0" w:firstRow="1" w:lastRow="0" w:firstColumn="1" w:lastColumn="0" w:noHBand="1" w:noVBand="1"/>
      </w:tblPr>
      <w:tblGrid>
        <w:gridCol w:w="7105"/>
        <w:gridCol w:w="2255"/>
      </w:tblGrid>
      <w:tr w:rsidR="79EE749D" w14:paraId="20216B8C" w14:textId="77777777" w:rsidTr="00AA7515">
        <w:trPr>
          <w:trHeight w:val="300"/>
        </w:trPr>
        <w:tc>
          <w:tcPr>
            <w:tcW w:w="7105" w:type="dxa"/>
            <w:shd w:val="clear" w:color="auto" w:fill="D9E2F3" w:themeFill="accent1" w:themeFillTint="33"/>
            <w:vAlign w:val="center"/>
          </w:tcPr>
          <w:p w14:paraId="62D9A075" w14:textId="081E2507" w:rsidR="79EE749D" w:rsidRDefault="002352C7" w:rsidP="002352C7">
            <w:pPr>
              <w:jc w:val="center"/>
              <w:rPr>
                <w:rStyle w:val="markedcontent"/>
                <w:rFonts w:eastAsiaTheme="minorEastAsia"/>
                <w:b/>
                <w:bCs/>
              </w:rPr>
            </w:pPr>
            <w:r w:rsidRPr="002352C7">
              <w:rPr>
                <w:rStyle w:val="markedcontent"/>
                <w:rFonts w:eastAsiaTheme="minorEastAsia"/>
                <w:b/>
                <w:bCs/>
              </w:rPr>
              <w:t>Key Milestones and Evaluation Activities</w:t>
            </w:r>
          </w:p>
        </w:tc>
        <w:tc>
          <w:tcPr>
            <w:tcW w:w="2255" w:type="dxa"/>
            <w:shd w:val="clear" w:color="auto" w:fill="D9E2F3" w:themeFill="accent1" w:themeFillTint="33"/>
            <w:vAlign w:val="center"/>
          </w:tcPr>
          <w:p w14:paraId="20CF0A21" w14:textId="5C8B81AC" w:rsidR="79EE749D" w:rsidRDefault="002352C7" w:rsidP="002352C7">
            <w:pPr>
              <w:jc w:val="center"/>
              <w:rPr>
                <w:rStyle w:val="markedcontent"/>
                <w:rFonts w:eastAsiaTheme="minorEastAsia"/>
                <w:b/>
                <w:bCs/>
              </w:rPr>
            </w:pPr>
            <w:r w:rsidRPr="002352C7">
              <w:rPr>
                <w:rStyle w:val="markedcontent"/>
                <w:rFonts w:eastAsiaTheme="minorEastAsia"/>
                <w:b/>
                <w:bCs/>
              </w:rPr>
              <w:t>Timing</w:t>
            </w:r>
          </w:p>
        </w:tc>
      </w:tr>
      <w:tr w:rsidR="79EE749D" w14:paraId="6D760985" w14:textId="77777777" w:rsidTr="004678DE">
        <w:trPr>
          <w:trHeight w:val="300"/>
        </w:trPr>
        <w:tc>
          <w:tcPr>
            <w:tcW w:w="7105" w:type="dxa"/>
          </w:tcPr>
          <w:p w14:paraId="4834ACAE" w14:textId="4A0A824E" w:rsidR="79EE749D" w:rsidRDefault="000A78E6" w:rsidP="002352C7">
            <w:pPr>
              <w:rPr>
                <w:rFonts w:eastAsiaTheme="minorEastAsia"/>
              </w:rPr>
            </w:pPr>
            <w:r>
              <w:rPr>
                <w:rFonts w:eastAsiaTheme="minorEastAsia"/>
              </w:rPr>
              <w:t xml:space="preserve">Submit </w:t>
            </w:r>
            <w:r w:rsidR="002352C7" w:rsidRPr="002352C7">
              <w:rPr>
                <w:rFonts w:eastAsiaTheme="minorEastAsia"/>
              </w:rPr>
              <w:t xml:space="preserve">draft </w:t>
            </w:r>
            <w:r w:rsidR="00F65962">
              <w:rPr>
                <w:rFonts w:eastAsiaTheme="minorEastAsia"/>
              </w:rPr>
              <w:t>e</w:t>
            </w:r>
            <w:r w:rsidR="002352C7" w:rsidRPr="002352C7">
              <w:rPr>
                <w:rFonts w:eastAsiaTheme="minorEastAsia"/>
              </w:rPr>
              <w:t xml:space="preserve">valuation </w:t>
            </w:r>
            <w:r w:rsidR="00F65962">
              <w:rPr>
                <w:rFonts w:eastAsiaTheme="minorEastAsia"/>
              </w:rPr>
              <w:t>d</w:t>
            </w:r>
            <w:r w:rsidR="002352C7" w:rsidRPr="002352C7">
              <w:rPr>
                <w:rFonts w:eastAsiaTheme="minorEastAsia"/>
              </w:rPr>
              <w:t xml:space="preserve">esign </w:t>
            </w:r>
            <w:r w:rsidR="00F65962">
              <w:rPr>
                <w:rFonts w:eastAsiaTheme="minorEastAsia"/>
              </w:rPr>
              <w:t>r</w:t>
            </w:r>
            <w:r w:rsidR="002352C7" w:rsidRPr="002352C7">
              <w:rPr>
                <w:rFonts w:eastAsiaTheme="minorEastAsia"/>
              </w:rPr>
              <w:t>eport</w:t>
            </w:r>
          </w:p>
        </w:tc>
        <w:tc>
          <w:tcPr>
            <w:tcW w:w="2255" w:type="dxa"/>
            <w:vAlign w:val="center"/>
          </w:tcPr>
          <w:p w14:paraId="64B48786" w14:textId="5391CAB7" w:rsidR="79EE749D" w:rsidRDefault="23E095FF" w:rsidP="23E095FF">
            <w:pPr>
              <w:jc w:val="center"/>
              <w:rPr>
                <w:rFonts w:eastAsiaTheme="minorEastAsia"/>
              </w:rPr>
            </w:pPr>
            <w:r w:rsidRPr="23E095FF">
              <w:rPr>
                <w:rFonts w:eastAsiaTheme="minorEastAsia"/>
              </w:rPr>
              <w:t>Aug 2023</w:t>
            </w:r>
          </w:p>
        </w:tc>
      </w:tr>
      <w:tr w:rsidR="79EE749D" w14:paraId="244FA6D2" w14:textId="77777777" w:rsidTr="004678DE">
        <w:trPr>
          <w:trHeight w:val="300"/>
        </w:trPr>
        <w:tc>
          <w:tcPr>
            <w:tcW w:w="7105" w:type="dxa"/>
          </w:tcPr>
          <w:p w14:paraId="3A0DC92D" w14:textId="783B34F5" w:rsidR="79EE749D" w:rsidRDefault="000A78E6" w:rsidP="002352C7">
            <w:pPr>
              <w:rPr>
                <w:rFonts w:eastAsiaTheme="minorEastAsia"/>
              </w:rPr>
            </w:pPr>
            <w:r>
              <w:rPr>
                <w:rFonts w:eastAsiaTheme="minorEastAsia"/>
              </w:rPr>
              <w:t>Submit</w:t>
            </w:r>
            <w:r w:rsidR="002352C7" w:rsidRPr="002352C7">
              <w:rPr>
                <w:rFonts w:eastAsiaTheme="minorEastAsia"/>
              </w:rPr>
              <w:t xml:space="preserve"> final </w:t>
            </w:r>
            <w:r w:rsidR="00F65962">
              <w:rPr>
                <w:rFonts w:eastAsiaTheme="minorEastAsia"/>
              </w:rPr>
              <w:t>ev</w:t>
            </w:r>
            <w:r w:rsidR="002352C7" w:rsidRPr="002352C7">
              <w:rPr>
                <w:rFonts w:eastAsiaTheme="minorEastAsia"/>
              </w:rPr>
              <w:t xml:space="preserve">aluation </w:t>
            </w:r>
            <w:r w:rsidR="00F65962">
              <w:rPr>
                <w:rFonts w:eastAsiaTheme="minorEastAsia"/>
              </w:rPr>
              <w:t>d</w:t>
            </w:r>
            <w:r w:rsidR="002352C7" w:rsidRPr="002352C7">
              <w:rPr>
                <w:rFonts w:eastAsiaTheme="minorEastAsia"/>
              </w:rPr>
              <w:t xml:space="preserve">esign </w:t>
            </w:r>
            <w:r w:rsidR="00F65962">
              <w:rPr>
                <w:rFonts w:eastAsiaTheme="minorEastAsia"/>
              </w:rPr>
              <w:t>r</w:t>
            </w:r>
            <w:r w:rsidR="002352C7" w:rsidRPr="002352C7">
              <w:rPr>
                <w:rFonts w:eastAsiaTheme="minorEastAsia"/>
              </w:rPr>
              <w:t>eport</w:t>
            </w:r>
          </w:p>
        </w:tc>
        <w:tc>
          <w:tcPr>
            <w:tcW w:w="2255" w:type="dxa"/>
            <w:vAlign w:val="center"/>
          </w:tcPr>
          <w:p w14:paraId="7461E355" w14:textId="1B1AC252" w:rsidR="79EE749D" w:rsidRDefault="23E095FF" w:rsidP="23E095FF">
            <w:pPr>
              <w:jc w:val="center"/>
              <w:rPr>
                <w:rFonts w:eastAsiaTheme="minorEastAsia"/>
              </w:rPr>
            </w:pPr>
            <w:r w:rsidRPr="23E095FF">
              <w:rPr>
                <w:rFonts w:eastAsiaTheme="minorEastAsia"/>
              </w:rPr>
              <w:t>Sept 2023</w:t>
            </w:r>
          </w:p>
        </w:tc>
      </w:tr>
      <w:tr w:rsidR="79EE749D" w14:paraId="3066B5F3" w14:textId="77777777" w:rsidTr="004678DE">
        <w:trPr>
          <w:trHeight w:val="300"/>
        </w:trPr>
        <w:tc>
          <w:tcPr>
            <w:tcW w:w="7105" w:type="dxa"/>
          </w:tcPr>
          <w:p w14:paraId="5C715324" w14:textId="154F4470" w:rsidR="79EE749D" w:rsidRDefault="25E78BDB" w:rsidP="25E78BDB">
            <w:pPr>
              <w:rPr>
                <w:rFonts w:eastAsiaTheme="minorEastAsia"/>
              </w:rPr>
            </w:pPr>
            <w:r w:rsidRPr="25E78BDB">
              <w:rPr>
                <w:rFonts w:eastAsiaTheme="minorEastAsia"/>
              </w:rPr>
              <w:t xml:space="preserve">DWS UI </w:t>
            </w:r>
            <w:r w:rsidRPr="000A78E6">
              <w:rPr>
                <w:rFonts w:eastAsiaTheme="minorEastAsia"/>
              </w:rPr>
              <w:t>team implements</w:t>
            </w:r>
            <w:r w:rsidRPr="25E78BDB">
              <w:rPr>
                <w:rFonts w:eastAsiaTheme="minorEastAsia"/>
              </w:rPr>
              <w:t xml:space="preserve"> changes to RESEA selection </w:t>
            </w:r>
            <w:r w:rsidR="00B2096B">
              <w:rPr>
                <w:rFonts w:eastAsiaTheme="minorEastAsia"/>
              </w:rPr>
              <w:t>per</w:t>
            </w:r>
            <w:r w:rsidRPr="25E78BDB">
              <w:rPr>
                <w:rFonts w:eastAsiaTheme="minorEastAsia"/>
              </w:rPr>
              <w:t xml:space="preserve"> </w:t>
            </w:r>
            <w:r w:rsidR="00B2096B">
              <w:rPr>
                <w:rFonts w:eastAsiaTheme="minorEastAsia"/>
              </w:rPr>
              <w:t>e</w:t>
            </w:r>
            <w:r w:rsidRPr="25E78BDB">
              <w:rPr>
                <w:rFonts w:eastAsiaTheme="minorEastAsia"/>
              </w:rPr>
              <w:t xml:space="preserve">valuation </w:t>
            </w:r>
            <w:r w:rsidR="00B2096B">
              <w:rPr>
                <w:rFonts w:eastAsiaTheme="minorEastAsia"/>
              </w:rPr>
              <w:t>d</w:t>
            </w:r>
            <w:r w:rsidRPr="25E78BDB">
              <w:rPr>
                <w:rFonts w:eastAsiaTheme="minorEastAsia"/>
              </w:rPr>
              <w:t>esign</w:t>
            </w:r>
          </w:p>
        </w:tc>
        <w:tc>
          <w:tcPr>
            <w:tcW w:w="2255" w:type="dxa"/>
            <w:vAlign w:val="center"/>
          </w:tcPr>
          <w:p w14:paraId="181B0960" w14:textId="6C9D9695" w:rsidR="79EE749D" w:rsidRDefault="23E095FF" w:rsidP="23E095FF">
            <w:pPr>
              <w:jc w:val="center"/>
              <w:rPr>
                <w:rFonts w:eastAsiaTheme="minorEastAsia"/>
              </w:rPr>
            </w:pPr>
            <w:r w:rsidRPr="23E095FF">
              <w:rPr>
                <w:rFonts w:eastAsiaTheme="minorEastAsia"/>
              </w:rPr>
              <w:t>Dec 2023</w:t>
            </w:r>
          </w:p>
        </w:tc>
      </w:tr>
      <w:tr w:rsidR="79EE749D" w14:paraId="799B5DDB" w14:textId="77777777" w:rsidTr="004678DE">
        <w:trPr>
          <w:trHeight w:val="300"/>
        </w:trPr>
        <w:tc>
          <w:tcPr>
            <w:tcW w:w="7105" w:type="dxa"/>
          </w:tcPr>
          <w:p w14:paraId="37AD77E8" w14:textId="1F07C9FD" w:rsidR="79EE749D" w:rsidRPr="000A78E6" w:rsidRDefault="00D05EEA" w:rsidP="002352C7">
            <w:pPr>
              <w:rPr>
                <w:rFonts w:eastAsiaTheme="minorEastAsia"/>
              </w:rPr>
            </w:pPr>
            <w:r w:rsidRPr="000A78E6">
              <w:rPr>
                <w:rFonts w:eastAsiaTheme="minorEastAsia"/>
              </w:rPr>
              <w:t>Randomization of claimants to RESEA and control groups</w:t>
            </w:r>
          </w:p>
        </w:tc>
        <w:tc>
          <w:tcPr>
            <w:tcW w:w="2255" w:type="dxa"/>
            <w:vAlign w:val="center"/>
          </w:tcPr>
          <w:p w14:paraId="1E9E1163" w14:textId="17AF4917" w:rsidR="79EE749D" w:rsidRPr="000A78E6" w:rsidRDefault="25D612D2" w:rsidP="25D612D2">
            <w:pPr>
              <w:jc w:val="center"/>
              <w:rPr>
                <w:rStyle w:val="markedcontent"/>
                <w:rFonts w:eastAsiaTheme="minorEastAsia"/>
              </w:rPr>
            </w:pPr>
            <w:r w:rsidRPr="25D612D2">
              <w:rPr>
                <w:rStyle w:val="markedcontent"/>
                <w:rFonts w:eastAsiaTheme="minorEastAsia"/>
              </w:rPr>
              <w:t>Dec 2023 – Nov 2025</w:t>
            </w:r>
            <w:r w:rsidR="004678DE">
              <w:rPr>
                <w:rStyle w:val="markedcontent"/>
                <w:rFonts w:eastAsiaTheme="minorEastAsia"/>
                <w:vertAlign w:val="superscript"/>
              </w:rPr>
              <w:t>a</w:t>
            </w:r>
            <w:r w:rsidRPr="25D612D2">
              <w:rPr>
                <w:rStyle w:val="markedcontent"/>
                <w:rFonts w:eastAsiaTheme="minorEastAsia"/>
              </w:rPr>
              <w:t xml:space="preserve"> </w:t>
            </w:r>
          </w:p>
        </w:tc>
      </w:tr>
      <w:tr w:rsidR="00F65962" w14:paraId="42D30CE3" w14:textId="77777777" w:rsidTr="004678DE">
        <w:trPr>
          <w:trHeight w:val="300"/>
        </w:trPr>
        <w:tc>
          <w:tcPr>
            <w:tcW w:w="7105" w:type="dxa"/>
          </w:tcPr>
          <w:p w14:paraId="6DFF1CD6" w14:textId="17A6C2CC" w:rsidR="00F65962" w:rsidRPr="000A78E6" w:rsidRDefault="00F65962" w:rsidP="00F65962">
            <w:pPr>
              <w:rPr>
                <w:rFonts w:eastAsiaTheme="minorEastAsia"/>
              </w:rPr>
            </w:pPr>
            <w:r w:rsidRPr="002352C7">
              <w:rPr>
                <w:rFonts w:eastAsiaTheme="minorEastAsia"/>
              </w:rPr>
              <w:t>Data analysis begins</w:t>
            </w:r>
            <w:r>
              <w:rPr>
                <w:rFonts w:eastAsiaTheme="minorEastAsia"/>
              </w:rPr>
              <w:t xml:space="preserve"> for the first impact evaluation report</w:t>
            </w:r>
          </w:p>
        </w:tc>
        <w:tc>
          <w:tcPr>
            <w:tcW w:w="2255" w:type="dxa"/>
            <w:vAlign w:val="center"/>
          </w:tcPr>
          <w:p w14:paraId="6F0235B3" w14:textId="37293B8C" w:rsidR="00F65962" w:rsidRPr="25D612D2" w:rsidRDefault="00F65962" w:rsidP="00F65962">
            <w:pPr>
              <w:jc w:val="center"/>
              <w:rPr>
                <w:rStyle w:val="markedcontent"/>
                <w:rFonts w:eastAsiaTheme="minorEastAsia"/>
              </w:rPr>
            </w:pPr>
            <w:r>
              <w:rPr>
                <w:rFonts w:eastAsiaTheme="minorEastAsia"/>
              </w:rPr>
              <w:t>July</w:t>
            </w:r>
            <w:r w:rsidRPr="23E095FF">
              <w:rPr>
                <w:rFonts w:eastAsiaTheme="minorEastAsia"/>
              </w:rPr>
              <w:t xml:space="preserve"> 202</w:t>
            </w:r>
            <w:r>
              <w:rPr>
                <w:rFonts w:eastAsiaTheme="minorEastAsia"/>
              </w:rPr>
              <w:t>5</w:t>
            </w:r>
          </w:p>
        </w:tc>
      </w:tr>
      <w:tr w:rsidR="00F65962" w14:paraId="20B535DB" w14:textId="77777777" w:rsidTr="004678DE">
        <w:trPr>
          <w:trHeight w:val="300"/>
        </w:trPr>
        <w:tc>
          <w:tcPr>
            <w:tcW w:w="7105" w:type="dxa"/>
          </w:tcPr>
          <w:p w14:paraId="5F833AE4" w14:textId="507B1AEF" w:rsidR="00F65962" w:rsidRPr="002352C7" w:rsidRDefault="004678DE" w:rsidP="00F65962">
            <w:pPr>
              <w:rPr>
                <w:rFonts w:eastAsiaTheme="minorEastAsia"/>
              </w:rPr>
            </w:pPr>
            <w:r>
              <w:rPr>
                <w:rFonts w:eastAsiaTheme="minorEastAsia"/>
              </w:rPr>
              <w:t>First impact evaluation report completed testing impact of RESEA on UI duration and employment</w:t>
            </w:r>
          </w:p>
        </w:tc>
        <w:tc>
          <w:tcPr>
            <w:tcW w:w="2255" w:type="dxa"/>
            <w:vAlign w:val="center"/>
          </w:tcPr>
          <w:p w14:paraId="4877383C" w14:textId="765524BE" w:rsidR="00F65962" w:rsidRDefault="004678DE" w:rsidP="00F65962">
            <w:pPr>
              <w:jc w:val="center"/>
              <w:rPr>
                <w:rFonts w:eastAsiaTheme="minorEastAsia"/>
              </w:rPr>
            </w:pPr>
            <w:r>
              <w:rPr>
                <w:rFonts w:eastAsiaTheme="minorEastAsia"/>
              </w:rPr>
              <w:t>Oct 2025</w:t>
            </w:r>
          </w:p>
        </w:tc>
      </w:tr>
      <w:tr w:rsidR="004678DE" w14:paraId="746D1D7A" w14:textId="77777777" w:rsidTr="004678DE">
        <w:trPr>
          <w:trHeight w:val="300"/>
        </w:trPr>
        <w:tc>
          <w:tcPr>
            <w:tcW w:w="7105" w:type="dxa"/>
          </w:tcPr>
          <w:p w14:paraId="1C32E3E1" w14:textId="2794456F" w:rsidR="004678DE" w:rsidRDefault="004678DE" w:rsidP="00F65962">
            <w:pPr>
              <w:rPr>
                <w:rFonts w:eastAsiaTheme="minorEastAsia"/>
              </w:rPr>
            </w:pPr>
            <w:r>
              <w:rPr>
                <w:rFonts w:eastAsiaTheme="minorEastAsia"/>
              </w:rPr>
              <w:t>First impact evaluation report submitted to CLEAR</w:t>
            </w:r>
          </w:p>
        </w:tc>
        <w:tc>
          <w:tcPr>
            <w:tcW w:w="2255" w:type="dxa"/>
            <w:vAlign w:val="center"/>
          </w:tcPr>
          <w:p w14:paraId="675CF698" w14:textId="667483B7" w:rsidR="004678DE" w:rsidRDefault="004678DE" w:rsidP="00F65962">
            <w:pPr>
              <w:jc w:val="center"/>
              <w:rPr>
                <w:rStyle w:val="markedcontent"/>
                <w:rFonts w:eastAsiaTheme="minorEastAsia"/>
              </w:rPr>
            </w:pPr>
            <w:r>
              <w:rPr>
                <w:rStyle w:val="markedcontent"/>
                <w:rFonts w:eastAsiaTheme="minorEastAsia"/>
              </w:rPr>
              <w:t>Nov 2025</w:t>
            </w:r>
          </w:p>
        </w:tc>
      </w:tr>
      <w:tr w:rsidR="00F65962" w14:paraId="7868C65E" w14:textId="77777777" w:rsidTr="004678DE">
        <w:trPr>
          <w:trHeight w:val="300"/>
        </w:trPr>
        <w:tc>
          <w:tcPr>
            <w:tcW w:w="7105" w:type="dxa"/>
          </w:tcPr>
          <w:p w14:paraId="674BFF4A" w14:textId="38731F6D" w:rsidR="00F65962" w:rsidRPr="000A78E6" w:rsidRDefault="00F65962" w:rsidP="00F65962">
            <w:pPr>
              <w:rPr>
                <w:rFonts w:eastAsiaTheme="minorEastAsia"/>
              </w:rPr>
            </w:pPr>
            <w:r>
              <w:rPr>
                <w:rFonts w:eastAsiaTheme="minorEastAsia"/>
              </w:rPr>
              <w:t>Data collection for Q2 employment complete</w:t>
            </w:r>
          </w:p>
        </w:tc>
        <w:tc>
          <w:tcPr>
            <w:tcW w:w="2255" w:type="dxa"/>
            <w:vAlign w:val="center"/>
          </w:tcPr>
          <w:p w14:paraId="698D9A63" w14:textId="46313354" w:rsidR="00F65962" w:rsidRPr="000A78E6" w:rsidRDefault="00F65962" w:rsidP="00F65962">
            <w:pPr>
              <w:jc w:val="center"/>
              <w:rPr>
                <w:rStyle w:val="markedcontent"/>
                <w:rFonts w:eastAsiaTheme="minorEastAsia"/>
              </w:rPr>
            </w:pPr>
            <w:r>
              <w:rPr>
                <w:rStyle w:val="markedcontent"/>
                <w:rFonts w:eastAsiaTheme="minorEastAsia"/>
              </w:rPr>
              <w:t>June 2026</w:t>
            </w:r>
            <w:r w:rsidR="004678DE">
              <w:rPr>
                <w:rStyle w:val="markedcontent"/>
                <w:rFonts w:eastAsiaTheme="minorEastAsia"/>
                <w:vertAlign w:val="superscript"/>
              </w:rPr>
              <w:t>a</w:t>
            </w:r>
          </w:p>
        </w:tc>
      </w:tr>
      <w:tr w:rsidR="00F65962" w14:paraId="32664FF7" w14:textId="77777777" w:rsidTr="004678DE">
        <w:trPr>
          <w:trHeight w:val="300"/>
        </w:trPr>
        <w:tc>
          <w:tcPr>
            <w:tcW w:w="7105" w:type="dxa"/>
          </w:tcPr>
          <w:p w14:paraId="1B3D2164" w14:textId="0DF3B304" w:rsidR="00F65962" w:rsidRDefault="004678DE" w:rsidP="00F65962">
            <w:pPr>
              <w:rPr>
                <w:rFonts w:eastAsiaTheme="minorEastAsia"/>
              </w:rPr>
            </w:pPr>
            <w:r>
              <w:rPr>
                <w:rFonts w:eastAsiaTheme="minorEastAsia"/>
              </w:rPr>
              <w:t>Data analysis begins for the second impact evaluation report</w:t>
            </w:r>
          </w:p>
        </w:tc>
        <w:tc>
          <w:tcPr>
            <w:tcW w:w="2255" w:type="dxa"/>
            <w:vAlign w:val="center"/>
          </w:tcPr>
          <w:p w14:paraId="7E4449F7" w14:textId="0E7DF104" w:rsidR="00F65962" w:rsidRDefault="004678DE" w:rsidP="00F65962">
            <w:pPr>
              <w:jc w:val="center"/>
              <w:rPr>
                <w:rStyle w:val="markedcontent"/>
                <w:rFonts w:eastAsiaTheme="minorEastAsia"/>
              </w:rPr>
            </w:pPr>
            <w:r>
              <w:rPr>
                <w:rStyle w:val="markedcontent"/>
                <w:rFonts w:eastAsiaTheme="minorEastAsia"/>
              </w:rPr>
              <w:t>July 2026</w:t>
            </w:r>
            <w:r>
              <w:rPr>
                <w:rStyle w:val="markedcontent"/>
                <w:rFonts w:eastAsiaTheme="minorEastAsia"/>
                <w:vertAlign w:val="superscript"/>
              </w:rPr>
              <w:t>a</w:t>
            </w:r>
          </w:p>
        </w:tc>
      </w:tr>
      <w:tr w:rsidR="00F65962" w14:paraId="7ACFFAD1" w14:textId="77777777" w:rsidTr="004678DE">
        <w:trPr>
          <w:trHeight w:val="300"/>
        </w:trPr>
        <w:tc>
          <w:tcPr>
            <w:tcW w:w="7105" w:type="dxa"/>
          </w:tcPr>
          <w:p w14:paraId="2A0D9EA5" w14:textId="736D6872" w:rsidR="00F65962" w:rsidRPr="002352C7" w:rsidRDefault="004678DE" w:rsidP="00F65962">
            <w:pPr>
              <w:rPr>
                <w:rFonts w:eastAsiaTheme="minorEastAsia"/>
              </w:rPr>
            </w:pPr>
            <w:r>
              <w:rPr>
                <w:rFonts w:eastAsiaTheme="minorEastAsia"/>
              </w:rPr>
              <w:t xml:space="preserve">Second impact evaluation report drafted testing impact of RESEA on primary and secondary outcomes and impact heterogeneity using full sample </w:t>
            </w:r>
          </w:p>
        </w:tc>
        <w:tc>
          <w:tcPr>
            <w:tcW w:w="2255" w:type="dxa"/>
            <w:vAlign w:val="center"/>
          </w:tcPr>
          <w:p w14:paraId="678BD750" w14:textId="79137D00" w:rsidR="00F65962" w:rsidRDefault="004678DE" w:rsidP="00F65962">
            <w:pPr>
              <w:jc w:val="center"/>
              <w:rPr>
                <w:rFonts w:eastAsiaTheme="minorEastAsia"/>
              </w:rPr>
            </w:pPr>
            <w:r>
              <w:rPr>
                <w:rFonts w:eastAsiaTheme="minorEastAsia"/>
              </w:rPr>
              <w:t>Nov 2026</w:t>
            </w:r>
            <w:r>
              <w:rPr>
                <w:rStyle w:val="markedcontent"/>
                <w:rFonts w:eastAsiaTheme="minorEastAsia"/>
                <w:vertAlign w:val="superscript"/>
              </w:rPr>
              <w:t>a</w:t>
            </w:r>
          </w:p>
        </w:tc>
      </w:tr>
      <w:tr w:rsidR="00F65962" w14:paraId="2742DED5" w14:textId="77777777" w:rsidTr="004678DE">
        <w:trPr>
          <w:trHeight w:val="300"/>
        </w:trPr>
        <w:tc>
          <w:tcPr>
            <w:tcW w:w="7105" w:type="dxa"/>
          </w:tcPr>
          <w:p w14:paraId="6004FEA0" w14:textId="73511132" w:rsidR="00F65962" w:rsidRDefault="00F65962" w:rsidP="00F65962">
            <w:pPr>
              <w:rPr>
                <w:rFonts w:eastAsiaTheme="minorEastAsia"/>
              </w:rPr>
            </w:pPr>
            <w:bookmarkStart w:id="7" w:name="_GoBack"/>
            <w:bookmarkEnd w:id="7"/>
            <w:r w:rsidRPr="558445E7">
              <w:rPr>
                <w:rFonts w:eastAsiaTheme="minorEastAsia"/>
              </w:rPr>
              <w:t>Final RCT Impact Evaluation Report</w:t>
            </w:r>
          </w:p>
          <w:p w14:paraId="00D29A8F" w14:textId="30321D2F" w:rsidR="00F65962" w:rsidRDefault="00F65962" w:rsidP="00F65962">
            <w:pPr>
              <w:rPr>
                <w:rFonts w:eastAsiaTheme="minorEastAsia"/>
              </w:rPr>
            </w:pPr>
            <w:r w:rsidRPr="002352C7">
              <w:rPr>
                <w:rFonts w:eastAsiaTheme="minorEastAsia"/>
              </w:rPr>
              <w:t>Data Files and Working Documents Submission</w:t>
            </w:r>
          </w:p>
        </w:tc>
        <w:tc>
          <w:tcPr>
            <w:tcW w:w="2255" w:type="dxa"/>
            <w:vAlign w:val="center"/>
          </w:tcPr>
          <w:p w14:paraId="2115B76A" w14:textId="7D3AD263" w:rsidR="00F65962" w:rsidRDefault="004678DE" w:rsidP="00F65962">
            <w:pPr>
              <w:jc w:val="center"/>
              <w:rPr>
                <w:rFonts w:eastAsiaTheme="minorEastAsia"/>
              </w:rPr>
            </w:pPr>
            <w:r>
              <w:rPr>
                <w:rFonts w:eastAsiaTheme="minorEastAsia"/>
              </w:rPr>
              <w:t>Jan</w:t>
            </w:r>
            <w:r w:rsidR="00F65962" w:rsidRPr="002352C7">
              <w:rPr>
                <w:rFonts w:eastAsiaTheme="minorEastAsia"/>
              </w:rPr>
              <w:t xml:space="preserve"> 202</w:t>
            </w:r>
            <w:r w:rsidR="00F65962">
              <w:rPr>
                <w:rFonts w:eastAsiaTheme="minorEastAsia"/>
              </w:rPr>
              <w:t>7</w:t>
            </w:r>
            <w:r>
              <w:rPr>
                <w:rStyle w:val="markedcontent"/>
                <w:rFonts w:eastAsiaTheme="minorEastAsia"/>
                <w:vertAlign w:val="superscript"/>
              </w:rPr>
              <w:t>a</w:t>
            </w:r>
          </w:p>
        </w:tc>
      </w:tr>
      <w:tr w:rsidR="00F65962" w14:paraId="7598DD57" w14:textId="77777777" w:rsidTr="004678DE">
        <w:trPr>
          <w:trHeight w:val="300"/>
        </w:trPr>
        <w:tc>
          <w:tcPr>
            <w:tcW w:w="7105" w:type="dxa"/>
            <w:tcBorders>
              <w:bottom w:val="single" w:sz="4" w:space="0" w:color="auto"/>
            </w:tcBorders>
          </w:tcPr>
          <w:p w14:paraId="2521770A" w14:textId="519DFF0B" w:rsidR="00F65962" w:rsidRDefault="00F65962" w:rsidP="00F65962">
            <w:pPr>
              <w:rPr>
                <w:rFonts w:eastAsiaTheme="minorEastAsia"/>
              </w:rPr>
            </w:pPr>
            <w:r w:rsidRPr="002352C7">
              <w:rPr>
                <w:rFonts w:eastAsiaTheme="minorEastAsia"/>
              </w:rPr>
              <w:t>Final RCT Impact Evaluation submitted to CLEAR</w:t>
            </w:r>
          </w:p>
        </w:tc>
        <w:tc>
          <w:tcPr>
            <w:tcW w:w="2255" w:type="dxa"/>
            <w:tcBorders>
              <w:bottom w:val="single" w:sz="4" w:space="0" w:color="auto"/>
            </w:tcBorders>
            <w:vAlign w:val="center"/>
          </w:tcPr>
          <w:p w14:paraId="1C6C794A" w14:textId="0252E32B" w:rsidR="00F65962" w:rsidRDefault="004678DE" w:rsidP="00F65962">
            <w:pPr>
              <w:jc w:val="center"/>
              <w:rPr>
                <w:rFonts w:eastAsiaTheme="minorEastAsia"/>
              </w:rPr>
            </w:pPr>
            <w:r>
              <w:rPr>
                <w:rFonts w:eastAsiaTheme="minorEastAsia"/>
              </w:rPr>
              <w:t>Feb</w:t>
            </w:r>
            <w:r w:rsidR="00F65962" w:rsidRPr="23E095FF">
              <w:rPr>
                <w:rFonts w:eastAsiaTheme="minorEastAsia"/>
              </w:rPr>
              <w:t xml:space="preserve"> 202</w:t>
            </w:r>
            <w:r w:rsidR="00F65962">
              <w:rPr>
                <w:rFonts w:eastAsiaTheme="minorEastAsia"/>
              </w:rPr>
              <w:t>7</w:t>
            </w:r>
            <w:r>
              <w:rPr>
                <w:rStyle w:val="markedcontent"/>
                <w:rFonts w:eastAsiaTheme="minorEastAsia"/>
                <w:vertAlign w:val="superscript"/>
              </w:rPr>
              <w:t>a</w:t>
            </w:r>
          </w:p>
        </w:tc>
      </w:tr>
      <w:tr w:rsidR="0083335C" w14:paraId="592F0FAC" w14:textId="77777777" w:rsidTr="00987AE3">
        <w:trPr>
          <w:trHeight w:val="300"/>
        </w:trPr>
        <w:tc>
          <w:tcPr>
            <w:tcW w:w="9360" w:type="dxa"/>
            <w:gridSpan w:val="2"/>
            <w:tcBorders>
              <w:top w:val="single" w:sz="4" w:space="0" w:color="auto"/>
              <w:left w:val="nil"/>
              <w:bottom w:val="nil"/>
              <w:right w:val="nil"/>
            </w:tcBorders>
          </w:tcPr>
          <w:p w14:paraId="6D6BBC98" w14:textId="0A395CB5" w:rsidR="0083335C" w:rsidRDefault="0083335C" w:rsidP="0083335C">
            <w:pPr>
              <w:rPr>
                <w:rFonts w:eastAsiaTheme="minorEastAsia"/>
              </w:rPr>
            </w:pPr>
            <w:proofErr w:type="spellStart"/>
            <w:r>
              <w:rPr>
                <w:rStyle w:val="markedcontent"/>
                <w:rFonts w:eastAsiaTheme="minorEastAsia"/>
                <w:vertAlign w:val="superscript"/>
              </w:rPr>
              <w:t>a</w:t>
            </w:r>
            <w:proofErr w:type="spellEnd"/>
            <w:r>
              <w:rPr>
                <w:rStyle w:val="markedcontent"/>
                <w:rFonts w:eastAsiaTheme="minorEastAsia"/>
                <w:vertAlign w:val="superscript"/>
              </w:rPr>
              <w:t xml:space="preserve"> </w:t>
            </w:r>
            <w:proofErr w:type="gramStart"/>
            <w:r>
              <w:rPr>
                <w:rStyle w:val="markedcontent"/>
                <w:rFonts w:eastAsiaTheme="minorEastAsia"/>
              </w:rPr>
              <w:t>The</w:t>
            </w:r>
            <w:proofErr w:type="gramEnd"/>
            <w:r>
              <w:rPr>
                <w:rStyle w:val="markedcontent"/>
                <w:rFonts w:eastAsiaTheme="minorEastAsia"/>
              </w:rPr>
              <w:t xml:space="preserve"> timeline of activities and products is dependent on the timing of selection of claimants for the evaluation, with the depicted timing assuming completion of randomization phase by November 2025.  </w:t>
            </w:r>
          </w:p>
        </w:tc>
      </w:tr>
    </w:tbl>
    <w:p w14:paraId="07100C39" w14:textId="77777777" w:rsidR="00B2096B" w:rsidRDefault="00B2096B" w:rsidP="6D6866B0">
      <w:pPr>
        <w:spacing w:after="0" w:line="240" w:lineRule="auto"/>
        <w:jc w:val="center"/>
        <w:rPr>
          <w:rStyle w:val="markedcontent"/>
          <w:rFonts w:eastAsiaTheme="minorEastAsia"/>
          <w:b/>
          <w:bCs/>
        </w:rPr>
      </w:pPr>
    </w:p>
    <w:p w14:paraId="1C6814D3" w14:textId="77777777" w:rsidR="00A04D75" w:rsidRDefault="00A04D75">
      <w:pPr>
        <w:rPr>
          <w:rStyle w:val="markedcontent"/>
          <w:rFonts w:eastAsiaTheme="minorEastAsia"/>
          <w:b/>
          <w:bCs/>
        </w:rPr>
      </w:pPr>
      <w:r>
        <w:rPr>
          <w:rStyle w:val="markedcontent"/>
          <w:rFonts w:eastAsiaTheme="minorEastAsia"/>
          <w:b/>
          <w:bCs/>
        </w:rPr>
        <w:br w:type="page"/>
      </w:r>
    </w:p>
    <w:p w14:paraId="3C1D71A5" w14:textId="4C6D6929" w:rsidR="002352C7" w:rsidRDefault="6D6866B0" w:rsidP="009B5495">
      <w:pPr>
        <w:spacing w:after="0" w:line="240" w:lineRule="auto"/>
        <w:jc w:val="center"/>
        <w:rPr>
          <w:rStyle w:val="markedcontent"/>
          <w:rFonts w:eastAsiaTheme="minorEastAsia"/>
          <w:b/>
          <w:bCs/>
        </w:rPr>
      </w:pPr>
      <w:r w:rsidRPr="6D6866B0">
        <w:rPr>
          <w:rStyle w:val="markedcontent"/>
          <w:rFonts w:eastAsiaTheme="minorEastAsia"/>
          <w:b/>
          <w:bCs/>
        </w:rPr>
        <w:lastRenderedPageBreak/>
        <w:t>References</w:t>
      </w:r>
    </w:p>
    <w:p w14:paraId="463663E3" w14:textId="6842C914" w:rsidR="6D6866B0" w:rsidRDefault="6D6866B0" w:rsidP="009B5495">
      <w:pPr>
        <w:spacing w:after="0" w:line="240" w:lineRule="auto"/>
        <w:jc w:val="center"/>
        <w:rPr>
          <w:rStyle w:val="markedcontent"/>
          <w:rFonts w:eastAsiaTheme="minorEastAsia"/>
          <w:b/>
          <w:bCs/>
        </w:rPr>
      </w:pPr>
    </w:p>
    <w:p w14:paraId="162FCFDF" w14:textId="7FE2DA46" w:rsidR="00627841" w:rsidRDefault="00627841" w:rsidP="00627841">
      <w:pPr>
        <w:spacing w:after="0" w:line="240" w:lineRule="auto"/>
        <w:ind w:left="720" w:hanging="720"/>
        <w:rPr>
          <w:rFonts w:eastAsiaTheme="minorEastAsia"/>
        </w:rPr>
      </w:pPr>
      <w:proofErr w:type="spellStart"/>
      <w:r w:rsidRPr="00627841">
        <w:rPr>
          <w:rFonts w:eastAsiaTheme="minorEastAsia"/>
        </w:rPr>
        <w:t>Aguinis</w:t>
      </w:r>
      <w:proofErr w:type="spellEnd"/>
      <w:r w:rsidRPr="00627841">
        <w:rPr>
          <w:rFonts w:eastAsiaTheme="minorEastAsia"/>
        </w:rPr>
        <w:t xml:space="preserve">, H., </w:t>
      </w:r>
      <w:proofErr w:type="spellStart"/>
      <w:r w:rsidRPr="00627841">
        <w:rPr>
          <w:rFonts w:eastAsiaTheme="minorEastAsia"/>
        </w:rPr>
        <w:t>Beaty</w:t>
      </w:r>
      <w:proofErr w:type="spellEnd"/>
      <w:r w:rsidRPr="00627841">
        <w:rPr>
          <w:rFonts w:eastAsiaTheme="minorEastAsia"/>
        </w:rPr>
        <w:t xml:space="preserve">, J. C., </w:t>
      </w:r>
      <w:proofErr w:type="spellStart"/>
      <w:r w:rsidRPr="00627841">
        <w:rPr>
          <w:rFonts w:eastAsiaTheme="minorEastAsia"/>
        </w:rPr>
        <w:t>Boik</w:t>
      </w:r>
      <w:proofErr w:type="spellEnd"/>
      <w:r w:rsidRPr="00627841">
        <w:rPr>
          <w:rFonts w:eastAsiaTheme="minorEastAsia"/>
        </w:rPr>
        <w:t>, R. J., &amp; Pierce, C. A. (2005). Effect size and power in assessing moderating effects of categorical variables using multiple regression: a 30-year review. </w:t>
      </w:r>
      <w:r w:rsidRPr="00627841">
        <w:rPr>
          <w:rFonts w:eastAsiaTheme="minorEastAsia"/>
          <w:i/>
        </w:rPr>
        <w:t xml:space="preserve">Journal of </w:t>
      </w:r>
      <w:r>
        <w:rPr>
          <w:rFonts w:eastAsiaTheme="minorEastAsia"/>
          <w:i/>
        </w:rPr>
        <w:t>A</w:t>
      </w:r>
      <w:r w:rsidRPr="00627841">
        <w:rPr>
          <w:rFonts w:eastAsiaTheme="minorEastAsia"/>
          <w:i/>
        </w:rPr>
        <w:t xml:space="preserve">pplied </w:t>
      </w:r>
      <w:r>
        <w:rPr>
          <w:rFonts w:eastAsiaTheme="minorEastAsia"/>
          <w:i/>
        </w:rPr>
        <w:t>P</w:t>
      </w:r>
      <w:r w:rsidRPr="00627841">
        <w:rPr>
          <w:rFonts w:eastAsiaTheme="minorEastAsia"/>
          <w:i/>
        </w:rPr>
        <w:t>sychology</w:t>
      </w:r>
      <w:r w:rsidRPr="00627841">
        <w:rPr>
          <w:rFonts w:eastAsiaTheme="minorEastAsia"/>
        </w:rPr>
        <w:t>, 90(1), 94.</w:t>
      </w:r>
    </w:p>
    <w:p w14:paraId="3FCBAEC7" w14:textId="34BEC8F3" w:rsidR="1A77549A" w:rsidRDefault="1A77549A" w:rsidP="009B5495">
      <w:pPr>
        <w:spacing w:after="0" w:line="240" w:lineRule="auto"/>
        <w:rPr>
          <w:rFonts w:eastAsiaTheme="minorEastAsia"/>
          <w:i/>
          <w:iCs/>
        </w:rPr>
      </w:pPr>
      <w:proofErr w:type="spellStart"/>
      <w:r w:rsidRPr="1A77549A">
        <w:rPr>
          <w:rFonts w:eastAsiaTheme="minorEastAsia"/>
        </w:rPr>
        <w:t>Benus</w:t>
      </w:r>
      <w:proofErr w:type="spellEnd"/>
      <w:r w:rsidRPr="1A77549A">
        <w:rPr>
          <w:rFonts w:eastAsiaTheme="minorEastAsia"/>
        </w:rPr>
        <w:t xml:space="preserve">, J., Poe-Yamagata, E., Wang, Y., &amp; Blass, E. (2008). </w:t>
      </w:r>
      <w:r w:rsidRPr="1A77549A">
        <w:rPr>
          <w:rFonts w:eastAsiaTheme="minorEastAsia"/>
          <w:i/>
          <w:iCs/>
        </w:rPr>
        <w:t>Reemployment and eligibility assessment (REA)</w:t>
      </w:r>
    </w:p>
    <w:p w14:paraId="7C8EDE2F" w14:textId="70F68584" w:rsidR="1A77549A" w:rsidRDefault="1A77549A" w:rsidP="009B5495">
      <w:pPr>
        <w:spacing w:after="0" w:line="240" w:lineRule="auto"/>
        <w:ind w:firstLine="720"/>
        <w:rPr>
          <w:rFonts w:eastAsiaTheme="minorEastAsia"/>
        </w:rPr>
      </w:pPr>
      <w:r w:rsidRPr="1A77549A">
        <w:rPr>
          <w:rFonts w:eastAsiaTheme="minorEastAsia"/>
          <w:i/>
          <w:iCs/>
        </w:rPr>
        <w:t>study: FY 2005 initiative: Final report.</w:t>
      </w:r>
      <w:r w:rsidRPr="1A77549A">
        <w:rPr>
          <w:rFonts w:eastAsiaTheme="minorEastAsia"/>
        </w:rPr>
        <w:t xml:space="preserve"> IMPAQ International, LLC. </w:t>
      </w:r>
    </w:p>
    <w:p w14:paraId="5CFFFC8F" w14:textId="646A6E28" w:rsidR="1A77549A" w:rsidRDefault="00AD7D21" w:rsidP="009B5495">
      <w:pPr>
        <w:spacing w:after="0" w:line="240" w:lineRule="auto"/>
        <w:ind w:firstLine="720"/>
        <w:rPr>
          <w:rFonts w:eastAsiaTheme="minorEastAsia"/>
        </w:rPr>
      </w:pPr>
      <w:hyperlink r:id="rId13">
        <w:r w:rsidR="1A77549A" w:rsidRPr="1A77549A">
          <w:rPr>
            <w:rStyle w:val="Hyperlink"/>
            <w:rFonts w:eastAsiaTheme="minorEastAsia"/>
          </w:rPr>
          <w:t>https://wdr.doleta.gov/research/FullText_Documents/Reemployment%20and%20Eligibility%20</w:t>
        </w:r>
      </w:hyperlink>
      <w:r w:rsidR="1A77549A">
        <w:tab/>
      </w:r>
      <w:r w:rsidR="1A77549A" w:rsidRPr="1A77549A">
        <w:rPr>
          <w:rStyle w:val="Hyperlink"/>
          <w:rFonts w:eastAsiaTheme="minorEastAsia"/>
        </w:rPr>
        <w:t>Assessment%20(REA)%20Study%20Final%20Report%20March%202008.pdf</w:t>
      </w:r>
      <w:r w:rsidR="1A77549A">
        <w:tab/>
      </w:r>
      <w:r w:rsidR="1A77549A">
        <w:tab/>
      </w:r>
    </w:p>
    <w:p w14:paraId="447A1997" w14:textId="569A4866" w:rsidR="1A77549A" w:rsidRDefault="1A77549A" w:rsidP="009B5495">
      <w:pPr>
        <w:spacing w:after="0" w:line="240" w:lineRule="auto"/>
        <w:rPr>
          <w:rFonts w:eastAsiaTheme="minorEastAsia"/>
        </w:rPr>
      </w:pPr>
      <w:r w:rsidRPr="1A77549A">
        <w:rPr>
          <w:rFonts w:eastAsiaTheme="minorEastAsia"/>
        </w:rPr>
        <w:t xml:space="preserve">Blake, K. R., &amp; </w:t>
      </w:r>
      <w:proofErr w:type="spellStart"/>
      <w:r w:rsidRPr="1A77549A">
        <w:rPr>
          <w:rFonts w:eastAsiaTheme="minorEastAsia"/>
        </w:rPr>
        <w:t>Gangestad</w:t>
      </w:r>
      <w:proofErr w:type="spellEnd"/>
      <w:r w:rsidRPr="1A77549A">
        <w:rPr>
          <w:rFonts w:eastAsiaTheme="minorEastAsia"/>
        </w:rPr>
        <w:t xml:space="preserve">, S. (2020). On attenuated interactions, measurement error, and statistical </w:t>
      </w:r>
    </w:p>
    <w:p w14:paraId="3D4BDFC9" w14:textId="533E53D1" w:rsidR="1A77549A" w:rsidRDefault="1A77549A" w:rsidP="009B5495">
      <w:pPr>
        <w:spacing w:after="0" w:line="240" w:lineRule="auto"/>
        <w:ind w:firstLine="720"/>
        <w:rPr>
          <w:rFonts w:eastAsiaTheme="minorEastAsia"/>
        </w:rPr>
      </w:pPr>
      <w:r w:rsidRPr="1A77549A">
        <w:rPr>
          <w:rFonts w:eastAsiaTheme="minorEastAsia"/>
        </w:rPr>
        <w:t xml:space="preserve">power: Guidelines for social and personality psychologists. </w:t>
      </w:r>
      <w:r w:rsidRPr="1A77549A">
        <w:rPr>
          <w:rFonts w:eastAsiaTheme="minorEastAsia"/>
          <w:i/>
          <w:iCs/>
        </w:rPr>
        <w:t xml:space="preserve">Personality and Social Psychology </w:t>
      </w:r>
      <w:r>
        <w:tab/>
      </w:r>
      <w:r w:rsidRPr="1A77549A">
        <w:rPr>
          <w:rFonts w:eastAsiaTheme="minorEastAsia"/>
          <w:i/>
          <w:iCs/>
        </w:rPr>
        <w:t>Bulletin, 46</w:t>
      </w:r>
      <w:r w:rsidRPr="1A77549A">
        <w:rPr>
          <w:rFonts w:eastAsiaTheme="minorEastAsia"/>
        </w:rPr>
        <w:t xml:space="preserve">(12), 1702-1711. </w:t>
      </w:r>
    </w:p>
    <w:p w14:paraId="09EC719D" w14:textId="542DEB31" w:rsidR="1A77549A" w:rsidRDefault="1A77549A" w:rsidP="009B5495">
      <w:pPr>
        <w:spacing w:after="0" w:line="240" w:lineRule="auto"/>
        <w:rPr>
          <w:rFonts w:eastAsiaTheme="minorEastAsia"/>
        </w:rPr>
      </w:pPr>
      <w:proofErr w:type="spellStart"/>
      <w:r w:rsidRPr="1A77549A">
        <w:rPr>
          <w:rFonts w:eastAsiaTheme="minorEastAsia"/>
        </w:rPr>
        <w:t>Champoux</w:t>
      </w:r>
      <w:proofErr w:type="spellEnd"/>
      <w:r w:rsidRPr="1A77549A">
        <w:rPr>
          <w:rFonts w:eastAsiaTheme="minorEastAsia"/>
        </w:rPr>
        <w:t xml:space="preserve">, J. E., &amp; Peters, W. S. (1987). Form, effect size and power in moderated regression analysis. </w:t>
      </w:r>
    </w:p>
    <w:p w14:paraId="144423B5" w14:textId="0548A3B3" w:rsidR="1A77549A" w:rsidRDefault="1A77549A" w:rsidP="009B5495">
      <w:pPr>
        <w:spacing w:after="0" w:line="240" w:lineRule="auto"/>
        <w:ind w:firstLine="720"/>
        <w:rPr>
          <w:rFonts w:eastAsiaTheme="minorEastAsia"/>
        </w:rPr>
      </w:pPr>
      <w:r w:rsidRPr="1A77549A">
        <w:rPr>
          <w:rFonts w:eastAsiaTheme="minorEastAsia"/>
          <w:i/>
          <w:iCs/>
        </w:rPr>
        <w:t>Journal of Occupational Psychology, 60</w:t>
      </w:r>
      <w:r w:rsidRPr="1A77549A">
        <w:rPr>
          <w:rFonts w:eastAsiaTheme="minorEastAsia"/>
        </w:rPr>
        <w:t xml:space="preserve">(3), 243-255. </w:t>
      </w:r>
    </w:p>
    <w:p w14:paraId="4D4225CE" w14:textId="6059DF1E" w:rsidR="00331C50" w:rsidRDefault="00331C50" w:rsidP="009B5495">
      <w:pPr>
        <w:pStyle w:val="paragraph"/>
        <w:rPr>
          <w:rFonts w:ascii="Times New Roman" w:hAnsi="Times New Roman" w:cs="Times New Roman"/>
          <w:color w:val="000000"/>
          <w:sz w:val="24"/>
          <w:szCs w:val="24"/>
        </w:rPr>
      </w:pPr>
      <w:r>
        <w:rPr>
          <w:rStyle w:val="eop"/>
          <w:rFonts w:asciiTheme="minorHAnsi" w:hAnsiTheme="minorHAnsi" w:cstheme="minorHAnsi"/>
          <w:color w:val="000000"/>
        </w:rPr>
        <w:t xml:space="preserve">Clearinghouse for Labor Evaluation and Research. (2022). </w:t>
      </w:r>
      <w:r>
        <w:rPr>
          <w:rStyle w:val="eop"/>
          <w:rFonts w:asciiTheme="minorHAnsi" w:hAnsiTheme="minorHAnsi" w:cstheme="minorHAnsi"/>
          <w:i/>
          <w:iCs/>
          <w:color w:val="000000"/>
        </w:rPr>
        <w:t xml:space="preserve">CLEAR </w:t>
      </w:r>
      <w:r>
        <w:rPr>
          <w:rFonts w:asciiTheme="minorHAnsi" w:hAnsiTheme="minorHAnsi" w:cstheme="minorHAnsi"/>
          <w:i/>
          <w:iCs/>
          <w:color w:val="000000"/>
        </w:rPr>
        <w:t>causal evidence guidelines, version 2.2.</w:t>
      </w:r>
      <w:r w:rsidR="000272E0">
        <w:rPr>
          <w:rFonts w:asciiTheme="minorHAnsi" w:hAnsiTheme="minorHAnsi" w:cstheme="minorHAnsi"/>
          <w:color w:val="000000"/>
        </w:rPr>
        <w:t xml:space="preserve"> </w:t>
      </w:r>
    </w:p>
    <w:p w14:paraId="4EBCCEBC" w14:textId="65518C7A" w:rsidR="00331C50" w:rsidRPr="00331C50" w:rsidRDefault="00331C50" w:rsidP="009B5495">
      <w:pPr>
        <w:pStyle w:val="paragraph"/>
        <w:ind w:left="720"/>
        <w:rPr>
          <w:rFonts w:ascii="Times New Roman" w:hAnsi="Times New Roman" w:cs="Times New Roman"/>
          <w:color w:val="000000"/>
          <w:sz w:val="24"/>
          <w:szCs w:val="24"/>
        </w:rPr>
      </w:pPr>
      <w:r>
        <w:rPr>
          <w:rFonts w:asciiTheme="minorHAnsi" w:hAnsiTheme="minorHAnsi" w:cstheme="minorHAnsi"/>
          <w:color w:val="000000"/>
        </w:rPr>
        <w:t>U.S. Department of Labor.</w:t>
      </w:r>
      <w:r w:rsidR="000272E0">
        <w:rPr>
          <w:rFonts w:asciiTheme="minorHAnsi" w:hAnsiTheme="minorHAnsi" w:cstheme="minorHAnsi"/>
          <w:color w:val="000000"/>
        </w:rPr>
        <w:t xml:space="preserve"> </w:t>
      </w:r>
      <w:hyperlink r:id="rId14" w:history="1">
        <w:r w:rsidRPr="00C156E3">
          <w:rPr>
            <w:rStyle w:val="Hyperlink"/>
            <w:rFonts w:asciiTheme="minorHAnsi" w:hAnsiTheme="minorHAnsi" w:cstheme="minorHAnsi"/>
          </w:rPr>
          <w:t>https://clear.dol.gov/reference-documents/causal-evidence-guidelines</w:t>
        </w:r>
      </w:hyperlink>
      <w:r>
        <w:rPr>
          <w:rFonts w:asciiTheme="minorHAnsi" w:hAnsiTheme="minorHAnsi" w:cstheme="minorHAnsi"/>
          <w:color w:val="000000"/>
        </w:rPr>
        <w:t xml:space="preserve"> </w:t>
      </w:r>
    </w:p>
    <w:p w14:paraId="0E9D9890" w14:textId="59113413" w:rsidR="1A77549A" w:rsidRDefault="1A77549A" w:rsidP="009B5495">
      <w:pPr>
        <w:spacing w:after="0" w:line="240" w:lineRule="auto"/>
        <w:rPr>
          <w:rFonts w:eastAsiaTheme="minorEastAsia"/>
        </w:rPr>
      </w:pPr>
      <w:r w:rsidRPr="1A77549A">
        <w:rPr>
          <w:rFonts w:eastAsiaTheme="minorEastAsia"/>
        </w:rPr>
        <w:t xml:space="preserve">Cohen, J. (1988). </w:t>
      </w:r>
      <w:r w:rsidRPr="1A77549A">
        <w:rPr>
          <w:rFonts w:eastAsiaTheme="minorEastAsia"/>
          <w:i/>
          <w:iCs/>
        </w:rPr>
        <w:t>Statistical power analysis for the behavioral sciences</w:t>
      </w:r>
      <w:r w:rsidRPr="1A77549A">
        <w:rPr>
          <w:rFonts w:eastAsiaTheme="minorEastAsia"/>
        </w:rPr>
        <w:t xml:space="preserve"> (2nd ed.). New York: Erlbaum. </w:t>
      </w:r>
    </w:p>
    <w:p w14:paraId="0A47D59E" w14:textId="6CF9C7D1" w:rsidR="1A77549A" w:rsidRDefault="1A77549A" w:rsidP="009B5495">
      <w:pPr>
        <w:spacing w:after="0" w:line="240" w:lineRule="auto"/>
        <w:rPr>
          <w:rFonts w:eastAsiaTheme="minorEastAsia"/>
          <w:i/>
          <w:iCs/>
        </w:rPr>
      </w:pPr>
      <w:r w:rsidRPr="1A77549A">
        <w:rPr>
          <w:rFonts w:eastAsiaTheme="minorEastAsia"/>
        </w:rPr>
        <w:t xml:space="preserve">Employment and Training Administration (n.d.). </w:t>
      </w:r>
      <w:r w:rsidRPr="1A77549A">
        <w:rPr>
          <w:rFonts w:eastAsiaTheme="minorEastAsia"/>
          <w:i/>
          <w:iCs/>
        </w:rPr>
        <w:t xml:space="preserve">Reemployment services and eligibility assessment </w:t>
      </w:r>
    </w:p>
    <w:p w14:paraId="6244C5A1" w14:textId="4B8628E9" w:rsidR="1A77549A" w:rsidRDefault="1A77549A" w:rsidP="009B5495">
      <w:pPr>
        <w:spacing w:after="0" w:line="240" w:lineRule="auto"/>
        <w:ind w:firstLine="720"/>
        <w:rPr>
          <w:rFonts w:eastAsiaTheme="minorEastAsia"/>
        </w:rPr>
      </w:pPr>
      <w:r w:rsidRPr="1A77549A">
        <w:rPr>
          <w:rFonts w:eastAsiaTheme="minorEastAsia"/>
          <w:i/>
          <w:iCs/>
        </w:rPr>
        <w:t>grants (RESEA): Facilitating reemployment and increasing program integrity.</w:t>
      </w:r>
      <w:r w:rsidRPr="1A77549A">
        <w:rPr>
          <w:rFonts w:eastAsiaTheme="minorEastAsia"/>
        </w:rPr>
        <w:t xml:space="preserve"> U.S. Department of </w:t>
      </w:r>
      <w:r>
        <w:tab/>
      </w:r>
      <w:r w:rsidRPr="1A77549A">
        <w:rPr>
          <w:rFonts w:eastAsiaTheme="minorEastAsia"/>
        </w:rPr>
        <w:t xml:space="preserve">Labor. Retrieved July 22, 2023, from </w:t>
      </w:r>
      <w:hyperlink r:id="rId15" w:history="1">
        <w:r w:rsidR="00331C50" w:rsidRPr="00C156E3">
          <w:rPr>
            <w:rStyle w:val="Hyperlink"/>
            <w:rFonts w:eastAsiaTheme="minorEastAsia"/>
          </w:rPr>
          <w:t>https://www.dol.gov/agencies/eta/american-job-</w:t>
        </w:r>
      </w:hyperlink>
      <w:r>
        <w:tab/>
      </w:r>
      <w:r>
        <w:tab/>
      </w:r>
      <w:r w:rsidRPr="1A77549A">
        <w:rPr>
          <w:rStyle w:val="Hyperlink"/>
          <w:rFonts w:eastAsiaTheme="minorEastAsia"/>
        </w:rPr>
        <w:t>centers/RESEA</w:t>
      </w:r>
      <w:r w:rsidR="000272E0">
        <w:rPr>
          <w:rFonts w:eastAsiaTheme="minorEastAsia"/>
        </w:rPr>
        <w:t xml:space="preserve"> </w:t>
      </w:r>
    </w:p>
    <w:p w14:paraId="71BE56A8" w14:textId="4C5FEA6F" w:rsidR="1A77549A" w:rsidRDefault="1A77549A" w:rsidP="009B5495">
      <w:pPr>
        <w:spacing w:after="0" w:line="240" w:lineRule="auto"/>
        <w:rPr>
          <w:rFonts w:eastAsiaTheme="minorEastAsia"/>
          <w:i/>
          <w:iCs/>
        </w:rPr>
      </w:pPr>
      <w:r w:rsidRPr="1A77549A">
        <w:rPr>
          <w:rFonts w:eastAsiaTheme="minorEastAsia"/>
        </w:rPr>
        <w:t xml:space="preserve">Epstein, Z., </w:t>
      </w:r>
      <w:proofErr w:type="spellStart"/>
      <w:r w:rsidRPr="1A77549A">
        <w:rPr>
          <w:rFonts w:eastAsiaTheme="minorEastAsia"/>
        </w:rPr>
        <w:t>Klerman</w:t>
      </w:r>
      <w:proofErr w:type="spellEnd"/>
      <w:r w:rsidRPr="1A77549A">
        <w:rPr>
          <w:rFonts w:eastAsiaTheme="minorEastAsia"/>
        </w:rPr>
        <w:t xml:space="preserve">, J. A., </w:t>
      </w:r>
      <w:proofErr w:type="spellStart"/>
      <w:r w:rsidRPr="1A77549A">
        <w:rPr>
          <w:rFonts w:eastAsiaTheme="minorEastAsia"/>
        </w:rPr>
        <w:t>Clarkwest</w:t>
      </w:r>
      <w:proofErr w:type="spellEnd"/>
      <w:r w:rsidRPr="1A77549A">
        <w:rPr>
          <w:rFonts w:eastAsiaTheme="minorEastAsia"/>
        </w:rPr>
        <w:t xml:space="preserve">, A., &amp; Nightingale, D. (2022a). </w:t>
      </w:r>
      <w:r w:rsidRPr="1A77549A">
        <w:rPr>
          <w:rFonts w:eastAsiaTheme="minorEastAsia"/>
          <w:i/>
          <w:iCs/>
        </w:rPr>
        <w:t xml:space="preserve">RESEA state of the evidence briefs: </w:t>
      </w:r>
    </w:p>
    <w:p w14:paraId="7D7C8D95" w14:textId="57150437" w:rsidR="1A77549A" w:rsidRDefault="1A77549A" w:rsidP="009B5495">
      <w:pPr>
        <w:spacing w:after="0" w:line="240" w:lineRule="auto"/>
        <w:ind w:firstLine="720"/>
        <w:rPr>
          <w:rFonts w:eastAsiaTheme="minorEastAsia"/>
        </w:rPr>
      </w:pPr>
      <w:r w:rsidRPr="1A77549A">
        <w:rPr>
          <w:rFonts w:eastAsiaTheme="minorEastAsia"/>
          <w:i/>
          <w:iCs/>
        </w:rPr>
        <w:t>Selecting claimants and meeting attendance</w:t>
      </w:r>
      <w:r w:rsidRPr="1A77549A">
        <w:rPr>
          <w:rFonts w:eastAsiaTheme="minorEastAsia"/>
        </w:rPr>
        <w:t xml:space="preserve"> (Issue Brief No. 1). </w:t>
      </w:r>
      <w:proofErr w:type="spellStart"/>
      <w:r w:rsidRPr="1A77549A">
        <w:rPr>
          <w:rFonts w:eastAsiaTheme="minorEastAsia"/>
        </w:rPr>
        <w:t>Abt</w:t>
      </w:r>
      <w:proofErr w:type="spellEnd"/>
      <w:r w:rsidRPr="1A77549A">
        <w:rPr>
          <w:rFonts w:eastAsiaTheme="minorEastAsia"/>
        </w:rPr>
        <w:t xml:space="preserve"> Associates.</w:t>
      </w:r>
    </w:p>
    <w:p w14:paraId="5E54D9C2" w14:textId="407AD939" w:rsidR="1A77549A" w:rsidRDefault="00AD7D21" w:rsidP="009B5495">
      <w:pPr>
        <w:spacing w:after="0" w:line="240" w:lineRule="auto"/>
        <w:ind w:firstLine="720"/>
        <w:rPr>
          <w:rFonts w:eastAsiaTheme="minorEastAsia"/>
        </w:rPr>
      </w:pPr>
      <w:hyperlink r:id="rId16">
        <w:r w:rsidR="1A77549A" w:rsidRPr="1A77549A">
          <w:rPr>
            <w:rStyle w:val="Hyperlink"/>
            <w:rFonts w:eastAsiaTheme="minorEastAsia"/>
          </w:rPr>
          <w:t>https://www.dol.gov/sites/dolgov/files/OASP/evaluation/pdf/resea/Brief%201_Reemployment</w:t>
        </w:r>
      </w:hyperlink>
      <w:r w:rsidR="1A77549A">
        <w:tab/>
      </w:r>
      <w:r w:rsidR="1A77549A" w:rsidRPr="1A77549A">
        <w:rPr>
          <w:rStyle w:val="Hyperlink"/>
          <w:rFonts w:eastAsiaTheme="minorEastAsia"/>
        </w:rPr>
        <w:t>_Services_Evidence_final_508c.pdf</w:t>
      </w:r>
      <w:r w:rsidR="000272E0">
        <w:rPr>
          <w:rFonts w:eastAsiaTheme="minorEastAsia"/>
        </w:rPr>
        <w:t xml:space="preserve"> </w:t>
      </w:r>
      <w:r w:rsidR="1A77549A" w:rsidRPr="1A77549A">
        <w:rPr>
          <w:rFonts w:eastAsiaTheme="minorEastAsia"/>
        </w:rPr>
        <w:t xml:space="preserve"> </w:t>
      </w:r>
      <w:r w:rsidR="1A77549A">
        <w:tab/>
      </w:r>
      <w:r w:rsidR="1A77549A">
        <w:tab/>
      </w:r>
    </w:p>
    <w:p w14:paraId="7C6FEB58" w14:textId="1BEF88A2" w:rsidR="1A77549A" w:rsidRDefault="1A77549A" w:rsidP="009B5495">
      <w:pPr>
        <w:spacing w:after="0" w:line="240" w:lineRule="auto"/>
        <w:rPr>
          <w:rFonts w:eastAsiaTheme="minorEastAsia"/>
          <w:i/>
          <w:iCs/>
        </w:rPr>
      </w:pPr>
      <w:r w:rsidRPr="1A77549A">
        <w:rPr>
          <w:rFonts w:eastAsiaTheme="minorEastAsia"/>
        </w:rPr>
        <w:t xml:space="preserve">Epstein, Z., </w:t>
      </w:r>
      <w:proofErr w:type="spellStart"/>
      <w:r w:rsidRPr="1A77549A">
        <w:rPr>
          <w:rFonts w:eastAsiaTheme="minorEastAsia"/>
        </w:rPr>
        <w:t>Klerman</w:t>
      </w:r>
      <w:proofErr w:type="spellEnd"/>
      <w:r w:rsidRPr="1A77549A">
        <w:rPr>
          <w:rFonts w:eastAsiaTheme="minorEastAsia"/>
        </w:rPr>
        <w:t xml:space="preserve">, J. A., </w:t>
      </w:r>
      <w:proofErr w:type="spellStart"/>
      <w:r w:rsidRPr="1A77549A">
        <w:rPr>
          <w:rFonts w:eastAsiaTheme="minorEastAsia"/>
        </w:rPr>
        <w:t>Clarkwest</w:t>
      </w:r>
      <w:proofErr w:type="spellEnd"/>
      <w:r w:rsidRPr="1A77549A">
        <w:rPr>
          <w:rFonts w:eastAsiaTheme="minorEastAsia"/>
        </w:rPr>
        <w:t xml:space="preserve">, A., &amp; Nightingale, D. (2022b). </w:t>
      </w:r>
      <w:r w:rsidRPr="1A77549A">
        <w:rPr>
          <w:rFonts w:eastAsiaTheme="minorEastAsia"/>
          <w:i/>
          <w:iCs/>
        </w:rPr>
        <w:t xml:space="preserve">RESEA state of the evidence briefs: </w:t>
      </w:r>
    </w:p>
    <w:p w14:paraId="6A808C01" w14:textId="4E494CDD" w:rsidR="1A77549A" w:rsidRDefault="1A77549A" w:rsidP="009B5495">
      <w:pPr>
        <w:spacing w:after="0" w:line="240" w:lineRule="auto"/>
        <w:rPr>
          <w:rFonts w:eastAsiaTheme="minorEastAsia"/>
        </w:rPr>
      </w:pPr>
      <w:r w:rsidRPr="1A77549A">
        <w:rPr>
          <w:rFonts w:eastAsiaTheme="minorEastAsia"/>
          <w:i/>
          <w:iCs/>
        </w:rPr>
        <w:t>Basic career services</w:t>
      </w:r>
      <w:r w:rsidRPr="1A77549A">
        <w:rPr>
          <w:rFonts w:eastAsiaTheme="minorEastAsia"/>
        </w:rPr>
        <w:t xml:space="preserve"> (Issue Brief No. 2). </w:t>
      </w:r>
      <w:proofErr w:type="spellStart"/>
      <w:r w:rsidRPr="1A77549A">
        <w:rPr>
          <w:rFonts w:eastAsiaTheme="minorEastAsia"/>
        </w:rPr>
        <w:t>Abt</w:t>
      </w:r>
      <w:proofErr w:type="spellEnd"/>
      <w:r w:rsidRPr="1A77549A">
        <w:rPr>
          <w:rFonts w:eastAsiaTheme="minorEastAsia"/>
        </w:rPr>
        <w:t xml:space="preserve"> Associates. </w:t>
      </w:r>
      <w:r>
        <w:tab/>
      </w:r>
      <w:r>
        <w:tab/>
      </w:r>
    </w:p>
    <w:p w14:paraId="61FFCFAC" w14:textId="569116BD" w:rsidR="1A77549A" w:rsidRDefault="00AD7D21" w:rsidP="009B5495">
      <w:pPr>
        <w:spacing w:after="0" w:line="240" w:lineRule="auto"/>
        <w:ind w:firstLine="720"/>
        <w:rPr>
          <w:rFonts w:eastAsiaTheme="minorEastAsia"/>
        </w:rPr>
      </w:pPr>
      <w:hyperlink r:id="rId17">
        <w:r w:rsidR="1A77549A" w:rsidRPr="1A77549A">
          <w:rPr>
            <w:rStyle w:val="Hyperlink"/>
            <w:rFonts w:eastAsiaTheme="minorEastAsia"/>
          </w:rPr>
          <w:t>https://www.dol.gov/sites/dolgov/files/OASP/evaluation/pdf/resea/Brief%202_Reemployment</w:t>
        </w:r>
      </w:hyperlink>
      <w:r w:rsidR="1A77549A">
        <w:tab/>
      </w:r>
      <w:r w:rsidR="1A77549A" w:rsidRPr="1A77549A">
        <w:rPr>
          <w:rStyle w:val="Hyperlink"/>
          <w:rFonts w:eastAsiaTheme="minorEastAsia"/>
        </w:rPr>
        <w:t>_Services_Evidence_final_508c.pdf</w:t>
      </w:r>
      <w:r w:rsidR="000272E0">
        <w:rPr>
          <w:rFonts w:eastAsiaTheme="minorEastAsia"/>
        </w:rPr>
        <w:t xml:space="preserve"> </w:t>
      </w:r>
    </w:p>
    <w:p w14:paraId="4AC1E619" w14:textId="18405A15" w:rsidR="1A77549A" w:rsidRDefault="1A77549A" w:rsidP="009B5495">
      <w:pPr>
        <w:spacing w:after="0" w:line="240" w:lineRule="auto"/>
        <w:rPr>
          <w:rFonts w:eastAsiaTheme="minorEastAsia"/>
        </w:rPr>
      </w:pPr>
      <w:r w:rsidRPr="1A77549A">
        <w:rPr>
          <w:rFonts w:eastAsiaTheme="minorEastAsia"/>
        </w:rPr>
        <w:t>Federal Policy for the Protection of Human Subjects, 45 C.F.R. §46.104 (2018).</w:t>
      </w:r>
      <w:r w:rsidR="000272E0">
        <w:rPr>
          <w:rFonts w:eastAsiaTheme="minorEastAsia"/>
        </w:rPr>
        <w:t xml:space="preserve"> </w:t>
      </w:r>
    </w:p>
    <w:p w14:paraId="5B51B631" w14:textId="00F52EF6" w:rsidR="1A77549A" w:rsidRDefault="00AD7D21" w:rsidP="009B5495">
      <w:pPr>
        <w:spacing w:after="0" w:line="240" w:lineRule="auto"/>
        <w:ind w:firstLine="720"/>
        <w:rPr>
          <w:rFonts w:eastAsiaTheme="minorEastAsia"/>
        </w:rPr>
      </w:pPr>
      <w:hyperlink r:id="rId18">
        <w:r w:rsidR="1A77549A" w:rsidRPr="1A77549A">
          <w:rPr>
            <w:rStyle w:val="Hyperlink"/>
            <w:rFonts w:eastAsiaTheme="minorEastAsia"/>
          </w:rPr>
          <w:t>https://www.ecfr.gov/current/title-45/subtitle-A/subchapter-A/part-46</w:t>
        </w:r>
      </w:hyperlink>
      <w:r w:rsidR="000272E0">
        <w:rPr>
          <w:rFonts w:eastAsiaTheme="minorEastAsia"/>
        </w:rPr>
        <w:t xml:space="preserve"> </w:t>
      </w:r>
    </w:p>
    <w:p w14:paraId="009EC47F" w14:textId="0B258089" w:rsidR="1A77549A" w:rsidRDefault="1A77549A" w:rsidP="009B5495">
      <w:pPr>
        <w:spacing w:after="0" w:line="240" w:lineRule="auto"/>
        <w:rPr>
          <w:rStyle w:val="markedcontent"/>
          <w:rFonts w:eastAsiaTheme="minorEastAsia"/>
        </w:rPr>
      </w:pPr>
      <w:r w:rsidRPr="1A77549A">
        <w:rPr>
          <w:rFonts w:eastAsiaTheme="minorEastAsia"/>
        </w:rPr>
        <w:t xml:space="preserve">Kenny, D. A. (2023). </w:t>
      </w:r>
      <w:r w:rsidRPr="1A77549A">
        <w:rPr>
          <w:rFonts w:eastAsiaTheme="minorEastAsia"/>
          <w:i/>
          <w:iCs/>
        </w:rPr>
        <w:t>Mediation.</w:t>
      </w:r>
      <w:r w:rsidRPr="1A77549A">
        <w:rPr>
          <w:rFonts w:eastAsiaTheme="minorEastAsia"/>
        </w:rPr>
        <w:t xml:space="preserve"> Retrieved July </w:t>
      </w:r>
      <w:r w:rsidRPr="1A77549A">
        <w:rPr>
          <w:rStyle w:val="markedcontent"/>
          <w:rFonts w:eastAsiaTheme="minorEastAsia"/>
        </w:rPr>
        <w:t>20, 2023, from</w:t>
      </w:r>
    </w:p>
    <w:p w14:paraId="615AE38C" w14:textId="1BFB920C" w:rsidR="1A77549A" w:rsidRDefault="00AD7D21" w:rsidP="009B5495">
      <w:pPr>
        <w:spacing w:after="0" w:line="240" w:lineRule="auto"/>
        <w:ind w:firstLine="720"/>
        <w:rPr>
          <w:rFonts w:eastAsiaTheme="minorEastAsia"/>
        </w:rPr>
      </w:pPr>
      <w:hyperlink r:id="rId19" w:anchor="DI">
        <w:r w:rsidR="1A77549A" w:rsidRPr="1A77549A">
          <w:rPr>
            <w:rStyle w:val="Hyperlink"/>
            <w:rFonts w:eastAsiaTheme="minorEastAsia"/>
          </w:rPr>
          <w:t>https://davidakenny.net/cm/mediate.htm#DI</w:t>
        </w:r>
      </w:hyperlink>
    </w:p>
    <w:p w14:paraId="4339FFC4" w14:textId="59C0F14B" w:rsidR="1A77549A" w:rsidRDefault="1A77549A" w:rsidP="009B5495">
      <w:pPr>
        <w:spacing w:after="0" w:line="240" w:lineRule="auto"/>
        <w:rPr>
          <w:rFonts w:eastAsiaTheme="minorEastAsia"/>
          <w:i/>
          <w:iCs/>
        </w:rPr>
      </w:pPr>
      <w:proofErr w:type="spellStart"/>
      <w:r w:rsidRPr="1A77549A">
        <w:rPr>
          <w:rFonts w:eastAsiaTheme="minorEastAsia"/>
        </w:rPr>
        <w:t>Klerman</w:t>
      </w:r>
      <w:proofErr w:type="spellEnd"/>
      <w:r w:rsidRPr="1A77549A">
        <w:rPr>
          <w:rFonts w:eastAsiaTheme="minorEastAsia"/>
        </w:rPr>
        <w:t xml:space="preserve">, J. A., Nightingale, D., </w:t>
      </w:r>
      <w:proofErr w:type="spellStart"/>
      <w:r w:rsidRPr="1A77549A">
        <w:rPr>
          <w:rFonts w:eastAsiaTheme="minorEastAsia"/>
        </w:rPr>
        <w:t>Clarkwest</w:t>
      </w:r>
      <w:proofErr w:type="spellEnd"/>
      <w:r w:rsidRPr="1A77549A">
        <w:rPr>
          <w:rFonts w:eastAsiaTheme="minorEastAsia"/>
        </w:rPr>
        <w:t xml:space="preserve">, A., &amp; Epstein, Z. (2022). </w:t>
      </w:r>
      <w:r w:rsidRPr="1A77549A">
        <w:rPr>
          <w:rFonts w:eastAsiaTheme="minorEastAsia"/>
          <w:i/>
          <w:iCs/>
        </w:rPr>
        <w:t xml:space="preserve">Options for building evidence on </w:t>
      </w:r>
    </w:p>
    <w:p w14:paraId="4065AD6A" w14:textId="0BD29E1F" w:rsidR="1A77549A" w:rsidRDefault="1A77549A" w:rsidP="009B5495">
      <w:pPr>
        <w:spacing w:after="0" w:line="240" w:lineRule="auto"/>
        <w:ind w:firstLine="720"/>
        <w:rPr>
          <w:rFonts w:eastAsiaTheme="minorEastAsia"/>
        </w:rPr>
      </w:pPr>
      <w:r w:rsidRPr="1A77549A">
        <w:rPr>
          <w:rFonts w:eastAsiaTheme="minorEastAsia"/>
          <w:i/>
          <w:iCs/>
        </w:rPr>
        <w:t>RESEA programs: Evaluation to advance RESEA program evidence.</w:t>
      </w:r>
      <w:r w:rsidRPr="1A77549A">
        <w:rPr>
          <w:rFonts w:eastAsiaTheme="minorEastAsia"/>
        </w:rPr>
        <w:t xml:space="preserve"> </w:t>
      </w:r>
      <w:proofErr w:type="spellStart"/>
      <w:r w:rsidRPr="1A77549A">
        <w:rPr>
          <w:rFonts w:eastAsiaTheme="minorEastAsia"/>
        </w:rPr>
        <w:t>Abt</w:t>
      </w:r>
      <w:proofErr w:type="spellEnd"/>
      <w:r w:rsidRPr="1A77549A">
        <w:rPr>
          <w:rFonts w:eastAsiaTheme="minorEastAsia"/>
        </w:rPr>
        <w:t xml:space="preserve"> Associates. </w:t>
      </w:r>
      <w:r>
        <w:tab/>
      </w:r>
    </w:p>
    <w:p w14:paraId="11CAA916" w14:textId="6E0E123E" w:rsidR="1A77549A" w:rsidRDefault="00AD7D21" w:rsidP="009B5495">
      <w:pPr>
        <w:spacing w:after="0" w:line="240" w:lineRule="auto"/>
        <w:ind w:firstLine="720"/>
        <w:rPr>
          <w:rFonts w:eastAsiaTheme="minorEastAsia"/>
        </w:rPr>
      </w:pPr>
      <w:hyperlink r:id="rId20">
        <w:r w:rsidR="1A77549A" w:rsidRPr="1A77549A">
          <w:rPr>
            <w:rStyle w:val="Hyperlink"/>
            <w:rFonts w:eastAsiaTheme="minorEastAsia"/>
          </w:rPr>
          <w:t>https://www.dol.gov/sites/dolgov/files/OASP/evaluation/pdf/resea/Options_for_Building_Evide</w:t>
        </w:r>
      </w:hyperlink>
      <w:r w:rsidR="1A77549A">
        <w:tab/>
      </w:r>
      <w:r w:rsidR="1A77549A" w:rsidRPr="1A77549A">
        <w:rPr>
          <w:rStyle w:val="Hyperlink"/>
          <w:rFonts w:eastAsiaTheme="minorEastAsia"/>
        </w:rPr>
        <w:t>nce_on_RESEA_Programs_final_508c.pdf</w:t>
      </w:r>
      <w:r w:rsidR="000272E0">
        <w:rPr>
          <w:rFonts w:eastAsiaTheme="minorEastAsia"/>
        </w:rPr>
        <w:t xml:space="preserve"> </w:t>
      </w:r>
    </w:p>
    <w:p w14:paraId="2DAF5D39" w14:textId="5A0741B9" w:rsidR="1A77549A" w:rsidRDefault="1A77549A" w:rsidP="009B5495">
      <w:pPr>
        <w:spacing w:after="0" w:line="240" w:lineRule="auto"/>
        <w:rPr>
          <w:rFonts w:eastAsiaTheme="minorEastAsia"/>
        </w:rPr>
      </w:pPr>
      <w:proofErr w:type="spellStart"/>
      <w:r w:rsidRPr="1A77549A">
        <w:rPr>
          <w:rFonts w:eastAsiaTheme="minorEastAsia"/>
        </w:rPr>
        <w:t>Klerman</w:t>
      </w:r>
      <w:proofErr w:type="spellEnd"/>
      <w:r w:rsidRPr="1A77549A">
        <w:rPr>
          <w:rFonts w:eastAsiaTheme="minorEastAsia"/>
        </w:rPr>
        <w:t xml:space="preserve">, J. A., Saunders, C., </w:t>
      </w:r>
      <w:proofErr w:type="spellStart"/>
      <w:r w:rsidRPr="1A77549A">
        <w:rPr>
          <w:rFonts w:eastAsiaTheme="minorEastAsia"/>
        </w:rPr>
        <w:t>Dastrup</w:t>
      </w:r>
      <w:proofErr w:type="spellEnd"/>
      <w:r w:rsidRPr="1A77549A">
        <w:rPr>
          <w:rFonts w:eastAsiaTheme="minorEastAsia"/>
        </w:rPr>
        <w:t xml:space="preserve">, E., Epstein, Z., Walton, D., Adam, T., &amp; </w:t>
      </w:r>
      <w:proofErr w:type="spellStart"/>
      <w:r w:rsidRPr="1A77549A">
        <w:rPr>
          <w:rFonts w:eastAsiaTheme="minorEastAsia"/>
        </w:rPr>
        <w:t>Barnow</w:t>
      </w:r>
      <w:proofErr w:type="spellEnd"/>
      <w:r w:rsidRPr="1A77549A">
        <w:rPr>
          <w:rFonts w:eastAsiaTheme="minorEastAsia"/>
        </w:rPr>
        <w:t xml:space="preserve">, B. S. (2019). </w:t>
      </w:r>
    </w:p>
    <w:p w14:paraId="55E946D4" w14:textId="3FC716BF" w:rsidR="1A77549A" w:rsidRDefault="1A77549A" w:rsidP="009B5495">
      <w:pPr>
        <w:spacing w:after="0" w:line="240" w:lineRule="auto"/>
        <w:ind w:firstLine="720"/>
        <w:rPr>
          <w:rFonts w:eastAsiaTheme="minorEastAsia"/>
          <w:i/>
          <w:iCs/>
        </w:rPr>
      </w:pPr>
      <w:r w:rsidRPr="1A77549A">
        <w:rPr>
          <w:rFonts w:eastAsiaTheme="minorEastAsia"/>
          <w:i/>
          <w:iCs/>
        </w:rPr>
        <w:t xml:space="preserve">Evaluation of impacts of the Reemployment and Eligibility Assessment (REA) </w:t>
      </w:r>
    </w:p>
    <w:p w14:paraId="3CD9B657" w14:textId="0D879EE8" w:rsidR="1A77549A" w:rsidRDefault="1A77549A" w:rsidP="009B5495">
      <w:pPr>
        <w:spacing w:after="0" w:line="240" w:lineRule="auto"/>
        <w:ind w:firstLine="720"/>
        <w:rPr>
          <w:rFonts w:eastAsiaTheme="minorEastAsia"/>
        </w:rPr>
      </w:pPr>
      <w:r w:rsidRPr="1A77549A">
        <w:rPr>
          <w:rFonts w:eastAsiaTheme="minorEastAsia"/>
          <w:i/>
          <w:iCs/>
        </w:rPr>
        <w:t>Program: Final report.</w:t>
      </w:r>
      <w:r w:rsidRPr="1A77549A">
        <w:rPr>
          <w:rFonts w:eastAsiaTheme="minorEastAsia"/>
        </w:rPr>
        <w:t xml:space="preserve"> </w:t>
      </w:r>
      <w:proofErr w:type="spellStart"/>
      <w:r w:rsidRPr="1A77549A">
        <w:rPr>
          <w:rFonts w:eastAsiaTheme="minorEastAsia"/>
        </w:rPr>
        <w:t>Abt</w:t>
      </w:r>
      <w:proofErr w:type="spellEnd"/>
      <w:r w:rsidRPr="1A77549A">
        <w:rPr>
          <w:rFonts w:eastAsiaTheme="minorEastAsia"/>
        </w:rPr>
        <w:t xml:space="preserve"> Associates. </w:t>
      </w:r>
      <w:r>
        <w:tab/>
      </w:r>
    </w:p>
    <w:p w14:paraId="0B430F5B" w14:textId="7826FCD5" w:rsidR="1A77549A" w:rsidRDefault="00AD7D21" w:rsidP="009B5495">
      <w:pPr>
        <w:spacing w:after="0" w:line="240" w:lineRule="auto"/>
        <w:ind w:firstLine="720"/>
        <w:rPr>
          <w:rFonts w:eastAsiaTheme="minorEastAsia"/>
        </w:rPr>
      </w:pPr>
      <w:hyperlink r:id="rId21">
        <w:r w:rsidR="1A77549A" w:rsidRPr="1A77549A">
          <w:rPr>
            <w:rStyle w:val="Hyperlink"/>
            <w:rFonts w:eastAsiaTheme="minorEastAsia"/>
          </w:rPr>
          <w:t>https://www.abtassociates.com/sites/default/files/files/insights/reports/2020/REA_Final_Repor</w:t>
        </w:r>
      </w:hyperlink>
      <w:r w:rsidR="1A77549A">
        <w:tab/>
      </w:r>
      <w:r w:rsidR="1A77549A" w:rsidRPr="1A77549A">
        <w:rPr>
          <w:rStyle w:val="Hyperlink"/>
          <w:rFonts w:eastAsiaTheme="minorEastAsia"/>
        </w:rPr>
        <w:t>t.pdf</w:t>
      </w:r>
      <w:r w:rsidR="000272E0">
        <w:rPr>
          <w:rStyle w:val="markedcontent"/>
          <w:rFonts w:eastAsiaTheme="minorEastAsia"/>
        </w:rPr>
        <w:t xml:space="preserve"> </w:t>
      </w:r>
    </w:p>
    <w:p w14:paraId="47D1E079" w14:textId="5F7348EB" w:rsidR="1A77549A" w:rsidRDefault="1A77549A" w:rsidP="009B5495">
      <w:pPr>
        <w:spacing w:after="0" w:line="240" w:lineRule="auto"/>
        <w:rPr>
          <w:rFonts w:eastAsiaTheme="minorEastAsia"/>
        </w:rPr>
      </w:pPr>
      <w:r w:rsidRPr="1A77549A">
        <w:rPr>
          <w:rFonts w:eastAsiaTheme="minorEastAsia"/>
        </w:rPr>
        <w:t xml:space="preserve">McClelland, G. H., &amp; Judd, C. M. (1993). Statistical difficulties of detecting interactions and moderator </w:t>
      </w:r>
    </w:p>
    <w:p w14:paraId="32DAAF8C" w14:textId="2406B891" w:rsidR="1A77549A" w:rsidRDefault="1A77549A" w:rsidP="009B5495">
      <w:pPr>
        <w:spacing w:after="0" w:line="240" w:lineRule="auto"/>
        <w:ind w:firstLine="720"/>
        <w:rPr>
          <w:rFonts w:eastAsiaTheme="minorEastAsia"/>
        </w:rPr>
      </w:pPr>
      <w:r w:rsidRPr="1A77549A">
        <w:rPr>
          <w:rFonts w:eastAsiaTheme="minorEastAsia"/>
        </w:rPr>
        <w:t xml:space="preserve">effects. </w:t>
      </w:r>
      <w:r w:rsidRPr="1A77549A">
        <w:rPr>
          <w:rFonts w:eastAsiaTheme="minorEastAsia"/>
          <w:i/>
          <w:iCs/>
        </w:rPr>
        <w:t>Psychological Bulletin, 114</w:t>
      </w:r>
      <w:r w:rsidRPr="1A77549A">
        <w:rPr>
          <w:rFonts w:eastAsiaTheme="minorEastAsia"/>
        </w:rPr>
        <w:t xml:space="preserve">(2), 376-390. </w:t>
      </w:r>
    </w:p>
    <w:p w14:paraId="65D0212E" w14:textId="1FBC5181" w:rsidR="1A77549A" w:rsidRDefault="1A77549A" w:rsidP="009B5495">
      <w:pPr>
        <w:spacing w:after="0" w:line="240" w:lineRule="auto"/>
        <w:rPr>
          <w:rFonts w:eastAsiaTheme="minorEastAsia"/>
          <w:i/>
          <w:iCs/>
        </w:rPr>
      </w:pPr>
      <w:proofErr w:type="spellStart"/>
      <w:r w:rsidRPr="1A77549A">
        <w:rPr>
          <w:rFonts w:eastAsiaTheme="minorEastAsia"/>
        </w:rPr>
        <w:t>Michaelides</w:t>
      </w:r>
      <w:proofErr w:type="spellEnd"/>
      <w:r w:rsidRPr="1A77549A">
        <w:rPr>
          <w:rFonts w:eastAsiaTheme="minorEastAsia"/>
        </w:rPr>
        <w:t xml:space="preserve">, M., Poe-Yamagata, E., </w:t>
      </w:r>
      <w:proofErr w:type="spellStart"/>
      <w:r w:rsidRPr="1A77549A">
        <w:rPr>
          <w:rFonts w:eastAsiaTheme="minorEastAsia"/>
        </w:rPr>
        <w:t>Benus</w:t>
      </w:r>
      <w:proofErr w:type="spellEnd"/>
      <w:r w:rsidRPr="1A77549A">
        <w:rPr>
          <w:rFonts w:eastAsiaTheme="minorEastAsia"/>
        </w:rPr>
        <w:t xml:space="preserve">, J., &amp; </w:t>
      </w:r>
      <w:proofErr w:type="spellStart"/>
      <w:r w:rsidRPr="1A77549A">
        <w:rPr>
          <w:rFonts w:eastAsiaTheme="minorEastAsia"/>
        </w:rPr>
        <w:t>Tirumalasetti</w:t>
      </w:r>
      <w:proofErr w:type="spellEnd"/>
      <w:r w:rsidRPr="1A77549A">
        <w:rPr>
          <w:rFonts w:eastAsiaTheme="minorEastAsia"/>
        </w:rPr>
        <w:t xml:space="preserve">, D. (2012). </w:t>
      </w:r>
      <w:r w:rsidRPr="1A77549A">
        <w:rPr>
          <w:rFonts w:eastAsiaTheme="minorEastAsia"/>
          <w:i/>
          <w:iCs/>
        </w:rPr>
        <w:t xml:space="preserve">Impact of the reemployment </w:t>
      </w:r>
    </w:p>
    <w:p w14:paraId="4ED7BFD9" w14:textId="30852D94" w:rsidR="1A77549A" w:rsidRDefault="1A77549A" w:rsidP="009B5495">
      <w:pPr>
        <w:spacing w:after="0" w:line="240" w:lineRule="auto"/>
        <w:ind w:firstLine="720"/>
        <w:rPr>
          <w:rFonts w:eastAsiaTheme="minorEastAsia"/>
        </w:rPr>
      </w:pPr>
      <w:r w:rsidRPr="1A77549A">
        <w:rPr>
          <w:rFonts w:eastAsiaTheme="minorEastAsia"/>
          <w:i/>
          <w:iCs/>
        </w:rPr>
        <w:t>and eligibility assessment (REA) initiative in Nevada.</w:t>
      </w:r>
      <w:r w:rsidRPr="1A77549A">
        <w:rPr>
          <w:rFonts w:eastAsiaTheme="minorEastAsia"/>
        </w:rPr>
        <w:t xml:space="preserve"> IMPAQ International, LLC. </w:t>
      </w:r>
    </w:p>
    <w:p w14:paraId="1662572C" w14:textId="48A7F952" w:rsidR="1A77549A" w:rsidRDefault="00AD7D21" w:rsidP="009B5495">
      <w:pPr>
        <w:spacing w:after="0" w:line="240" w:lineRule="auto"/>
        <w:ind w:firstLine="720"/>
        <w:rPr>
          <w:rFonts w:eastAsiaTheme="minorEastAsia"/>
        </w:rPr>
      </w:pPr>
      <w:hyperlink r:id="rId22">
        <w:r w:rsidR="1A77549A" w:rsidRPr="1A77549A">
          <w:rPr>
            <w:rStyle w:val="Hyperlink"/>
            <w:rFonts w:eastAsiaTheme="minorEastAsia"/>
          </w:rPr>
          <w:t>https://wdr.doleta.gov/research/FullText_Documents/ETAOP_2012_08_REA_Nevada_Follow_u</w:t>
        </w:r>
      </w:hyperlink>
      <w:r w:rsidR="1A77549A">
        <w:tab/>
      </w:r>
      <w:r w:rsidR="1A77549A" w:rsidRPr="1A77549A">
        <w:rPr>
          <w:rStyle w:val="Hyperlink"/>
          <w:rFonts w:eastAsiaTheme="minorEastAsia"/>
        </w:rPr>
        <w:t>p_Report.pdf</w:t>
      </w:r>
      <w:r w:rsidR="000272E0">
        <w:rPr>
          <w:rFonts w:eastAsiaTheme="minorEastAsia"/>
        </w:rPr>
        <w:t xml:space="preserve"> </w:t>
      </w:r>
    </w:p>
    <w:p w14:paraId="213D3BE6" w14:textId="61384C90" w:rsidR="1A77549A" w:rsidRDefault="1A77549A" w:rsidP="009B5495">
      <w:pPr>
        <w:spacing w:after="0" w:line="240" w:lineRule="auto"/>
        <w:rPr>
          <w:rFonts w:eastAsiaTheme="minorEastAsia"/>
        </w:rPr>
      </w:pPr>
      <w:proofErr w:type="spellStart"/>
      <w:r w:rsidRPr="1A77549A">
        <w:rPr>
          <w:rFonts w:eastAsiaTheme="minorEastAsia"/>
        </w:rPr>
        <w:t>Minzner</w:t>
      </w:r>
      <w:proofErr w:type="spellEnd"/>
      <w:r w:rsidRPr="1A77549A">
        <w:rPr>
          <w:rFonts w:eastAsiaTheme="minorEastAsia"/>
        </w:rPr>
        <w:t xml:space="preserve">, A., </w:t>
      </w:r>
      <w:proofErr w:type="spellStart"/>
      <w:r w:rsidRPr="1A77549A">
        <w:rPr>
          <w:rFonts w:eastAsiaTheme="minorEastAsia"/>
        </w:rPr>
        <w:t>Klerman</w:t>
      </w:r>
      <w:proofErr w:type="spellEnd"/>
      <w:r w:rsidRPr="1A77549A">
        <w:rPr>
          <w:rFonts w:eastAsiaTheme="minorEastAsia"/>
        </w:rPr>
        <w:t xml:space="preserve">, J., Epstein, Z., </w:t>
      </w:r>
      <w:proofErr w:type="spellStart"/>
      <w:r w:rsidRPr="1A77549A">
        <w:rPr>
          <w:rFonts w:eastAsiaTheme="minorEastAsia"/>
        </w:rPr>
        <w:t>Savidge</w:t>
      </w:r>
      <w:proofErr w:type="spellEnd"/>
      <w:r w:rsidRPr="1A77549A">
        <w:rPr>
          <w:rFonts w:eastAsiaTheme="minorEastAsia"/>
        </w:rPr>
        <w:t xml:space="preserve">-Wilkins, G., Benson, V., Saunders, C., Cristobal, C., &amp; Mills, </w:t>
      </w:r>
    </w:p>
    <w:p w14:paraId="61F47B03" w14:textId="024C7277" w:rsidR="1A77549A" w:rsidRDefault="1A77549A" w:rsidP="009B5495">
      <w:pPr>
        <w:spacing w:after="0" w:line="240" w:lineRule="auto"/>
        <w:ind w:firstLine="720"/>
        <w:rPr>
          <w:rFonts w:eastAsiaTheme="minorEastAsia"/>
        </w:rPr>
      </w:pPr>
      <w:r w:rsidRPr="1A77549A">
        <w:rPr>
          <w:rFonts w:eastAsiaTheme="minorEastAsia"/>
        </w:rPr>
        <w:t xml:space="preserve">S. (2017). </w:t>
      </w:r>
      <w:r w:rsidRPr="1A77549A">
        <w:rPr>
          <w:rFonts w:eastAsiaTheme="minorEastAsia"/>
          <w:i/>
          <w:iCs/>
        </w:rPr>
        <w:t>REA impact study: Implementation report.</w:t>
      </w:r>
      <w:r w:rsidRPr="1A77549A">
        <w:rPr>
          <w:rFonts w:eastAsiaTheme="minorEastAsia"/>
        </w:rPr>
        <w:t xml:space="preserve"> </w:t>
      </w:r>
      <w:proofErr w:type="spellStart"/>
      <w:r w:rsidRPr="1A77549A">
        <w:rPr>
          <w:rFonts w:eastAsiaTheme="minorEastAsia"/>
        </w:rPr>
        <w:t>Abt</w:t>
      </w:r>
      <w:proofErr w:type="spellEnd"/>
      <w:r w:rsidRPr="1A77549A">
        <w:rPr>
          <w:rFonts w:eastAsiaTheme="minorEastAsia"/>
        </w:rPr>
        <w:t xml:space="preserve"> Associates. </w:t>
      </w:r>
    </w:p>
    <w:p w14:paraId="16CA8EA9" w14:textId="04444942" w:rsidR="1A77549A" w:rsidRDefault="00AD7D21" w:rsidP="009B5495">
      <w:pPr>
        <w:spacing w:after="0" w:line="240" w:lineRule="auto"/>
        <w:ind w:firstLine="720"/>
        <w:rPr>
          <w:rFonts w:eastAsiaTheme="minorEastAsia"/>
        </w:rPr>
      </w:pPr>
      <w:hyperlink r:id="rId23">
        <w:r w:rsidR="1A77549A" w:rsidRPr="1A77549A">
          <w:rPr>
            <w:rStyle w:val="Hyperlink"/>
            <w:rFonts w:eastAsiaTheme="minorEastAsia"/>
          </w:rPr>
          <w:t>https://www.dol.gov/sites/dolgov/files/OASP/legacy/files/REA-Impact-Study-Implementation-</w:t>
        </w:r>
      </w:hyperlink>
      <w:r w:rsidR="1A77549A">
        <w:tab/>
      </w:r>
      <w:r w:rsidR="1A77549A" w:rsidRPr="1A77549A">
        <w:rPr>
          <w:rStyle w:val="Hyperlink"/>
          <w:rFonts w:eastAsiaTheme="minorEastAsia"/>
        </w:rPr>
        <w:t>Report.pdf</w:t>
      </w:r>
      <w:r w:rsidR="000272E0">
        <w:rPr>
          <w:rFonts w:eastAsiaTheme="minorEastAsia"/>
        </w:rPr>
        <w:t xml:space="preserve"> </w:t>
      </w:r>
    </w:p>
    <w:p w14:paraId="429BC4CC" w14:textId="70F92CAD" w:rsidR="1A77549A" w:rsidRDefault="1A77549A" w:rsidP="009B5495">
      <w:pPr>
        <w:spacing w:after="0" w:line="240" w:lineRule="auto"/>
        <w:rPr>
          <w:rFonts w:eastAsiaTheme="minorEastAsia"/>
        </w:rPr>
      </w:pPr>
      <w:r w:rsidRPr="1A77549A">
        <w:rPr>
          <w:rFonts w:eastAsiaTheme="minorEastAsia"/>
        </w:rPr>
        <w:t xml:space="preserve">O’Connor, B. P. (2006). Programs for problems created by continuous variable distributions in </w:t>
      </w:r>
    </w:p>
    <w:p w14:paraId="2C9F41E2" w14:textId="59ED1FDB" w:rsidR="1A77549A" w:rsidRDefault="1A77549A" w:rsidP="009B5495">
      <w:pPr>
        <w:spacing w:after="0" w:line="240" w:lineRule="auto"/>
        <w:ind w:firstLine="720"/>
        <w:rPr>
          <w:rFonts w:eastAsiaTheme="minorEastAsia"/>
        </w:rPr>
      </w:pPr>
      <w:r w:rsidRPr="1A77549A">
        <w:rPr>
          <w:rFonts w:eastAsiaTheme="minorEastAsia"/>
        </w:rPr>
        <w:t xml:space="preserve">moderated multiple regression. </w:t>
      </w:r>
      <w:r w:rsidRPr="1A77549A">
        <w:rPr>
          <w:rFonts w:eastAsiaTheme="minorEastAsia"/>
          <w:i/>
          <w:iCs/>
        </w:rPr>
        <w:t>Organizational Research Methods, 9</w:t>
      </w:r>
      <w:r w:rsidRPr="1A77549A">
        <w:rPr>
          <w:rFonts w:eastAsiaTheme="minorEastAsia"/>
        </w:rPr>
        <w:t xml:space="preserve">(4), 554-567. </w:t>
      </w:r>
    </w:p>
    <w:p w14:paraId="61B48E65" w14:textId="2317CABD" w:rsidR="1A77549A" w:rsidRDefault="1A77549A" w:rsidP="009B5495">
      <w:pPr>
        <w:spacing w:after="0" w:line="240" w:lineRule="auto"/>
        <w:rPr>
          <w:rFonts w:eastAsiaTheme="minorEastAsia"/>
          <w:i/>
          <w:iCs/>
        </w:rPr>
      </w:pPr>
      <w:r w:rsidRPr="1A77549A">
        <w:rPr>
          <w:rFonts w:eastAsiaTheme="minorEastAsia"/>
        </w:rPr>
        <w:t xml:space="preserve">Poe-Yamagata, E., </w:t>
      </w:r>
      <w:proofErr w:type="spellStart"/>
      <w:r w:rsidRPr="1A77549A">
        <w:rPr>
          <w:rFonts w:eastAsiaTheme="minorEastAsia"/>
        </w:rPr>
        <w:t>Benus</w:t>
      </w:r>
      <w:proofErr w:type="spellEnd"/>
      <w:r w:rsidRPr="1A77549A">
        <w:rPr>
          <w:rFonts w:eastAsiaTheme="minorEastAsia"/>
        </w:rPr>
        <w:t xml:space="preserve">, J., Bill, N., Carrington, H., </w:t>
      </w:r>
      <w:proofErr w:type="spellStart"/>
      <w:r w:rsidRPr="1A77549A">
        <w:rPr>
          <w:rFonts w:eastAsiaTheme="minorEastAsia"/>
        </w:rPr>
        <w:t>Michaelides</w:t>
      </w:r>
      <w:proofErr w:type="spellEnd"/>
      <w:r w:rsidRPr="1A77549A">
        <w:rPr>
          <w:rFonts w:eastAsiaTheme="minorEastAsia"/>
        </w:rPr>
        <w:t xml:space="preserve">, M., &amp; Shen, T. (2011). </w:t>
      </w:r>
      <w:r w:rsidRPr="1A77549A">
        <w:rPr>
          <w:rFonts w:eastAsiaTheme="minorEastAsia"/>
          <w:i/>
          <w:iCs/>
        </w:rPr>
        <w:t xml:space="preserve">Impact of the </w:t>
      </w:r>
    </w:p>
    <w:p w14:paraId="763D0AF0" w14:textId="66A8B417" w:rsidR="1A77549A" w:rsidRDefault="1A77549A" w:rsidP="009B5495">
      <w:pPr>
        <w:spacing w:after="0" w:line="240" w:lineRule="auto"/>
        <w:ind w:firstLine="720"/>
        <w:rPr>
          <w:rFonts w:eastAsiaTheme="minorEastAsia"/>
        </w:rPr>
      </w:pPr>
      <w:r w:rsidRPr="1A77549A">
        <w:rPr>
          <w:rFonts w:eastAsiaTheme="minorEastAsia"/>
          <w:i/>
          <w:iCs/>
        </w:rPr>
        <w:t>reemployment and eligibility assessment (REA) initiative.</w:t>
      </w:r>
      <w:r w:rsidRPr="1A77549A">
        <w:rPr>
          <w:rFonts w:eastAsiaTheme="minorEastAsia"/>
        </w:rPr>
        <w:t xml:space="preserve"> IMPAQ International, LLC. </w:t>
      </w:r>
      <w:r>
        <w:tab/>
      </w:r>
    </w:p>
    <w:p w14:paraId="725560E9" w14:textId="089E100A" w:rsidR="1A77549A" w:rsidRDefault="00AD7D21" w:rsidP="009B5495">
      <w:pPr>
        <w:spacing w:after="0" w:line="240" w:lineRule="auto"/>
        <w:ind w:firstLine="720"/>
        <w:rPr>
          <w:rFonts w:eastAsiaTheme="minorEastAsia"/>
        </w:rPr>
      </w:pPr>
      <w:hyperlink r:id="rId24">
        <w:r w:rsidR="1A77549A" w:rsidRPr="1A77549A">
          <w:rPr>
            <w:rStyle w:val="Hyperlink"/>
            <w:rFonts w:eastAsiaTheme="minorEastAsia"/>
          </w:rPr>
          <w:t>https://wdr.doleta.gov/research/FullText_Documents/ETAOP_2012_08_Impact_of_the_REA_Ini</w:t>
        </w:r>
      </w:hyperlink>
      <w:r w:rsidR="1A77549A">
        <w:tab/>
      </w:r>
      <w:r w:rsidR="1A77549A" w:rsidRPr="1A77549A">
        <w:rPr>
          <w:rStyle w:val="Hyperlink"/>
          <w:rFonts w:eastAsiaTheme="minorEastAsia"/>
        </w:rPr>
        <w:t>tiative.pdf</w:t>
      </w:r>
      <w:r w:rsidR="000272E0">
        <w:rPr>
          <w:rFonts w:eastAsiaTheme="minorEastAsia"/>
        </w:rPr>
        <w:t xml:space="preserve"> </w:t>
      </w:r>
    </w:p>
    <w:p w14:paraId="5CE708BB" w14:textId="772DEA60" w:rsidR="1A77549A" w:rsidRDefault="1A77549A" w:rsidP="009B5495">
      <w:pPr>
        <w:spacing w:after="0" w:line="240" w:lineRule="auto"/>
        <w:rPr>
          <w:rFonts w:eastAsiaTheme="minorEastAsia"/>
        </w:rPr>
      </w:pPr>
      <w:r w:rsidRPr="1A77549A">
        <w:rPr>
          <w:rFonts w:eastAsiaTheme="minorEastAsia"/>
        </w:rPr>
        <w:t xml:space="preserve">Shieh, G. (2009). Detecting interaction effects in moderated multiple regression with continuous </w:t>
      </w:r>
    </w:p>
    <w:p w14:paraId="5C1AA097" w14:textId="4F973A85" w:rsidR="1A77549A" w:rsidRPr="00AA7515" w:rsidRDefault="1A77549A" w:rsidP="009B5495">
      <w:pPr>
        <w:spacing w:after="0" w:line="240" w:lineRule="auto"/>
        <w:ind w:firstLine="720"/>
        <w:rPr>
          <w:rFonts w:eastAsiaTheme="minorEastAsia"/>
        </w:rPr>
      </w:pPr>
      <w:r w:rsidRPr="1A77549A">
        <w:rPr>
          <w:rFonts w:eastAsiaTheme="minorEastAsia"/>
        </w:rPr>
        <w:t xml:space="preserve">variables power and sample size considerations. </w:t>
      </w:r>
      <w:r w:rsidRPr="1A77549A">
        <w:rPr>
          <w:rFonts w:eastAsiaTheme="minorEastAsia"/>
          <w:i/>
          <w:iCs/>
        </w:rPr>
        <w:t>Organizational Research Methods, 12</w:t>
      </w:r>
      <w:r w:rsidRPr="1A77549A">
        <w:rPr>
          <w:rFonts w:eastAsiaTheme="minorEastAsia"/>
        </w:rPr>
        <w:t>(3), 510-</w:t>
      </w:r>
      <w:r>
        <w:tab/>
      </w:r>
      <w:r w:rsidRPr="00AA7515">
        <w:rPr>
          <w:rFonts w:eastAsiaTheme="minorEastAsia"/>
        </w:rPr>
        <w:t xml:space="preserve">528. </w:t>
      </w:r>
    </w:p>
    <w:p w14:paraId="742BC3CC" w14:textId="77777777" w:rsidR="00AA7515" w:rsidRPr="00AA7515" w:rsidRDefault="00AA7515" w:rsidP="00AA7515">
      <w:pPr>
        <w:spacing w:after="0" w:line="240" w:lineRule="auto"/>
        <w:rPr>
          <w:rFonts w:eastAsiaTheme="minorEastAsia"/>
        </w:rPr>
      </w:pPr>
      <w:r w:rsidRPr="00AA7515">
        <w:rPr>
          <w:rFonts w:eastAsiaTheme="minorEastAsia"/>
        </w:rPr>
        <w:t xml:space="preserve">Social Security Act of 1935, 42 U.S.C. 503 § 303 (1935 &amp; rev. 2018). </w:t>
      </w:r>
    </w:p>
    <w:p w14:paraId="4E03656A" w14:textId="77777777" w:rsidR="00AA7515" w:rsidRPr="00AA7515" w:rsidRDefault="00AA7515" w:rsidP="00AA7515">
      <w:pPr>
        <w:spacing w:after="0" w:line="240" w:lineRule="auto"/>
      </w:pPr>
      <w:r w:rsidRPr="00AA7515">
        <w:tab/>
      </w:r>
      <w:hyperlink r:id="rId25" w:history="1">
        <w:r w:rsidRPr="00AA7515">
          <w:rPr>
            <w:rStyle w:val="Hyperlink"/>
          </w:rPr>
          <w:t>https://www.ssa.gov/OP_Home/ssact/title03/0303.htm</w:t>
        </w:r>
      </w:hyperlink>
      <w:r w:rsidRPr="00AA7515">
        <w:t xml:space="preserve"> </w:t>
      </w:r>
    </w:p>
    <w:p w14:paraId="73567A88" w14:textId="77777777" w:rsidR="00AA7515" w:rsidRPr="00AA7515" w:rsidRDefault="00AA7515" w:rsidP="00AA7515">
      <w:pPr>
        <w:spacing w:after="0" w:line="240" w:lineRule="auto"/>
        <w:rPr>
          <w:rFonts w:eastAsiaTheme="minorEastAsia"/>
        </w:rPr>
      </w:pPr>
      <w:r w:rsidRPr="00AA7515">
        <w:rPr>
          <w:rFonts w:eastAsiaTheme="minorEastAsia"/>
        </w:rPr>
        <w:t xml:space="preserve">Social Security Act of 1935, 42 U.S.C. 506 § 306 (1935 &amp; rev. 2018). </w:t>
      </w:r>
    </w:p>
    <w:p w14:paraId="57A7AA3E" w14:textId="77777777" w:rsidR="00AA7515" w:rsidRDefault="00AD7D21" w:rsidP="00AA7515">
      <w:pPr>
        <w:spacing w:after="0" w:line="240" w:lineRule="auto"/>
        <w:ind w:firstLine="720"/>
        <w:rPr>
          <w:rFonts w:eastAsiaTheme="minorEastAsia"/>
        </w:rPr>
      </w:pPr>
      <w:hyperlink r:id="rId26">
        <w:r w:rsidR="00AA7515" w:rsidRPr="00AA7515">
          <w:rPr>
            <w:rStyle w:val="Hyperlink"/>
            <w:rFonts w:eastAsiaTheme="minorEastAsia"/>
          </w:rPr>
          <w:t>https://www.govinfo.gov/content/pkg/PLAW-115publ123/html/PLAW-115publ123.htm</w:t>
        </w:r>
      </w:hyperlink>
      <w:r w:rsidR="00AA7515">
        <w:rPr>
          <w:rFonts w:eastAsiaTheme="minorEastAsia"/>
        </w:rPr>
        <w:t xml:space="preserve"> </w:t>
      </w:r>
    </w:p>
    <w:p w14:paraId="25A66597" w14:textId="0D725F97" w:rsidR="00092970" w:rsidRDefault="00092970" w:rsidP="00092970">
      <w:pPr>
        <w:spacing w:after="0" w:line="240" w:lineRule="auto"/>
        <w:ind w:left="720" w:hanging="720"/>
        <w:rPr>
          <w:rFonts w:eastAsiaTheme="minorEastAsia"/>
        </w:rPr>
      </w:pPr>
      <w:r w:rsidRPr="00092970">
        <w:rPr>
          <w:rFonts w:eastAsiaTheme="minorEastAsia"/>
        </w:rPr>
        <w:t xml:space="preserve">Suresh, K. P., &amp; </w:t>
      </w:r>
      <w:proofErr w:type="spellStart"/>
      <w:r w:rsidRPr="00092970">
        <w:rPr>
          <w:rFonts w:eastAsiaTheme="minorEastAsia"/>
        </w:rPr>
        <w:t>Chandrashekara</w:t>
      </w:r>
      <w:proofErr w:type="spellEnd"/>
      <w:r w:rsidRPr="00092970">
        <w:rPr>
          <w:rFonts w:eastAsiaTheme="minorEastAsia"/>
        </w:rPr>
        <w:t>, S. (2012). Sample size estimation and power analysis for clinical research studies. </w:t>
      </w:r>
      <w:r w:rsidRPr="00092970">
        <w:rPr>
          <w:rFonts w:eastAsiaTheme="minorEastAsia"/>
          <w:i/>
          <w:iCs/>
        </w:rPr>
        <w:t xml:space="preserve">Journal of </w:t>
      </w:r>
      <w:r>
        <w:rPr>
          <w:rFonts w:eastAsiaTheme="minorEastAsia"/>
          <w:i/>
          <w:iCs/>
        </w:rPr>
        <w:t>H</w:t>
      </w:r>
      <w:r w:rsidRPr="00092970">
        <w:rPr>
          <w:rFonts w:eastAsiaTheme="minorEastAsia"/>
          <w:i/>
          <w:iCs/>
        </w:rPr>
        <w:t xml:space="preserve">uman </w:t>
      </w:r>
      <w:r>
        <w:rPr>
          <w:rFonts w:eastAsiaTheme="minorEastAsia"/>
          <w:i/>
          <w:iCs/>
        </w:rPr>
        <w:t>R</w:t>
      </w:r>
      <w:r w:rsidRPr="00092970">
        <w:rPr>
          <w:rFonts w:eastAsiaTheme="minorEastAsia"/>
          <w:i/>
          <w:iCs/>
        </w:rPr>
        <w:t xml:space="preserve">eproductive </w:t>
      </w:r>
      <w:r>
        <w:rPr>
          <w:rFonts w:eastAsiaTheme="minorEastAsia"/>
          <w:i/>
          <w:iCs/>
        </w:rPr>
        <w:t>S</w:t>
      </w:r>
      <w:r w:rsidRPr="00092970">
        <w:rPr>
          <w:rFonts w:eastAsiaTheme="minorEastAsia"/>
          <w:i/>
          <w:iCs/>
        </w:rPr>
        <w:t>ciences</w:t>
      </w:r>
      <w:r w:rsidRPr="00092970">
        <w:rPr>
          <w:rFonts w:eastAsiaTheme="minorEastAsia"/>
        </w:rPr>
        <w:t>, </w:t>
      </w:r>
      <w:r w:rsidRPr="00092970">
        <w:rPr>
          <w:rFonts w:eastAsiaTheme="minorEastAsia"/>
          <w:i/>
          <w:iCs/>
        </w:rPr>
        <w:t>5</w:t>
      </w:r>
      <w:r w:rsidRPr="00092970">
        <w:rPr>
          <w:rFonts w:eastAsiaTheme="minorEastAsia"/>
        </w:rPr>
        <w:t>(1), 7.</w:t>
      </w:r>
    </w:p>
    <w:p w14:paraId="115C95C9" w14:textId="62A8ACF0" w:rsidR="1A77549A" w:rsidRDefault="1A77549A" w:rsidP="009B5495">
      <w:pPr>
        <w:spacing w:after="0" w:line="240" w:lineRule="auto"/>
        <w:rPr>
          <w:rFonts w:eastAsiaTheme="minorEastAsia"/>
          <w:i/>
          <w:iCs/>
        </w:rPr>
      </w:pPr>
      <w:r w:rsidRPr="1A77549A">
        <w:rPr>
          <w:rFonts w:eastAsiaTheme="minorEastAsia"/>
        </w:rPr>
        <w:t xml:space="preserve">Unemployment Insurance Program Letter No. 13-15, </w:t>
      </w:r>
      <w:r w:rsidRPr="1A77549A">
        <w:rPr>
          <w:rFonts w:eastAsiaTheme="minorEastAsia"/>
          <w:i/>
          <w:iCs/>
        </w:rPr>
        <w:t>Fiscal Year (FY) 2015 Unemployment insurance (UI)</w:t>
      </w:r>
    </w:p>
    <w:p w14:paraId="047D4F6E" w14:textId="410E5F0E" w:rsidR="1A77549A" w:rsidRDefault="1A77549A" w:rsidP="009B5495">
      <w:pPr>
        <w:spacing w:after="0" w:line="240" w:lineRule="auto"/>
        <w:ind w:firstLine="720"/>
        <w:rPr>
          <w:rFonts w:eastAsiaTheme="minorEastAsia"/>
        </w:rPr>
      </w:pPr>
      <w:r w:rsidRPr="1A77549A">
        <w:rPr>
          <w:rFonts w:eastAsiaTheme="minorEastAsia"/>
          <w:i/>
          <w:iCs/>
        </w:rPr>
        <w:t>reemployment services and eligibility assessment (RESEA) grants</w:t>
      </w:r>
      <w:r w:rsidRPr="1A77549A">
        <w:rPr>
          <w:rFonts w:eastAsiaTheme="minorEastAsia"/>
        </w:rPr>
        <w:t xml:space="preserve">, issued March 27, 2015. </w:t>
      </w:r>
      <w:r>
        <w:tab/>
      </w:r>
      <w:r w:rsidRPr="1A77549A">
        <w:rPr>
          <w:rFonts w:eastAsiaTheme="minorEastAsia"/>
        </w:rPr>
        <w:t xml:space="preserve">Retrieved from </w:t>
      </w:r>
      <w:hyperlink r:id="rId27">
        <w:r w:rsidRPr="1A77549A">
          <w:rPr>
            <w:rStyle w:val="Hyperlink"/>
            <w:rFonts w:eastAsiaTheme="minorEastAsia"/>
          </w:rPr>
          <w:t>https://www.dol.gov/sites/dolgov/files/ETA/advisories/UIPL/2015/UIPL_13-</w:t>
        </w:r>
      </w:hyperlink>
      <w:r>
        <w:tab/>
      </w:r>
      <w:r w:rsidRPr="1A77549A">
        <w:rPr>
          <w:rStyle w:val="Hyperlink"/>
          <w:rFonts w:eastAsiaTheme="minorEastAsia"/>
        </w:rPr>
        <w:t>15.pdf</w:t>
      </w:r>
      <w:r w:rsidR="000272E0">
        <w:rPr>
          <w:rFonts w:eastAsiaTheme="minorEastAsia"/>
        </w:rPr>
        <w:t xml:space="preserve"> </w:t>
      </w:r>
    </w:p>
    <w:p w14:paraId="006EB09A" w14:textId="6C41C937" w:rsidR="1A77549A" w:rsidRDefault="1A77549A" w:rsidP="009B5495">
      <w:pPr>
        <w:spacing w:after="0" w:line="240" w:lineRule="auto"/>
        <w:rPr>
          <w:rFonts w:eastAsiaTheme="minorEastAsia"/>
          <w:i/>
          <w:iCs/>
        </w:rPr>
      </w:pPr>
      <w:r w:rsidRPr="1A77549A">
        <w:rPr>
          <w:rFonts w:eastAsiaTheme="minorEastAsia"/>
        </w:rPr>
        <w:t xml:space="preserve">United States Department of Labor &amp; Employment and Training Administration. (2021). </w:t>
      </w:r>
      <w:r w:rsidRPr="1A77549A">
        <w:rPr>
          <w:rFonts w:eastAsiaTheme="minorEastAsia"/>
          <w:i/>
          <w:iCs/>
        </w:rPr>
        <w:t xml:space="preserve">Reemployment </w:t>
      </w:r>
    </w:p>
    <w:p w14:paraId="619E738C" w14:textId="75478486" w:rsidR="1A77549A" w:rsidRDefault="1A77549A" w:rsidP="009B5495">
      <w:pPr>
        <w:spacing w:after="0" w:line="240" w:lineRule="auto"/>
        <w:ind w:firstLine="720"/>
        <w:rPr>
          <w:rFonts w:eastAsiaTheme="minorEastAsia"/>
        </w:rPr>
      </w:pPr>
      <w:r w:rsidRPr="1A77549A">
        <w:rPr>
          <w:rFonts w:eastAsiaTheme="minorEastAsia"/>
          <w:i/>
          <w:iCs/>
        </w:rPr>
        <w:t>and eligibility assessment (REA) program evaluation.</w:t>
      </w:r>
      <w:r w:rsidRPr="1A77549A">
        <w:rPr>
          <w:rFonts w:eastAsiaTheme="minorEastAsia"/>
        </w:rPr>
        <w:t xml:space="preserve"> </w:t>
      </w:r>
      <w:r>
        <w:tab/>
      </w:r>
      <w:r>
        <w:tab/>
      </w:r>
    </w:p>
    <w:p w14:paraId="1D0C78D5" w14:textId="3AD50C31" w:rsidR="1A77549A" w:rsidRDefault="00AD7D21" w:rsidP="009B5495">
      <w:pPr>
        <w:spacing w:after="0" w:line="240" w:lineRule="auto"/>
        <w:ind w:left="720"/>
        <w:rPr>
          <w:rFonts w:eastAsiaTheme="minorEastAsia"/>
        </w:rPr>
      </w:pPr>
      <w:hyperlink r:id="rId28">
        <w:r w:rsidR="1A77549A" w:rsidRPr="1A77549A">
          <w:rPr>
            <w:rStyle w:val="Hyperlink"/>
            <w:rFonts w:eastAsiaTheme="minorEastAsia"/>
          </w:rPr>
          <w:t>https://www.dol.gov/sites/dolgov/files/OASP/evaluation/pdf/ETA_Reemployment%20and%20Eligibility%20Assessment%20(REA)%20Program%20Evaluation_One%20Pager%20(1).pdf</w:t>
        </w:r>
      </w:hyperlink>
      <w:r w:rsidR="1A77549A" w:rsidRPr="1A77549A">
        <w:rPr>
          <w:rFonts w:eastAsiaTheme="minorEastAsia"/>
        </w:rPr>
        <w:t xml:space="preserve"> </w:t>
      </w:r>
    </w:p>
    <w:p w14:paraId="2D7E09B5" w14:textId="2AA37467" w:rsidR="1A77549A" w:rsidRDefault="1A77549A" w:rsidP="009B5495">
      <w:pPr>
        <w:spacing w:after="0" w:line="240" w:lineRule="auto"/>
        <w:rPr>
          <w:rFonts w:eastAsiaTheme="minorEastAsia"/>
          <w:i/>
          <w:iCs/>
        </w:rPr>
      </w:pPr>
      <w:r w:rsidRPr="1A77549A">
        <w:rPr>
          <w:rFonts w:eastAsiaTheme="minorEastAsia"/>
        </w:rPr>
        <w:t xml:space="preserve">United States Department of Labor &amp; Employment and Training Administration. (2022). </w:t>
      </w:r>
      <w:r w:rsidRPr="1A77549A">
        <w:rPr>
          <w:rFonts w:eastAsiaTheme="minorEastAsia"/>
          <w:i/>
          <w:iCs/>
        </w:rPr>
        <w:t xml:space="preserve">Reemployment </w:t>
      </w:r>
    </w:p>
    <w:p w14:paraId="03B80ACB" w14:textId="10B0CCE1" w:rsidR="1A77549A" w:rsidRDefault="1A77549A" w:rsidP="009B5495">
      <w:pPr>
        <w:spacing w:after="0" w:line="240" w:lineRule="auto"/>
        <w:ind w:firstLine="720"/>
        <w:rPr>
          <w:rFonts w:eastAsiaTheme="minorEastAsia"/>
        </w:rPr>
      </w:pPr>
      <w:r w:rsidRPr="1A77549A">
        <w:rPr>
          <w:rFonts w:eastAsiaTheme="minorEastAsia"/>
          <w:i/>
          <w:iCs/>
        </w:rPr>
        <w:t>services and eligibility assessments (RESEA) evidence building and implementation study.</w:t>
      </w:r>
      <w:r w:rsidRPr="1A77549A">
        <w:rPr>
          <w:rFonts w:eastAsiaTheme="minorEastAsia"/>
        </w:rPr>
        <w:t xml:space="preserve"> </w:t>
      </w:r>
      <w:r>
        <w:tab/>
      </w:r>
    </w:p>
    <w:p w14:paraId="5321A5F1" w14:textId="0A03BB50" w:rsidR="6D6866B0" w:rsidRDefault="00AD7D21" w:rsidP="009B5495">
      <w:pPr>
        <w:spacing w:after="0" w:line="240" w:lineRule="auto"/>
        <w:ind w:left="720"/>
        <w:rPr>
          <w:rStyle w:val="markedcontent"/>
          <w:rFonts w:eastAsiaTheme="minorEastAsia"/>
        </w:rPr>
      </w:pPr>
      <w:hyperlink r:id="rId29">
        <w:r w:rsidR="1A77549A" w:rsidRPr="1A77549A">
          <w:rPr>
            <w:rStyle w:val="Hyperlink"/>
            <w:rFonts w:eastAsiaTheme="minorEastAsia"/>
          </w:rPr>
          <w:t>https://www.dol.gov/sites/dolgov/files/OASP/evaluation/one-pagers/ETA_Reemployment_Services_and_Eligibility_Assessments_RESEA_Evidence_Building_and_Implementation_Study_One-Pager.pdf</w:t>
        </w:r>
      </w:hyperlink>
      <w:r w:rsidR="1A77549A" w:rsidRPr="1A77549A">
        <w:rPr>
          <w:rStyle w:val="markedcontent"/>
          <w:rFonts w:eastAsiaTheme="minorEastAsia"/>
        </w:rPr>
        <w:t xml:space="preserve"> </w:t>
      </w:r>
    </w:p>
    <w:p w14:paraId="096C58ED" w14:textId="4C605C50" w:rsidR="6D6866B0" w:rsidRDefault="6D6866B0" w:rsidP="009B5495">
      <w:pPr>
        <w:spacing w:after="0" w:line="240" w:lineRule="auto"/>
        <w:rPr>
          <w:rStyle w:val="markedcontent"/>
          <w:rFonts w:eastAsiaTheme="minorEastAsia"/>
        </w:rPr>
      </w:pPr>
    </w:p>
    <w:p w14:paraId="18F4D6BD" w14:textId="6DBCD802" w:rsidR="6D6866B0" w:rsidRDefault="6D6866B0" w:rsidP="009B5495">
      <w:pPr>
        <w:spacing w:after="0" w:line="240" w:lineRule="auto"/>
        <w:rPr>
          <w:rStyle w:val="markedcontent"/>
          <w:rFonts w:eastAsiaTheme="minorEastAsia"/>
        </w:rPr>
      </w:pPr>
    </w:p>
    <w:p w14:paraId="6977874E" w14:textId="30DBA2B1" w:rsidR="6D6866B0" w:rsidRDefault="6D6866B0" w:rsidP="009B5495">
      <w:pPr>
        <w:spacing w:after="0" w:line="240" w:lineRule="auto"/>
        <w:rPr>
          <w:rStyle w:val="markedcontent"/>
          <w:rFonts w:eastAsiaTheme="minorEastAsia"/>
        </w:rPr>
      </w:pPr>
    </w:p>
    <w:p w14:paraId="2DBA57E0" w14:textId="17F84ACD" w:rsidR="6D6866B0" w:rsidRPr="002C284D" w:rsidRDefault="6D6866B0" w:rsidP="6D6866B0">
      <w:pPr>
        <w:spacing w:after="0" w:line="240" w:lineRule="auto"/>
        <w:rPr>
          <w:rStyle w:val="markedcontent"/>
          <w:rFonts w:eastAsiaTheme="minorEastAsia"/>
        </w:rPr>
      </w:pPr>
    </w:p>
    <w:sectPr w:rsidR="6D6866B0" w:rsidRPr="002C284D" w:rsidSect="00B527CC">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DD2AF6" w16cex:dateUtc="2023-10-20T22:3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867EB" w14:textId="77777777" w:rsidR="00AD7D21" w:rsidRDefault="00AD7D21" w:rsidP="00283F0C">
      <w:pPr>
        <w:spacing w:after="0" w:line="240" w:lineRule="auto"/>
      </w:pPr>
      <w:r>
        <w:separator/>
      </w:r>
    </w:p>
  </w:endnote>
  <w:endnote w:type="continuationSeparator" w:id="0">
    <w:p w14:paraId="7B0478E8" w14:textId="77777777" w:rsidR="00AD7D21" w:rsidRDefault="00AD7D21" w:rsidP="00283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709323"/>
      <w:docPartObj>
        <w:docPartGallery w:val="Page Numbers (Bottom of Page)"/>
        <w:docPartUnique/>
      </w:docPartObj>
    </w:sdtPr>
    <w:sdtEndPr>
      <w:rPr>
        <w:noProof/>
      </w:rPr>
    </w:sdtEndPr>
    <w:sdtContent>
      <w:p w14:paraId="549C9E7B" w14:textId="0F2EAE66" w:rsidR="006A4E8B" w:rsidRDefault="006A4E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81ACF4" w14:textId="77777777" w:rsidR="006A4E8B" w:rsidRDefault="006A4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2F1E0" w14:textId="77777777" w:rsidR="00AD7D21" w:rsidRDefault="00AD7D21" w:rsidP="00283F0C">
      <w:pPr>
        <w:spacing w:after="0" w:line="240" w:lineRule="auto"/>
      </w:pPr>
      <w:r>
        <w:separator/>
      </w:r>
    </w:p>
  </w:footnote>
  <w:footnote w:type="continuationSeparator" w:id="0">
    <w:p w14:paraId="2CCABEEF" w14:textId="77777777" w:rsidR="00AD7D21" w:rsidRDefault="00AD7D21" w:rsidP="00283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F135D" w14:textId="77777777" w:rsidR="006A4E8B" w:rsidRDefault="006A4E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107A0"/>
    <w:multiLevelType w:val="hybridMultilevel"/>
    <w:tmpl w:val="E5D6F3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BA213E"/>
    <w:multiLevelType w:val="hybridMultilevel"/>
    <w:tmpl w:val="DF80D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07D79"/>
    <w:multiLevelType w:val="hybridMultilevel"/>
    <w:tmpl w:val="9BA0D2A4"/>
    <w:lvl w:ilvl="0" w:tplc="7FC07D30">
      <w:start w:val="1"/>
      <w:numFmt w:val="decimal"/>
      <w:lvlText w:val="%1."/>
      <w:lvlJc w:val="left"/>
      <w:pPr>
        <w:ind w:left="720" w:hanging="360"/>
      </w:pPr>
    </w:lvl>
    <w:lvl w:ilvl="1" w:tplc="174E84C0">
      <w:start w:val="1"/>
      <w:numFmt w:val="lowerLetter"/>
      <w:lvlText w:val="%2."/>
      <w:lvlJc w:val="left"/>
      <w:pPr>
        <w:ind w:left="1440" w:hanging="360"/>
      </w:pPr>
    </w:lvl>
    <w:lvl w:ilvl="2" w:tplc="35823516">
      <w:start w:val="1"/>
      <w:numFmt w:val="lowerRoman"/>
      <w:lvlText w:val="%3."/>
      <w:lvlJc w:val="right"/>
      <w:pPr>
        <w:ind w:left="2160" w:hanging="180"/>
      </w:pPr>
    </w:lvl>
    <w:lvl w:ilvl="3" w:tplc="FD88ED4E">
      <w:start w:val="1"/>
      <w:numFmt w:val="decimal"/>
      <w:lvlText w:val="%4."/>
      <w:lvlJc w:val="left"/>
      <w:pPr>
        <w:ind w:left="2880" w:hanging="360"/>
      </w:pPr>
    </w:lvl>
    <w:lvl w:ilvl="4" w:tplc="5378A654">
      <w:start w:val="1"/>
      <w:numFmt w:val="lowerLetter"/>
      <w:lvlText w:val="%5."/>
      <w:lvlJc w:val="left"/>
      <w:pPr>
        <w:ind w:left="3600" w:hanging="360"/>
      </w:pPr>
    </w:lvl>
    <w:lvl w:ilvl="5" w:tplc="6C045D5A">
      <w:start w:val="1"/>
      <w:numFmt w:val="lowerRoman"/>
      <w:lvlText w:val="%6."/>
      <w:lvlJc w:val="right"/>
      <w:pPr>
        <w:ind w:left="4320" w:hanging="180"/>
      </w:pPr>
    </w:lvl>
    <w:lvl w:ilvl="6" w:tplc="B58676AA">
      <w:start w:val="1"/>
      <w:numFmt w:val="decimal"/>
      <w:lvlText w:val="%7."/>
      <w:lvlJc w:val="left"/>
      <w:pPr>
        <w:ind w:left="5040" w:hanging="360"/>
      </w:pPr>
    </w:lvl>
    <w:lvl w:ilvl="7" w:tplc="C3DEA2C0">
      <w:start w:val="1"/>
      <w:numFmt w:val="lowerLetter"/>
      <w:lvlText w:val="%8."/>
      <w:lvlJc w:val="left"/>
      <w:pPr>
        <w:ind w:left="5760" w:hanging="360"/>
      </w:pPr>
    </w:lvl>
    <w:lvl w:ilvl="8" w:tplc="515EDCE8">
      <w:start w:val="1"/>
      <w:numFmt w:val="lowerRoman"/>
      <w:lvlText w:val="%9."/>
      <w:lvlJc w:val="right"/>
      <w:pPr>
        <w:ind w:left="6480" w:hanging="180"/>
      </w:pPr>
    </w:lvl>
  </w:abstractNum>
  <w:abstractNum w:abstractNumId="3" w15:restartNumberingAfterBreak="0">
    <w:nsid w:val="1C713B46"/>
    <w:multiLevelType w:val="hybridMultilevel"/>
    <w:tmpl w:val="FA7C12FC"/>
    <w:lvl w:ilvl="0" w:tplc="A876412C">
      <w:start w:val="1"/>
      <w:numFmt w:val="bullet"/>
      <w:lvlText w:val="·"/>
      <w:lvlJc w:val="left"/>
      <w:pPr>
        <w:ind w:left="720" w:hanging="360"/>
      </w:pPr>
      <w:rPr>
        <w:rFonts w:ascii="Symbol" w:hAnsi="Symbol" w:hint="default"/>
      </w:rPr>
    </w:lvl>
    <w:lvl w:ilvl="1" w:tplc="AAA8742A">
      <w:start w:val="1"/>
      <w:numFmt w:val="bullet"/>
      <w:lvlText w:val="o"/>
      <w:lvlJc w:val="left"/>
      <w:pPr>
        <w:ind w:left="1440" w:hanging="360"/>
      </w:pPr>
      <w:rPr>
        <w:rFonts w:ascii="Courier New" w:hAnsi="Courier New" w:hint="default"/>
      </w:rPr>
    </w:lvl>
    <w:lvl w:ilvl="2" w:tplc="FE6C36A0">
      <w:start w:val="1"/>
      <w:numFmt w:val="bullet"/>
      <w:lvlText w:val=""/>
      <w:lvlJc w:val="left"/>
      <w:pPr>
        <w:ind w:left="2160" w:hanging="360"/>
      </w:pPr>
      <w:rPr>
        <w:rFonts w:ascii="Wingdings" w:hAnsi="Wingdings" w:hint="default"/>
      </w:rPr>
    </w:lvl>
    <w:lvl w:ilvl="3" w:tplc="FEC46B38">
      <w:start w:val="1"/>
      <w:numFmt w:val="bullet"/>
      <w:lvlText w:val=""/>
      <w:lvlJc w:val="left"/>
      <w:pPr>
        <w:ind w:left="2880" w:hanging="360"/>
      </w:pPr>
      <w:rPr>
        <w:rFonts w:ascii="Symbol" w:hAnsi="Symbol" w:hint="default"/>
      </w:rPr>
    </w:lvl>
    <w:lvl w:ilvl="4" w:tplc="B43E4CA6">
      <w:start w:val="1"/>
      <w:numFmt w:val="bullet"/>
      <w:lvlText w:val="o"/>
      <w:lvlJc w:val="left"/>
      <w:pPr>
        <w:ind w:left="3600" w:hanging="360"/>
      </w:pPr>
      <w:rPr>
        <w:rFonts w:ascii="Courier New" w:hAnsi="Courier New" w:hint="default"/>
      </w:rPr>
    </w:lvl>
    <w:lvl w:ilvl="5" w:tplc="F9E695E0">
      <w:start w:val="1"/>
      <w:numFmt w:val="bullet"/>
      <w:lvlText w:val=""/>
      <w:lvlJc w:val="left"/>
      <w:pPr>
        <w:ind w:left="4320" w:hanging="360"/>
      </w:pPr>
      <w:rPr>
        <w:rFonts w:ascii="Wingdings" w:hAnsi="Wingdings" w:hint="default"/>
      </w:rPr>
    </w:lvl>
    <w:lvl w:ilvl="6" w:tplc="1D3E2252">
      <w:start w:val="1"/>
      <w:numFmt w:val="bullet"/>
      <w:lvlText w:val=""/>
      <w:lvlJc w:val="left"/>
      <w:pPr>
        <w:ind w:left="5040" w:hanging="360"/>
      </w:pPr>
      <w:rPr>
        <w:rFonts w:ascii="Symbol" w:hAnsi="Symbol" w:hint="default"/>
      </w:rPr>
    </w:lvl>
    <w:lvl w:ilvl="7" w:tplc="0E7022F2">
      <w:start w:val="1"/>
      <w:numFmt w:val="bullet"/>
      <w:lvlText w:val="o"/>
      <w:lvlJc w:val="left"/>
      <w:pPr>
        <w:ind w:left="5760" w:hanging="360"/>
      </w:pPr>
      <w:rPr>
        <w:rFonts w:ascii="Courier New" w:hAnsi="Courier New" w:hint="default"/>
      </w:rPr>
    </w:lvl>
    <w:lvl w:ilvl="8" w:tplc="20B8A328">
      <w:start w:val="1"/>
      <w:numFmt w:val="bullet"/>
      <w:lvlText w:val=""/>
      <w:lvlJc w:val="left"/>
      <w:pPr>
        <w:ind w:left="6480" w:hanging="360"/>
      </w:pPr>
      <w:rPr>
        <w:rFonts w:ascii="Wingdings" w:hAnsi="Wingdings" w:hint="default"/>
      </w:rPr>
    </w:lvl>
  </w:abstractNum>
  <w:abstractNum w:abstractNumId="4" w15:restartNumberingAfterBreak="0">
    <w:nsid w:val="26A24F51"/>
    <w:multiLevelType w:val="hybridMultilevel"/>
    <w:tmpl w:val="2BB4ECF0"/>
    <w:lvl w:ilvl="0" w:tplc="5942969A">
      <w:start w:val="1"/>
      <w:numFmt w:val="bullet"/>
      <w:lvlText w:val="•"/>
      <w:lvlJc w:val="left"/>
      <w:pPr>
        <w:tabs>
          <w:tab w:val="num" w:pos="720"/>
        </w:tabs>
        <w:ind w:left="720" w:hanging="360"/>
      </w:pPr>
      <w:rPr>
        <w:rFonts w:ascii="Arial" w:hAnsi="Arial" w:hint="default"/>
      </w:rPr>
    </w:lvl>
    <w:lvl w:ilvl="1" w:tplc="3BD23FC4">
      <w:start w:val="1"/>
      <w:numFmt w:val="bullet"/>
      <w:lvlText w:val="•"/>
      <w:lvlJc w:val="left"/>
      <w:pPr>
        <w:tabs>
          <w:tab w:val="num" w:pos="1440"/>
        </w:tabs>
        <w:ind w:left="1440" w:hanging="360"/>
      </w:pPr>
      <w:rPr>
        <w:rFonts w:ascii="Arial" w:hAnsi="Arial" w:hint="default"/>
      </w:rPr>
    </w:lvl>
    <w:lvl w:ilvl="2" w:tplc="D396B21C" w:tentative="1">
      <w:start w:val="1"/>
      <w:numFmt w:val="bullet"/>
      <w:lvlText w:val="•"/>
      <w:lvlJc w:val="left"/>
      <w:pPr>
        <w:tabs>
          <w:tab w:val="num" w:pos="2160"/>
        </w:tabs>
        <w:ind w:left="2160" w:hanging="360"/>
      </w:pPr>
      <w:rPr>
        <w:rFonts w:ascii="Arial" w:hAnsi="Arial" w:hint="default"/>
      </w:rPr>
    </w:lvl>
    <w:lvl w:ilvl="3" w:tplc="9290286E" w:tentative="1">
      <w:start w:val="1"/>
      <w:numFmt w:val="bullet"/>
      <w:lvlText w:val="•"/>
      <w:lvlJc w:val="left"/>
      <w:pPr>
        <w:tabs>
          <w:tab w:val="num" w:pos="2880"/>
        </w:tabs>
        <w:ind w:left="2880" w:hanging="360"/>
      </w:pPr>
      <w:rPr>
        <w:rFonts w:ascii="Arial" w:hAnsi="Arial" w:hint="default"/>
      </w:rPr>
    </w:lvl>
    <w:lvl w:ilvl="4" w:tplc="62A00B2E" w:tentative="1">
      <w:start w:val="1"/>
      <w:numFmt w:val="bullet"/>
      <w:lvlText w:val="•"/>
      <w:lvlJc w:val="left"/>
      <w:pPr>
        <w:tabs>
          <w:tab w:val="num" w:pos="3600"/>
        </w:tabs>
        <w:ind w:left="3600" w:hanging="360"/>
      </w:pPr>
      <w:rPr>
        <w:rFonts w:ascii="Arial" w:hAnsi="Arial" w:hint="default"/>
      </w:rPr>
    </w:lvl>
    <w:lvl w:ilvl="5" w:tplc="5F8AD044" w:tentative="1">
      <w:start w:val="1"/>
      <w:numFmt w:val="bullet"/>
      <w:lvlText w:val="•"/>
      <w:lvlJc w:val="left"/>
      <w:pPr>
        <w:tabs>
          <w:tab w:val="num" w:pos="4320"/>
        </w:tabs>
        <w:ind w:left="4320" w:hanging="360"/>
      </w:pPr>
      <w:rPr>
        <w:rFonts w:ascii="Arial" w:hAnsi="Arial" w:hint="default"/>
      </w:rPr>
    </w:lvl>
    <w:lvl w:ilvl="6" w:tplc="72D8281C" w:tentative="1">
      <w:start w:val="1"/>
      <w:numFmt w:val="bullet"/>
      <w:lvlText w:val="•"/>
      <w:lvlJc w:val="left"/>
      <w:pPr>
        <w:tabs>
          <w:tab w:val="num" w:pos="5040"/>
        </w:tabs>
        <w:ind w:left="5040" w:hanging="360"/>
      </w:pPr>
      <w:rPr>
        <w:rFonts w:ascii="Arial" w:hAnsi="Arial" w:hint="default"/>
      </w:rPr>
    </w:lvl>
    <w:lvl w:ilvl="7" w:tplc="241CCF18" w:tentative="1">
      <w:start w:val="1"/>
      <w:numFmt w:val="bullet"/>
      <w:lvlText w:val="•"/>
      <w:lvlJc w:val="left"/>
      <w:pPr>
        <w:tabs>
          <w:tab w:val="num" w:pos="5760"/>
        </w:tabs>
        <w:ind w:left="5760" w:hanging="360"/>
      </w:pPr>
      <w:rPr>
        <w:rFonts w:ascii="Arial" w:hAnsi="Arial" w:hint="default"/>
      </w:rPr>
    </w:lvl>
    <w:lvl w:ilvl="8" w:tplc="59B85F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680AAA"/>
    <w:multiLevelType w:val="hybridMultilevel"/>
    <w:tmpl w:val="A0904A78"/>
    <w:lvl w:ilvl="0" w:tplc="7158AE0A">
      <w:start w:val="1"/>
      <w:numFmt w:val="bullet"/>
      <w:lvlText w:val="·"/>
      <w:lvlJc w:val="left"/>
      <w:pPr>
        <w:ind w:left="720" w:hanging="360"/>
      </w:pPr>
      <w:rPr>
        <w:rFonts w:ascii="Symbol" w:hAnsi="Symbol" w:hint="default"/>
      </w:rPr>
    </w:lvl>
    <w:lvl w:ilvl="1" w:tplc="4DF6435C">
      <w:start w:val="1"/>
      <w:numFmt w:val="bullet"/>
      <w:lvlText w:val="o"/>
      <w:lvlJc w:val="left"/>
      <w:pPr>
        <w:ind w:left="1440" w:hanging="360"/>
      </w:pPr>
      <w:rPr>
        <w:rFonts w:ascii="Courier New" w:hAnsi="Courier New" w:hint="default"/>
      </w:rPr>
    </w:lvl>
    <w:lvl w:ilvl="2" w:tplc="8B5E3AF2">
      <w:start w:val="1"/>
      <w:numFmt w:val="bullet"/>
      <w:lvlText w:val=""/>
      <w:lvlJc w:val="left"/>
      <w:pPr>
        <w:ind w:left="2160" w:hanging="360"/>
      </w:pPr>
      <w:rPr>
        <w:rFonts w:ascii="Wingdings" w:hAnsi="Wingdings" w:hint="default"/>
      </w:rPr>
    </w:lvl>
    <w:lvl w:ilvl="3" w:tplc="AFE8D088">
      <w:start w:val="1"/>
      <w:numFmt w:val="bullet"/>
      <w:lvlText w:val=""/>
      <w:lvlJc w:val="left"/>
      <w:pPr>
        <w:ind w:left="2880" w:hanging="360"/>
      </w:pPr>
      <w:rPr>
        <w:rFonts w:ascii="Symbol" w:hAnsi="Symbol" w:hint="default"/>
      </w:rPr>
    </w:lvl>
    <w:lvl w:ilvl="4" w:tplc="A4888B10">
      <w:start w:val="1"/>
      <w:numFmt w:val="bullet"/>
      <w:lvlText w:val="o"/>
      <w:lvlJc w:val="left"/>
      <w:pPr>
        <w:ind w:left="3600" w:hanging="360"/>
      </w:pPr>
      <w:rPr>
        <w:rFonts w:ascii="Courier New" w:hAnsi="Courier New" w:hint="default"/>
      </w:rPr>
    </w:lvl>
    <w:lvl w:ilvl="5" w:tplc="5CE894C2">
      <w:start w:val="1"/>
      <w:numFmt w:val="bullet"/>
      <w:lvlText w:val=""/>
      <w:lvlJc w:val="left"/>
      <w:pPr>
        <w:ind w:left="4320" w:hanging="360"/>
      </w:pPr>
      <w:rPr>
        <w:rFonts w:ascii="Wingdings" w:hAnsi="Wingdings" w:hint="default"/>
      </w:rPr>
    </w:lvl>
    <w:lvl w:ilvl="6" w:tplc="73282F30">
      <w:start w:val="1"/>
      <w:numFmt w:val="bullet"/>
      <w:lvlText w:val=""/>
      <w:lvlJc w:val="left"/>
      <w:pPr>
        <w:ind w:left="5040" w:hanging="360"/>
      </w:pPr>
      <w:rPr>
        <w:rFonts w:ascii="Symbol" w:hAnsi="Symbol" w:hint="default"/>
      </w:rPr>
    </w:lvl>
    <w:lvl w:ilvl="7" w:tplc="D192725E">
      <w:start w:val="1"/>
      <w:numFmt w:val="bullet"/>
      <w:lvlText w:val="o"/>
      <w:lvlJc w:val="left"/>
      <w:pPr>
        <w:ind w:left="5760" w:hanging="360"/>
      </w:pPr>
      <w:rPr>
        <w:rFonts w:ascii="Courier New" w:hAnsi="Courier New" w:hint="default"/>
      </w:rPr>
    </w:lvl>
    <w:lvl w:ilvl="8" w:tplc="19A079BA">
      <w:start w:val="1"/>
      <w:numFmt w:val="bullet"/>
      <w:lvlText w:val=""/>
      <w:lvlJc w:val="left"/>
      <w:pPr>
        <w:ind w:left="6480" w:hanging="360"/>
      </w:pPr>
      <w:rPr>
        <w:rFonts w:ascii="Wingdings" w:hAnsi="Wingdings" w:hint="default"/>
      </w:rPr>
    </w:lvl>
  </w:abstractNum>
  <w:abstractNum w:abstractNumId="6" w15:restartNumberingAfterBreak="0">
    <w:nsid w:val="2A5C5494"/>
    <w:multiLevelType w:val="hybridMultilevel"/>
    <w:tmpl w:val="C44AE1EA"/>
    <w:lvl w:ilvl="0" w:tplc="4D0C38B0">
      <w:start w:val="4"/>
      <w:numFmt w:val="decimal"/>
      <w:lvlText w:val="%1."/>
      <w:lvlJc w:val="left"/>
      <w:pPr>
        <w:ind w:left="720" w:hanging="360"/>
      </w:pPr>
    </w:lvl>
    <w:lvl w:ilvl="1" w:tplc="4B7E9AC8">
      <w:start w:val="1"/>
      <w:numFmt w:val="lowerLetter"/>
      <w:lvlText w:val="%2."/>
      <w:lvlJc w:val="left"/>
      <w:pPr>
        <w:ind w:left="1440" w:hanging="360"/>
      </w:pPr>
    </w:lvl>
    <w:lvl w:ilvl="2" w:tplc="88A6B224">
      <w:start w:val="1"/>
      <w:numFmt w:val="lowerRoman"/>
      <w:lvlText w:val="%3."/>
      <w:lvlJc w:val="right"/>
      <w:pPr>
        <w:ind w:left="2160" w:hanging="180"/>
      </w:pPr>
    </w:lvl>
    <w:lvl w:ilvl="3" w:tplc="BB309CE6">
      <w:start w:val="1"/>
      <w:numFmt w:val="decimal"/>
      <w:lvlText w:val="%4."/>
      <w:lvlJc w:val="left"/>
      <w:pPr>
        <w:ind w:left="2880" w:hanging="360"/>
      </w:pPr>
    </w:lvl>
    <w:lvl w:ilvl="4" w:tplc="A60C902C">
      <w:start w:val="1"/>
      <w:numFmt w:val="lowerLetter"/>
      <w:lvlText w:val="%5."/>
      <w:lvlJc w:val="left"/>
      <w:pPr>
        <w:ind w:left="3600" w:hanging="360"/>
      </w:pPr>
    </w:lvl>
    <w:lvl w:ilvl="5" w:tplc="7FB24CBE">
      <w:start w:val="1"/>
      <w:numFmt w:val="lowerRoman"/>
      <w:lvlText w:val="%6."/>
      <w:lvlJc w:val="right"/>
      <w:pPr>
        <w:ind w:left="4320" w:hanging="180"/>
      </w:pPr>
    </w:lvl>
    <w:lvl w:ilvl="6" w:tplc="9C1C574A">
      <w:start w:val="1"/>
      <w:numFmt w:val="decimal"/>
      <w:lvlText w:val="%7."/>
      <w:lvlJc w:val="left"/>
      <w:pPr>
        <w:ind w:left="5040" w:hanging="360"/>
      </w:pPr>
    </w:lvl>
    <w:lvl w:ilvl="7" w:tplc="26563D72">
      <w:start w:val="1"/>
      <w:numFmt w:val="lowerLetter"/>
      <w:lvlText w:val="%8."/>
      <w:lvlJc w:val="left"/>
      <w:pPr>
        <w:ind w:left="5760" w:hanging="360"/>
      </w:pPr>
    </w:lvl>
    <w:lvl w:ilvl="8" w:tplc="A5043990">
      <w:start w:val="1"/>
      <w:numFmt w:val="lowerRoman"/>
      <w:lvlText w:val="%9."/>
      <w:lvlJc w:val="right"/>
      <w:pPr>
        <w:ind w:left="6480" w:hanging="180"/>
      </w:pPr>
    </w:lvl>
  </w:abstractNum>
  <w:abstractNum w:abstractNumId="7" w15:restartNumberingAfterBreak="0">
    <w:nsid w:val="2AE5333D"/>
    <w:multiLevelType w:val="hybridMultilevel"/>
    <w:tmpl w:val="C7B4F3BA"/>
    <w:lvl w:ilvl="0" w:tplc="E35E3D08">
      <w:start w:val="4"/>
      <w:numFmt w:val="lowerRoman"/>
      <w:lvlText w:val="%1."/>
      <w:lvlJc w:val="right"/>
      <w:pPr>
        <w:ind w:left="720" w:hanging="360"/>
      </w:pPr>
    </w:lvl>
    <w:lvl w:ilvl="1" w:tplc="C114B16E">
      <w:start w:val="1"/>
      <w:numFmt w:val="lowerLetter"/>
      <w:lvlText w:val="%2."/>
      <w:lvlJc w:val="left"/>
      <w:pPr>
        <w:ind w:left="1440" w:hanging="360"/>
      </w:pPr>
    </w:lvl>
    <w:lvl w:ilvl="2" w:tplc="66D2088C">
      <w:start w:val="1"/>
      <w:numFmt w:val="lowerRoman"/>
      <w:lvlText w:val="%3."/>
      <w:lvlJc w:val="right"/>
      <w:pPr>
        <w:ind w:left="2160" w:hanging="180"/>
      </w:pPr>
    </w:lvl>
    <w:lvl w:ilvl="3" w:tplc="4F1C5624">
      <w:start w:val="1"/>
      <w:numFmt w:val="decimal"/>
      <w:lvlText w:val="%4."/>
      <w:lvlJc w:val="left"/>
      <w:pPr>
        <w:ind w:left="2880" w:hanging="360"/>
      </w:pPr>
    </w:lvl>
    <w:lvl w:ilvl="4" w:tplc="1F601820">
      <w:start w:val="1"/>
      <w:numFmt w:val="lowerLetter"/>
      <w:lvlText w:val="%5."/>
      <w:lvlJc w:val="left"/>
      <w:pPr>
        <w:ind w:left="3600" w:hanging="360"/>
      </w:pPr>
    </w:lvl>
    <w:lvl w:ilvl="5" w:tplc="DB9ED544">
      <w:start w:val="1"/>
      <w:numFmt w:val="lowerRoman"/>
      <w:lvlText w:val="%6."/>
      <w:lvlJc w:val="right"/>
      <w:pPr>
        <w:ind w:left="4320" w:hanging="180"/>
      </w:pPr>
    </w:lvl>
    <w:lvl w:ilvl="6" w:tplc="165052E2">
      <w:start w:val="1"/>
      <w:numFmt w:val="decimal"/>
      <w:lvlText w:val="%7."/>
      <w:lvlJc w:val="left"/>
      <w:pPr>
        <w:ind w:left="5040" w:hanging="360"/>
      </w:pPr>
    </w:lvl>
    <w:lvl w:ilvl="7" w:tplc="1DACCBB8">
      <w:start w:val="1"/>
      <w:numFmt w:val="lowerLetter"/>
      <w:lvlText w:val="%8."/>
      <w:lvlJc w:val="left"/>
      <w:pPr>
        <w:ind w:left="5760" w:hanging="360"/>
      </w:pPr>
    </w:lvl>
    <w:lvl w:ilvl="8" w:tplc="EB9C4168">
      <w:start w:val="1"/>
      <w:numFmt w:val="lowerRoman"/>
      <w:lvlText w:val="%9."/>
      <w:lvlJc w:val="right"/>
      <w:pPr>
        <w:ind w:left="6480" w:hanging="180"/>
      </w:pPr>
    </w:lvl>
  </w:abstractNum>
  <w:abstractNum w:abstractNumId="8" w15:restartNumberingAfterBreak="0">
    <w:nsid w:val="307B0FB2"/>
    <w:multiLevelType w:val="hybridMultilevel"/>
    <w:tmpl w:val="B16AC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71F8C"/>
    <w:multiLevelType w:val="hybridMultilevel"/>
    <w:tmpl w:val="E5D6F3CA"/>
    <w:lvl w:ilvl="0" w:tplc="04090015">
      <w:start w:val="1"/>
      <w:numFmt w:val="upperLetter"/>
      <w:lvlText w:val="%1."/>
      <w:lvlJc w:val="left"/>
      <w:pPr>
        <w:ind w:left="72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350" w:hanging="180"/>
      </w:pPr>
    </w:lvl>
    <w:lvl w:ilvl="3" w:tplc="0409000F">
      <w:start w:val="1"/>
      <w:numFmt w:val="decimal"/>
      <w:lvlText w:val="%4."/>
      <w:lvlJc w:val="left"/>
      <w:pPr>
        <w:ind w:left="18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AE0D6"/>
    <w:multiLevelType w:val="hybridMultilevel"/>
    <w:tmpl w:val="426C8D58"/>
    <w:lvl w:ilvl="0" w:tplc="D8CED418">
      <w:start w:val="1"/>
      <w:numFmt w:val="upperLetter"/>
      <w:lvlText w:val="%1."/>
      <w:lvlJc w:val="left"/>
      <w:pPr>
        <w:ind w:left="720" w:hanging="360"/>
      </w:pPr>
    </w:lvl>
    <w:lvl w:ilvl="1" w:tplc="48540FCE">
      <w:start w:val="1"/>
      <w:numFmt w:val="lowerLetter"/>
      <w:lvlText w:val="%2."/>
      <w:lvlJc w:val="left"/>
      <w:pPr>
        <w:ind w:left="1440" w:hanging="360"/>
      </w:pPr>
    </w:lvl>
    <w:lvl w:ilvl="2" w:tplc="B290C620">
      <w:start w:val="1"/>
      <w:numFmt w:val="lowerRoman"/>
      <w:lvlText w:val="%3."/>
      <w:lvlJc w:val="right"/>
      <w:pPr>
        <w:ind w:left="2160" w:hanging="180"/>
      </w:pPr>
    </w:lvl>
    <w:lvl w:ilvl="3" w:tplc="75886882">
      <w:start w:val="1"/>
      <w:numFmt w:val="decimal"/>
      <w:lvlText w:val="%4."/>
      <w:lvlJc w:val="left"/>
      <w:pPr>
        <w:ind w:left="2880" w:hanging="360"/>
      </w:pPr>
    </w:lvl>
    <w:lvl w:ilvl="4" w:tplc="9B3005DE">
      <w:start w:val="1"/>
      <w:numFmt w:val="lowerLetter"/>
      <w:lvlText w:val="%5."/>
      <w:lvlJc w:val="left"/>
      <w:pPr>
        <w:ind w:left="3600" w:hanging="360"/>
      </w:pPr>
    </w:lvl>
    <w:lvl w:ilvl="5" w:tplc="8E12F0E6">
      <w:start w:val="1"/>
      <w:numFmt w:val="lowerRoman"/>
      <w:lvlText w:val="%6."/>
      <w:lvlJc w:val="right"/>
      <w:pPr>
        <w:ind w:left="4320" w:hanging="180"/>
      </w:pPr>
    </w:lvl>
    <w:lvl w:ilvl="6" w:tplc="42CAA522">
      <w:start w:val="1"/>
      <w:numFmt w:val="decimal"/>
      <w:lvlText w:val="%7."/>
      <w:lvlJc w:val="left"/>
      <w:pPr>
        <w:ind w:left="5040" w:hanging="360"/>
      </w:pPr>
    </w:lvl>
    <w:lvl w:ilvl="7" w:tplc="983833EA">
      <w:start w:val="1"/>
      <w:numFmt w:val="lowerLetter"/>
      <w:lvlText w:val="%8."/>
      <w:lvlJc w:val="left"/>
      <w:pPr>
        <w:ind w:left="5760" w:hanging="360"/>
      </w:pPr>
    </w:lvl>
    <w:lvl w:ilvl="8" w:tplc="0A70EC96">
      <w:start w:val="1"/>
      <w:numFmt w:val="lowerRoman"/>
      <w:lvlText w:val="%9."/>
      <w:lvlJc w:val="right"/>
      <w:pPr>
        <w:ind w:left="6480" w:hanging="180"/>
      </w:pPr>
    </w:lvl>
  </w:abstractNum>
  <w:abstractNum w:abstractNumId="11" w15:restartNumberingAfterBreak="0">
    <w:nsid w:val="335EB500"/>
    <w:multiLevelType w:val="hybridMultilevel"/>
    <w:tmpl w:val="EDC8D066"/>
    <w:lvl w:ilvl="0" w:tplc="7E308A28">
      <w:start w:val="1"/>
      <w:numFmt w:val="bullet"/>
      <w:lvlText w:val="·"/>
      <w:lvlJc w:val="left"/>
      <w:pPr>
        <w:ind w:left="720" w:hanging="360"/>
      </w:pPr>
      <w:rPr>
        <w:rFonts w:ascii="Symbol" w:hAnsi="Symbol" w:hint="default"/>
      </w:rPr>
    </w:lvl>
    <w:lvl w:ilvl="1" w:tplc="9E4675B8">
      <w:start w:val="1"/>
      <w:numFmt w:val="bullet"/>
      <w:lvlText w:val="o"/>
      <w:lvlJc w:val="left"/>
      <w:pPr>
        <w:ind w:left="1440" w:hanging="360"/>
      </w:pPr>
      <w:rPr>
        <w:rFonts w:ascii="Courier New" w:hAnsi="Courier New" w:hint="default"/>
      </w:rPr>
    </w:lvl>
    <w:lvl w:ilvl="2" w:tplc="A314DE84">
      <w:start w:val="1"/>
      <w:numFmt w:val="bullet"/>
      <w:lvlText w:val=""/>
      <w:lvlJc w:val="left"/>
      <w:pPr>
        <w:ind w:left="2160" w:hanging="360"/>
      </w:pPr>
      <w:rPr>
        <w:rFonts w:ascii="Wingdings" w:hAnsi="Wingdings" w:hint="default"/>
      </w:rPr>
    </w:lvl>
    <w:lvl w:ilvl="3" w:tplc="EA324770">
      <w:start w:val="1"/>
      <w:numFmt w:val="bullet"/>
      <w:lvlText w:val=""/>
      <w:lvlJc w:val="left"/>
      <w:pPr>
        <w:ind w:left="2880" w:hanging="360"/>
      </w:pPr>
      <w:rPr>
        <w:rFonts w:ascii="Symbol" w:hAnsi="Symbol" w:hint="default"/>
      </w:rPr>
    </w:lvl>
    <w:lvl w:ilvl="4" w:tplc="0BE0FAC0">
      <w:start w:val="1"/>
      <w:numFmt w:val="bullet"/>
      <w:lvlText w:val="o"/>
      <w:lvlJc w:val="left"/>
      <w:pPr>
        <w:ind w:left="3600" w:hanging="360"/>
      </w:pPr>
      <w:rPr>
        <w:rFonts w:ascii="Courier New" w:hAnsi="Courier New" w:hint="default"/>
      </w:rPr>
    </w:lvl>
    <w:lvl w:ilvl="5" w:tplc="5386C5DE">
      <w:start w:val="1"/>
      <w:numFmt w:val="bullet"/>
      <w:lvlText w:val=""/>
      <w:lvlJc w:val="left"/>
      <w:pPr>
        <w:ind w:left="4320" w:hanging="360"/>
      </w:pPr>
      <w:rPr>
        <w:rFonts w:ascii="Wingdings" w:hAnsi="Wingdings" w:hint="default"/>
      </w:rPr>
    </w:lvl>
    <w:lvl w:ilvl="6" w:tplc="672C5934">
      <w:start w:val="1"/>
      <w:numFmt w:val="bullet"/>
      <w:lvlText w:val=""/>
      <w:lvlJc w:val="left"/>
      <w:pPr>
        <w:ind w:left="5040" w:hanging="360"/>
      </w:pPr>
      <w:rPr>
        <w:rFonts w:ascii="Symbol" w:hAnsi="Symbol" w:hint="default"/>
      </w:rPr>
    </w:lvl>
    <w:lvl w:ilvl="7" w:tplc="893EB080">
      <w:start w:val="1"/>
      <w:numFmt w:val="bullet"/>
      <w:lvlText w:val="o"/>
      <w:lvlJc w:val="left"/>
      <w:pPr>
        <w:ind w:left="5760" w:hanging="360"/>
      </w:pPr>
      <w:rPr>
        <w:rFonts w:ascii="Courier New" w:hAnsi="Courier New" w:hint="default"/>
      </w:rPr>
    </w:lvl>
    <w:lvl w:ilvl="8" w:tplc="924E3252">
      <w:start w:val="1"/>
      <w:numFmt w:val="bullet"/>
      <w:lvlText w:val=""/>
      <w:lvlJc w:val="left"/>
      <w:pPr>
        <w:ind w:left="6480" w:hanging="360"/>
      </w:pPr>
      <w:rPr>
        <w:rFonts w:ascii="Wingdings" w:hAnsi="Wingdings" w:hint="default"/>
      </w:rPr>
    </w:lvl>
  </w:abstractNum>
  <w:abstractNum w:abstractNumId="12" w15:restartNumberingAfterBreak="0">
    <w:nsid w:val="3612184D"/>
    <w:multiLevelType w:val="hybridMultilevel"/>
    <w:tmpl w:val="0DE6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C3A55D"/>
    <w:multiLevelType w:val="hybridMultilevel"/>
    <w:tmpl w:val="BBC4E914"/>
    <w:lvl w:ilvl="0" w:tplc="597C6466">
      <w:start w:val="3"/>
      <w:numFmt w:val="decimal"/>
      <w:lvlText w:val="%1."/>
      <w:lvlJc w:val="left"/>
      <w:pPr>
        <w:ind w:left="720" w:hanging="360"/>
      </w:pPr>
    </w:lvl>
    <w:lvl w:ilvl="1" w:tplc="0F3497D0">
      <w:start w:val="1"/>
      <w:numFmt w:val="lowerLetter"/>
      <w:lvlText w:val="%2."/>
      <w:lvlJc w:val="left"/>
      <w:pPr>
        <w:ind w:left="1440" w:hanging="360"/>
      </w:pPr>
    </w:lvl>
    <w:lvl w:ilvl="2" w:tplc="842AA0C4">
      <w:start w:val="1"/>
      <w:numFmt w:val="lowerRoman"/>
      <w:lvlText w:val="%3."/>
      <w:lvlJc w:val="right"/>
      <w:pPr>
        <w:ind w:left="2160" w:hanging="180"/>
      </w:pPr>
    </w:lvl>
    <w:lvl w:ilvl="3" w:tplc="11880A2E">
      <w:start w:val="1"/>
      <w:numFmt w:val="decimal"/>
      <w:lvlText w:val="%4."/>
      <w:lvlJc w:val="left"/>
      <w:pPr>
        <w:ind w:left="2880" w:hanging="360"/>
      </w:pPr>
    </w:lvl>
    <w:lvl w:ilvl="4" w:tplc="D3807902">
      <w:start w:val="1"/>
      <w:numFmt w:val="lowerLetter"/>
      <w:lvlText w:val="%5."/>
      <w:lvlJc w:val="left"/>
      <w:pPr>
        <w:ind w:left="3600" w:hanging="360"/>
      </w:pPr>
    </w:lvl>
    <w:lvl w:ilvl="5" w:tplc="D6AAC564">
      <w:start w:val="1"/>
      <w:numFmt w:val="lowerRoman"/>
      <w:lvlText w:val="%6."/>
      <w:lvlJc w:val="right"/>
      <w:pPr>
        <w:ind w:left="4320" w:hanging="180"/>
      </w:pPr>
    </w:lvl>
    <w:lvl w:ilvl="6" w:tplc="095EA388">
      <w:start w:val="1"/>
      <w:numFmt w:val="decimal"/>
      <w:lvlText w:val="%7."/>
      <w:lvlJc w:val="left"/>
      <w:pPr>
        <w:ind w:left="5040" w:hanging="360"/>
      </w:pPr>
    </w:lvl>
    <w:lvl w:ilvl="7" w:tplc="0F10451E">
      <w:start w:val="1"/>
      <w:numFmt w:val="lowerLetter"/>
      <w:lvlText w:val="%8."/>
      <w:lvlJc w:val="left"/>
      <w:pPr>
        <w:ind w:left="5760" w:hanging="360"/>
      </w:pPr>
    </w:lvl>
    <w:lvl w:ilvl="8" w:tplc="124442A2">
      <w:start w:val="1"/>
      <w:numFmt w:val="lowerRoman"/>
      <w:lvlText w:val="%9."/>
      <w:lvlJc w:val="right"/>
      <w:pPr>
        <w:ind w:left="6480" w:hanging="180"/>
      </w:pPr>
    </w:lvl>
  </w:abstractNum>
  <w:abstractNum w:abstractNumId="14" w15:restartNumberingAfterBreak="0">
    <w:nsid w:val="3D99661B"/>
    <w:multiLevelType w:val="hybridMultilevel"/>
    <w:tmpl w:val="E0886C1C"/>
    <w:lvl w:ilvl="0" w:tplc="F50C9862">
      <w:start w:val="1"/>
      <w:numFmt w:val="bullet"/>
      <w:lvlText w:val=""/>
      <w:lvlJc w:val="left"/>
      <w:pPr>
        <w:ind w:left="720" w:hanging="360"/>
      </w:pPr>
      <w:rPr>
        <w:rFonts w:ascii="Symbol" w:hAnsi="Symbol"/>
      </w:rPr>
    </w:lvl>
    <w:lvl w:ilvl="1" w:tplc="5330BD86">
      <w:start w:val="1"/>
      <w:numFmt w:val="bullet"/>
      <w:lvlText w:val=""/>
      <w:lvlJc w:val="left"/>
      <w:pPr>
        <w:ind w:left="720" w:hanging="360"/>
      </w:pPr>
      <w:rPr>
        <w:rFonts w:ascii="Symbol" w:hAnsi="Symbol"/>
      </w:rPr>
    </w:lvl>
    <w:lvl w:ilvl="2" w:tplc="5E90261C">
      <w:start w:val="1"/>
      <w:numFmt w:val="bullet"/>
      <w:lvlText w:val=""/>
      <w:lvlJc w:val="left"/>
      <w:pPr>
        <w:ind w:left="720" w:hanging="360"/>
      </w:pPr>
      <w:rPr>
        <w:rFonts w:ascii="Symbol" w:hAnsi="Symbol"/>
      </w:rPr>
    </w:lvl>
    <w:lvl w:ilvl="3" w:tplc="49860C4E">
      <w:start w:val="1"/>
      <w:numFmt w:val="bullet"/>
      <w:lvlText w:val=""/>
      <w:lvlJc w:val="left"/>
      <w:pPr>
        <w:ind w:left="720" w:hanging="360"/>
      </w:pPr>
      <w:rPr>
        <w:rFonts w:ascii="Symbol" w:hAnsi="Symbol"/>
      </w:rPr>
    </w:lvl>
    <w:lvl w:ilvl="4" w:tplc="8764828C">
      <w:start w:val="1"/>
      <w:numFmt w:val="bullet"/>
      <w:lvlText w:val=""/>
      <w:lvlJc w:val="left"/>
      <w:pPr>
        <w:ind w:left="720" w:hanging="360"/>
      </w:pPr>
      <w:rPr>
        <w:rFonts w:ascii="Symbol" w:hAnsi="Symbol"/>
      </w:rPr>
    </w:lvl>
    <w:lvl w:ilvl="5" w:tplc="9E9C6BA8">
      <w:start w:val="1"/>
      <w:numFmt w:val="bullet"/>
      <w:lvlText w:val=""/>
      <w:lvlJc w:val="left"/>
      <w:pPr>
        <w:ind w:left="720" w:hanging="360"/>
      </w:pPr>
      <w:rPr>
        <w:rFonts w:ascii="Symbol" w:hAnsi="Symbol"/>
      </w:rPr>
    </w:lvl>
    <w:lvl w:ilvl="6" w:tplc="6D5AA8EE">
      <w:start w:val="1"/>
      <w:numFmt w:val="bullet"/>
      <w:lvlText w:val=""/>
      <w:lvlJc w:val="left"/>
      <w:pPr>
        <w:ind w:left="720" w:hanging="360"/>
      </w:pPr>
      <w:rPr>
        <w:rFonts w:ascii="Symbol" w:hAnsi="Symbol"/>
      </w:rPr>
    </w:lvl>
    <w:lvl w:ilvl="7" w:tplc="3A02C034">
      <w:start w:val="1"/>
      <w:numFmt w:val="bullet"/>
      <w:lvlText w:val=""/>
      <w:lvlJc w:val="left"/>
      <w:pPr>
        <w:ind w:left="720" w:hanging="360"/>
      </w:pPr>
      <w:rPr>
        <w:rFonts w:ascii="Symbol" w:hAnsi="Symbol"/>
      </w:rPr>
    </w:lvl>
    <w:lvl w:ilvl="8" w:tplc="3E7CAC58">
      <w:start w:val="1"/>
      <w:numFmt w:val="bullet"/>
      <w:lvlText w:val=""/>
      <w:lvlJc w:val="left"/>
      <w:pPr>
        <w:ind w:left="720" w:hanging="360"/>
      </w:pPr>
      <w:rPr>
        <w:rFonts w:ascii="Symbol" w:hAnsi="Symbol"/>
      </w:rPr>
    </w:lvl>
  </w:abstractNum>
  <w:abstractNum w:abstractNumId="15" w15:restartNumberingAfterBreak="0">
    <w:nsid w:val="3E92B132"/>
    <w:multiLevelType w:val="hybridMultilevel"/>
    <w:tmpl w:val="B89A69DC"/>
    <w:lvl w:ilvl="0" w:tplc="76367FE6">
      <w:start w:val="2"/>
      <w:numFmt w:val="decimal"/>
      <w:lvlText w:val="%1."/>
      <w:lvlJc w:val="left"/>
      <w:pPr>
        <w:ind w:left="720" w:hanging="360"/>
      </w:pPr>
    </w:lvl>
    <w:lvl w:ilvl="1" w:tplc="FDA082D6">
      <w:start w:val="1"/>
      <w:numFmt w:val="lowerLetter"/>
      <w:lvlText w:val="%2."/>
      <w:lvlJc w:val="left"/>
      <w:pPr>
        <w:ind w:left="1440" w:hanging="360"/>
      </w:pPr>
    </w:lvl>
    <w:lvl w:ilvl="2" w:tplc="C780091C">
      <w:start w:val="1"/>
      <w:numFmt w:val="lowerRoman"/>
      <w:lvlText w:val="%3."/>
      <w:lvlJc w:val="right"/>
      <w:pPr>
        <w:ind w:left="2160" w:hanging="180"/>
      </w:pPr>
    </w:lvl>
    <w:lvl w:ilvl="3" w:tplc="DD385138">
      <w:start w:val="1"/>
      <w:numFmt w:val="decimal"/>
      <w:lvlText w:val="%4."/>
      <w:lvlJc w:val="left"/>
      <w:pPr>
        <w:ind w:left="2880" w:hanging="360"/>
      </w:pPr>
    </w:lvl>
    <w:lvl w:ilvl="4" w:tplc="2AC04FC2">
      <w:start w:val="1"/>
      <w:numFmt w:val="lowerLetter"/>
      <w:lvlText w:val="%5."/>
      <w:lvlJc w:val="left"/>
      <w:pPr>
        <w:ind w:left="3600" w:hanging="360"/>
      </w:pPr>
    </w:lvl>
    <w:lvl w:ilvl="5" w:tplc="4378E018">
      <w:start w:val="1"/>
      <w:numFmt w:val="lowerRoman"/>
      <w:lvlText w:val="%6."/>
      <w:lvlJc w:val="right"/>
      <w:pPr>
        <w:ind w:left="4320" w:hanging="180"/>
      </w:pPr>
    </w:lvl>
    <w:lvl w:ilvl="6" w:tplc="919CBB20">
      <w:start w:val="1"/>
      <w:numFmt w:val="decimal"/>
      <w:lvlText w:val="%7."/>
      <w:lvlJc w:val="left"/>
      <w:pPr>
        <w:ind w:left="5040" w:hanging="360"/>
      </w:pPr>
    </w:lvl>
    <w:lvl w:ilvl="7" w:tplc="747AF83A">
      <w:start w:val="1"/>
      <w:numFmt w:val="lowerLetter"/>
      <w:lvlText w:val="%8."/>
      <w:lvlJc w:val="left"/>
      <w:pPr>
        <w:ind w:left="5760" w:hanging="360"/>
      </w:pPr>
    </w:lvl>
    <w:lvl w:ilvl="8" w:tplc="7BA4E864">
      <w:start w:val="1"/>
      <w:numFmt w:val="lowerRoman"/>
      <w:lvlText w:val="%9."/>
      <w:lvlJc w:val="right"/>
      <w:pPr>
        <w:ind w:left="6480" w:hanging="180"/>
      </w:pPr>
    </w:lvl>
  </w:abstractNum>
  <w:abstractNum w:abstractNumId="16" w15:restartNumberingAfterBreak="0">
    <w:nsid w:val="3EE774A2"/>
    <w:multiLevelType w:val="hybridMultilevel"/>
    <w:tmpl w:val="064A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345F50"/>
    <w:multiLevelType w:val="hybridMultilevel"/>
    <w:tmpl w:val="72744D0E"/>
    <w:lvl w:ilvl="0" w:tplc="76C02186">
      <w:start w:val="1"/>
      <w:numFmt w:val="bullet"/>
      <w:lvlText w:val=""/>
      <w:lvlJc w:val="left"/>
      <w:pPr>
        <w:ind w:left="720" w:hanging="360"/>
      </w:pPr>
      <w:rPr>
        <w:rFonts w:ascii="Symbol" w:hAnsi="Symbol"/>
      </w:rPr>
    </w:lvl>
    <w:lvl w:ilvl="1" w:tplc="569E813E">
      <w:start w:val="1"/>
      <w:numFmt w:val="bullet"/>
      <w:lvlText w:val=""/>
      <w:lvlJc w:val="left"/>
      <w:pPr>
        <w:ind w:left="720" w:hanging="360"/>
      </w:pPr>
      <w:rPr>
        <w:rFonts w:ascii="Symbol" w:hAnsi="Symbol"/>
      </w:rPr>
    </w:lvl>
    <w:lvl w:ilvl="2" w:tplc="90F0E79A">
      <w:start w:val="1"/>
      <w:numFmt w:val="bullet"/>
      <w:lvlText w:val=""/>
      <w:lvlJc w:val="left"/>
      <w:pPr>
        <w:ind w:left="720" w:hanging="360"/>
      </w:pPr>
      <w:rPr>
        <w:rFonts w:ascii="Symbol" w:hAnsi="Symbol"/>
      </w:rPr>
    </w:lvl>
    <w:lvl w:ilvl="3" w:tplc="A8CE8972">
      <w:start w:val="1"/>
      <w:numFmt w:val="bullet"/>
      <w:lvlText w:val=""/>
      <w:lvlJc w:val="left"/>
      <w:pPr>
        <w:ind w:left="720" w:hanging="360"/>
      </w:pPr>
      <w:rPr>
        <w:rFonts w:ascii="Symbol" w:hAnsi="Symbol"/>
      </w:rPr>
    </w:lvl>
    <w:lvl w:ilvl="4" w:tplc="819CD158">
      <w:start w:val="1"/>
      <w:numFmt w:val="bullet"/>
      <w:lvlText w:val=""/>
      <w:lvlJc w:val="left"/>
      <w:pPr>
        <w:ind w:left="720" w:hanging="360"/>
      </w:pPr>
      <w:rPr>
        <w:rFonts w:ascii="Symbol" w:hAnsi="Symbol"/>
      </w:rPr>
    </w:lvl>
    <w:lvl w:ilvl="5" w:tplc="A95A4BA8">
      <w:start w:val="1"/>
      <w:numFmt w:val="bullet"/>
      <w:lvlText w:val=""/>
      <w:lvlJc w:val="left"/>
      <w:pPr>
        <w:ind w:left="720" w:hanging="360"/>
      </w:pPr>
      <w:rPr>
        <w:rFonts w:ascii="Symbol" w:hAnsi="Symbol"/>
      </w:rPr>
    </w:lvl>
    <w:lvl w:ilvl="6" w:tplc="C308C3A2">
      <w:start w:val="1"/>
      <w:numFmt w:val="bullet"/>
      <w:lvlText w:val=""/>
      <w:lvlJc w:val="left"/>
      <w:pPr>
        <w:ind w:left="720" w:hanging="360"/>
      </w:pPr>
      <w:rPr>
        <w:rFonts w:ascii="Symbol" w:hAnsi="Symbol"/>
      </w:rPr>
    </w:lvl>
    <w:lvl w:ilvl="7" w:tplc="A9269032">
      <w:start w:val="1"/>
      <w:numFmt w:val="bullet"/>
      <w:lvlText w:val=""/>
      <w:lvlJc w:val="left"/>
      <w:pPr>
        <w:ind w:left="720" w:hanging="360"/>
      </w:pPr>
      <w:rPr>
        <w:rFonts w:ascii="Symbol" w:hAnsi="Symbol"/>
      </w:rPr>
    </w:lvl>
    <w:lvl w:ilvl="8" w:tplc="76F8673A">
      <w:start w:val="1"/>
      <w:numFmt w:val="bullet"/>
      <w:lvlText w:val=""/>
      <w:lvlJc w:val="left"/>
      <w:pPr>
        <w:ind w:left="720" w:hanging="360"/>
      </w:pPr>
      <w:rPr>
        <w:rFonts w:ascii="Symbol" w:hAnsi="Symbol"/>
      </w:rPr>
    </w:lvl>
  </w:abstractNum>
  <w:abstractNum w:abstractNumId="18" w15:restartNumberingAfterBreak="0">
    <w:nsid w:val="45716A34"/>
    <w:multiLevelType w:val="hybridMultilevel"/>
    <w:tmpl w:val="D01A1082"/>
    <w:lvl w:ilvl="0" w:tplc="A8FC6F98">
      <w:start w:val="5"/>
      <w:numFmt w:val="decimal"/>
      <w:lvlText w:val="%1."/>
      <w:lvlJc w:val="left"/>
      <w:pPr>
        <w:ind w:left="720" w:hanging="360"/>
      </w:pPr>
    </w:lvl>
    <w:lvl w:ilvl="1" w:tplc="B8D412C6">
      <w:start w:val="1"/>
      <w:numFmt w:val="lowerLetter"/>
      <w:lvlText w:val="%2."/>
      <w:lvlJc w:val="left"/>
      <w:pPr>
        <w:ind w:left="1440" w:hanging="360"/>
      </w:pPr>
    </w:lvl>
    <w:lvl w:ilvl="2" w:tplc="9F285B94">
      <w:start w:val="1"/>
      <w:numFmt w:val="lowerRoman"/>
      <w:lvlText w:val="%3."/>
      <w:lvlJc w:val="right"/>
      <w:pPr>
        <w:ind w:left="2160" w:hanging="180"/>
      </w:pPr>
    </w:lvl>
    <w:lvl w:ilvl="3" w:tplc="D898F526">
      <w:start w:val="1"/>
      <w:numFmt w:val="decimal"/>
      <w:lvlText w:val="%4."/>
      <w:lvlJc w:val="left"/>
      <w:pPr>
        <w:ind w:left="2880" w:hanging="360"/>
      </w:pPr>
    </w:lvl>
    <w:lvl w:ilvl="4" w:tplc="43381F2E">
      <w:start w:val="1"/>
      <w:numFmt w:val="lowerLetter"/>
      <w:lvlText w:val="%5."/>
      <w:lvlJc w:val="left"/>
      <w:pPr>
        <w:ind w:left="3600" w:hanging="360"/>
      </w:pPr>
    </w:lvl>
    <w:lvl w:ilvl="5" w:tplc="7702FCB0">
      <w:start w:val="1"/>
      <w:numFmt w:val="lowerRoman"/>
      <w:lvlText w:val="%6."/>
      <w:lvlJc w:val="right"/>
      <w:pPr>
        <w:ind w:left="4320" w:hanging="180"/>
      </w:pPr>
    </w:lvl>
    <w:lvl w:ilvl="6" w:tplc="811441AA">
      <w:start w:val="1"/>
      <w:numFmt w:val="decimal"/>
      <w:lvlText w:val="%7."/>
      <w:lvlJc w:val="left"/>
      <w:pPr>
        <w:ind w:left="5040" w:hanging="360"/>
      </w:pPr>
    </w:lvl>
    <w:lvl w:ilvl="7" w:tplc="951494B4">
      <w:start w:val="1"/>
      <w:numFmt w:val="lowerLetter"/>
      <w:lvlText w:val="%8."/>
      <w:lvlJc w:val="left"/>
      <w:pPr>
        <w:ind w:left="5760" w:hanging="360"/>
      </w:pPr>
    </w:lvl>
    <w:lvl w:ilvl="8" w:tplc="2BDE36C0">
      <w:start w:val="1"/>
      <w:numFmt w:val="lowerRoman"/>
      <w:lvlText w:val="%9."/>
      <w:lvlJc w:val="right"/>
      <w:pPr>
        <w:ind w:left="6480" w:hanging="180"/>
      </w:pPr>
    </w:lvl>
  </w:abstractNum>
  <w:abstractNum w:abstractNumId="19" w15:restartNumberingAfterBreak="0">
    <w:nsid w:val="46916A23"/>
    <w:multiLevelType w:val="hybridMultilevel"/>
    <w:tmpl w:val="FDDECF8C"/>
    <w:lvl w:ilvl="0" w:tplc="B784D51E">
      <w:start w:val="1"/>
      <w:numFmt w:val="bullet"/>
      <w:lvlText w:val="·"/>
      <w:lvlJc w:val="left"/>
      <w:pPr>
        <w:ind w:left="720" w:hanging="360"/>
      </w:pPr>
      <w:rPr>
        <w:rFonts w:ascii="Symbol" w:hAnsi="Symbol" w:hint="default"/>
      </w:rPr>
    </w:lvl>
    <w:lvl w:ilvl="1" w:tplc="7792AB70">
      <w:start w:val="1"/>
      <w:numFmt w:val="bullet"/>
      <w:lvlText w:val="o"/>
      <w:lvlJc w:val="left"/>
      <w:pPr>
        <w:ind w:left="1440" w:hanging="360"/>
      </w:pPr>
      <w:rPr>
        <w:rFonts w:ascii="Courier New" w:hAnsi="Courier New" w:hint="default"/>
      </w:rPr>
    </w:lvl>
    <w:lvl w:ilvl="2" w:tplc="9C40DA82">
      <w:start w:val="1"/>
      <w:numFmt w:val="bullet"/>
      <w:lvlText w:val=""/>
      <w:lvlJc w:val="left"/>
      <w:pPr>
        <w:ind w:left="2160" w:hanging="360"/>
      </w:pPr>
      <w:rPr>
        <w:rFonts w:ascii="Wingdings" w:hAnsi="Wingdings" w:hint="default"/>
      </w:rPr>
    </w:lvl>
    <w:lvl w:ilvl="3" w:tplc="55B6A518">
      <w:start w:val="1"/>
      <w:numFmt w:val="bullet"/>
      <w:lvlText w:val=""/>
      <w:lvlJc w:val="left"/>
      <w:pPr>
        <w:ind w:left="2880" w:hanging="360"/>
      </w:pPr>
      <w:rPr>
        <w:rFonts w:ascii="Symbol" w:hAnsi="Symbol" w:hint="default"/>
      </w:rPr>
    </w:lvl>
    <w:lvl w:ilvl="4" w:tplc="1BCA682C">
      <w:start w:val="1"/>
      <w:numFmt w:val="bullet"/>
      <w:lvlText w:val="o"/>
      <w:lvlJc w:val="left"/>
      <w:pPr>
        <w:ind w:left="3600" w:hanging="360"/>
      </w:pPr>
      <w:rPr>
        <w:rFonts w:ascii="Courier New" w:hAnsi="Courier New" w:hint="default"/>
      </w:rPr>
    </w:lvl>
    <w:lvl w:ilvl="5" w:tplc="EE8AD444">
      <w:start w:val="1"/>
      <w:numFmt w:val="bullet"/>
      <w:lvlText w:val=""/>
      <w:lvlJc w:val="left"/>
      <w:pPr>
        <w:ind w:left="4320" w:hanging="360"/>
      </w:pPr>
      <w:rPr>
        <w:rFonts w:ascii="Wingdings" w:hAnsi="Wingdings" w:hint="default"/>
      </w:rPr>
    </w:lvl>
    <w:lvl w:ilvl="6" w:tplc="DFB00746">
      <w:start w:val="1"/>
      <w:numFmt w:val="bullet"/>
      <w:lvlText w:val=""/>
      <w:lvlJc w:val="left"/>
      <w:pPr>
        <w:ind w:left="5040" w:hanging="360"/>
      </w:pPr>
      <w:rPr>
        <w:rFonts w:ascii="Symbol" w:hAnsi="Symbol" w:hint="default"/>
      </w:rPr>
    </w:lvl>
    <w:lvl w:ilvl="7" w:tplc="66343958">
      <w:start w:val="1"/>
      <w:numFmt w:val="bullet"/>
      <w:lvlText w:val="o"/>
      <w:lvlJc w:val="left"/>
      <w:pPr>
        <w:ind w:left="5760" w:hanging="360"/>
      </w:pPr>
      <w:rPr>
        <w:rFonts w:ascii="Courier New" w:hAnsi="Courier New" w:hint="default"/>
      </w:rPr>
    </w:lvl>
    <w:lvl w:ilvl="8" w:tplc="45B6E60C">
      <w:start w:val="1"/>
      <w:numFmt w:val="bullet"/>
      <w:lvlText w:val=""/>
      <w:lvlJc w:val="left"/>
      <w:pPr>
        <w:ind w:left="6480" w:hanging="360"/>
      </w:pPr>
      <w:rPr>
        <w:rFonts w:ascii="Wingdings" w:hAnsi="Wingdings" w:hint="default"/>
      </w:rPr>
    </w:lvl>
  </w:abstractNum>
  <w:abstractNum w:abstractNumId="20" w15:restartNumberingAfterBreak="0">
    <w:nsid w:val="487DB5B1"/>
    <w:multiLevelType w:val="hybridMultilevel"/>
    <w:tmpl w:val="E72AC554"/>
    <w:lvl w:ilvl="0" w:tplc="9D9CEF78">
      <w:start w:val="1"/>
      <w:numFmt w:val="decimal"/>
      <w:lvlText w:val="%1."/>
      <w:lvlJc w:val="left"/>
      <w:pPr>
        <w:ind w:left="720" w:hanging="360"/>
      </w:pPr>
    </w:lvl>
    <w:lvl w:ilvl="1" w:tplc="602AC53C">
      <w:start w:val="1"/>
      <w:numFmt w:val="lowerLetter"/>
      <w:lvlText w:val="%2."/>
      <w:lvlJc w:val="left"/>
      <w:pPr>
        <w:ind w:left="1440" w:hanging="360"/>
      </w:pPr>
    </w:lvl>
    <w:lvl w:ilvl="2" w:tplc="1E226C8E">
      <w:start w:val="1"/>
      <w:numFmt w:val="lowerRoman"/>
      <w:lvlText w:val="%3."/>
      <w:lvlJc w:val="right"/>
      <w:pPr>
        <w:ind w:left="2160" w:hanging="180"/>
      </w:pPr>
    </w:lvl>
    <w:lvl w:ilvl="3" w:tplc="FF4823C0">
      <w:start w:val="1"/>
      <w:numFmt w:val="decimal"/>
      <w:lvlText w:val="%4."/>
      <w:lvlJc w:val="left"/>
      <w:pPr>
        <w:ind w:left="2880" w:hanging="360"/>
      </w:pPr>
    </w:lvl>
    <w:lvl w:ilvl="4" w:tplc="C0BC9D96">
      <w:start w:val="1"/>
      <w:numFmt w:val="lowerLetter"/>
      <w:lvlText w:val="%5."/>
      <w:lvlJc w:val="left"/>
      <w:pPr>
        <w:ind w:left="3600" w:hanging="360"/>
      </w:pPr>
    </w:lvl>
    <w:lvl w:ilvl="5" w:tplc="06287772">
      <w:start w:val="1"/>
      <w:numFmt w:val="lowerRoman"/>
      <w:lvlText w:val="%6."/>
      <w:lvlJc w:val="right"/>
      <w:pPr>
        <w:ind w:left="4320" w:hanging="180"/>
      </w:pPr>
    </w:lvl>
    <w:lvl w:ilvl="6" w:tplc="F12E30E4">
      <w:start w:val="1"/>
      <w:numFmt w:val="decimal"/>
      <w:lvlText w:val="%7."/>
      <w:lvlJc w:val="left"/>
      <w:pPr>
        <w:ind w:left="5040" w:hanging="360"/>
      </w:pPr>
    </w:lvl>
    <w:lvl w:ilvl="7" w:tplc="EC287208">
      <w:start w:val="1"/>
      <w:numFmt w:val="lowerLetter"/>
      <w:lvlText w:val="%8."/>
      <w:lvlJc w:val="left"/>
      <w:pPr>
        <w:ind w:left="5760" w:hanging="360"/>
      </w:pPr>
    </w:lvl>
    <w:lvl w:ilvl="8" w:tplc="2808FDB0">
      <w:start w:val="1"/>
      <w:numFmt w:val="lowerRoman"/>
      <w:lvlText w:val="%9."/>
      <w:lvlJc w:val="right"/>
      <w:pPr>
        <w:ind w:left="6480" w:hanging="180"/>
      </w:pPr>
    </w:lvl>
  </w:abstractNum>
  <w:abstractNum w:abstractNumId="21" w15:restartNumberingAfterBreak="0">
    <w:nsid w:val="48B9306F"/>
    <w:multiLevelType w:val="hybridMultilevel"/>
    <w:tmpl w:val="9E2CA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3ECD2D"/>
    <w:multiLevelType w:val="hybridMultilevel"/>
    <w:tmpl w:val="EAEE3BE0"/>
    <w:lvl w:ilvl="0" w:tplc="8F624E6E">
      <w:start w:val="5"/>
      <w:numFmt w:val="lowerRoman"/>
      <w:lvlText w:val="%1."/>
      <w:lvlJc w:val="right"/>
      <w:pPr>
        <w:ind w:left="720" w:hanging="360"/>
      </w:pPr>
    </w:lvl>
    <w:lvl w:ilvl="1" w:tplc="5F58490A">
      <w:start w:val="1"/>
      <w:numFmt w:val="lowerLetter"/>
      <w:lvlText w:val="%2."/>
      <w:lvlJc w:val="left"/>
      <w:pPr>
        <w:ind w:left="1440" w:hanging="360"/>
      </w:pPr>
    </w:lvl>
    <w:lvl w:ilvl="2" w:tplc="5836A1A4">
      <w:start w:val="1"/>
      <w:numFmt w:val="lowerRoman"/>
      <w:lvlText w:val="%3."/>
      <w:lvlJc w:val="right"/>
      <w:pPr>
        <w:ind w:left="2160" w:hanging="180"/>
      </w:pPr>
    </w:lvl>
    <w:lvl w:ilvl="3" w:tplc="8902A2B8">
      <w:start w:val="1"/>
      <w:numFmt w:val="decimal"/>
      <w:lvlText w:val="%4."/>
      <w:lvlJc w:val="left"/>
      <w:pPr>
        <w:ind w:left="2880" w:hanging="360"/>
      </w:pPr>
    </w:lvl>
    <w:lvl w:ilvl="4" w:tplc="F8B4AD74">
      <w:start w:val="1"/>
      <w:numFmt w:val="lowerLetter"/>
      <w:lvlText w:val="%5."/>
      <w:lvlJc w:val="left"/>
      <w:pPr>
        <w:ind w:left="3600" w:hanging="360"/>
      </w:pPr>
    </w:lvl>
    <w:lvl w:ilvl="5" w:tplc="C3369262">
      <w:start w:val="1"/>
      <w:numFmt w:val="lowerRoman"/>
      <w:lvlText w:val="%6."/>
      <w:lvlJc w:val="right"/>
      <w:pPr>
        <w:ind w:left="4320" w:hanging="180"/>
      </w:pPr>
    </w:lvl>
    <w:lvl w:ilvl="6" w:tplc="63009480">
      <w:start w:val="1"/>
      <w:numFmt w:val="decimal"/>
      <w:lvlText w:val="%7."/>
      <w:lvlJc w:val="left"/>
      <w:pPr>
        <w:ind w:left="5040" w:hanging="360"/>
      </w:pPr>
    </w:lvl>
    <w:lvl w:ilvl="7" w:tplc="8C2CDFC6">
      <w:start w:val="1"/>
      <w:numFmt w:val="lowerLetter"/>
      <w:lvlText w:val="%8."/>
      <w:lvlJc w:val="left"/>
      <w:pPr>
        <w:ind w:left="5760" w:hanging="360"/>
      </w:pPr>
    </w:lvl>
    <w:lvl w:ilvl="8" w:tplc="5F603E2E">
      <w:start w:val="1"/>
      <w:numFmt w:val="lowerRoman"/>
      <w:lvlText w:val="%9."/>
      <w:lvlJc w:val="right"/>
      <w:pPr>
        <w:ind w:left="6480" w:hanging="180"/>
      </w:pPr>
    </w:lvl>
  </w:abstractNum>
  <w:abstractNum w:abstractNumId="23" w15:restartNumberingAfterBreak="0">
    <w:nsid w:val="4EEE36C5"/>
    <w:multiLevelType w:val="hybridMultilevel"/>
    <w:tmpl w:val="DA24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91556C"/>
    <w:multiLevelType w:val="hybridMultilevel"/>
    <w:tmpl w:val="A1F49532"/>
    <w:lvl w:ilvl="0" w:tplc="27B0F366">
      <w:start w:val="1"/>
      <w:numFmt w:val="lowerRoman"/>
      <w:lvlText w:val="%1."/>
      <w:lvlJc w:val="right"/>
      <w:pPr>
        <w:ind w:left="720" w:hanging="360"/>
      </w:pPr>
    </w:lvl>
    <w:lvl w:ilvl="1" w:tplc="37A41E5E">
      <w:start w:val="1"/>
      <w:numFmt w:val="lowerLetter"/>
      <w:lvlText w:val="%2."/>
      <w:lvlJc w:val="left"/>
      <w:pPr>
        <w:ind w:left="1440" w:hanging="360"/>
      </w:pPr>
    </w:lvl>
    <w:lvl w:ilvl="2" w:tplc="6EAA0BB4">
      <w:start w:val="1"/>
      <w:numFmt w:val="lowerRoman"/>
      <w:lvlText w:val="%3."/>
      <w:lvlJc w:val="right"/>
      <w:pPr>
        <w:ind w:left="2160" w:hanging="180"/>
      </w:pPr>
    </w:lvl>
    <w:lvl w:ilvl="3" w:tplc="476C8E78">
      <w:start w:val="1"/>
      <w:numFmt w:val="decimal"/>
      <w:lvlText w:val="%4."/>
      <w:lvlJc w:val="left"/>
      <w:pPr>
        <w:ind w:left="2880" w:hanging="360"/>
      </w:pPr>
    </w:lvl>
    <w:lvl w:ilvl="4" w:tplc="FEDC0246">
      <w:start w:val="1"/>
      <w:numFmt w:val="lowerLetter"/>
      <w:lvlText w:val="%5."/>
      <w:lvlJc w:val="left"/>
      <w:pPr>
        <w:ind w:left="3600" w:hanging="360"/>
      </w:pPr>
    </w:lvl>
    <w:lvl w:ilvl="5" w:tplc="A9BE676E">
      <w:start w:val="1"/>
      <w:numFmt w:val="lowerRoman"/>
      <w:lvlText w:val="%6."/>
      <w:lvlJc w:val="right"/>
      <w:pPr>
        <w:ind w:left="4320" w:hanging="180"/>
      </w:pPr>
    </w:lvl>
    <w:lvl w:ilvl="6" w:tplc="560ED704">
      <w:start w:val="1"/>
      <w:numFmt w:val="decimal"/>
      <w:lvlText w:val="%7."/>
      <w:lvlJc w:val="left"/>
      <w:pPr>
        <w:ind w:left="5040" w:hanging="360"/>
      </w:pPr>
    </w:lvl>
    <w:lvl w:ilvl="7" w:tplc="6C4AD8A8">
      <w:start w:val="1"/>
      <w:numFmt w:val="lowerLetter"/>
      <w:lvlText w:val="%8."/>
      <w:lvlJc w:val="left"/>
      <w:pPr>
        <w:ind w:left="5760" w:hanging="360"/>
      </w:pPr>
    </w:lvl>
    <w:lvl w:ilvl="8" w:tplc="536A75D4">
      <w:start w:val="1"/>
      <w:numFmt w:val="lowerRoman"/>
      <w:lvlText w:val="%9."/>
      <w:lvlJc w:val="right"/>
      <w:pPr>
        <w:ind w:left="6480" w:hanging="180"/>
      </w:pPr>
    </w:lvl>
  </w:abstractNum>
  <w:abstractNum w:abstractNumId="25" w15:restartNumberingAfterBreak="0">
    <w:nsid w:val="534D850A"/>
    <w:multiLevelType w:val="hybridMultilevel"/>
    <w:tmpl w:val="7806097A"/>
    <w:lvl w:ilvl="0" w:tplc="00A88064">
      <w:start w:val="1"/>
      <w:numFmt w:val="bullet"/>
      <w:lvlText w:val="·"/>
      <w:lvlJc w:val="left"/>
      <w:pPr>
        <w:ind w:left="720" w:hanging="360"/>
      </w:pPr>
      <w:rPr>
        <w:rFonts w:ascii="Symbol" w:hAnsi="Symbol" w:hint="default"/>
      </w:rPr>
    </w:lvl>
    <w:lvl w:ilvl="1" w:tplc="F3E40122">
      <w:start w:val="1"/>
      <w:numFmt w:val="bullet"/>
      <w:lvlText w:val="o"/>
      <w:lvlJc w:val="left"/>
      <w:pPr>
        <w:ind w:left="1440" w:hanging="360"/>
      </w:pPr>
      <w:rPr>
        <w:rFonts w:ascii="Courier New" w:hAnsi="Courier New" w:hint="default"/>
      </w:rPr>
    </w:lvl>
    <w:lvl w:ilvl="2" w:tplc="D5768964">
      <w:start w:val="1"/>
      <w:numFmt w:val="bullet"/>
      <w:lvlText w:val=""/>
      <w:lvlJc w:val="left"/>
      <w:pPr>
        <w:ind w:left="2160" w:hanging="360"/>
      </w:pPr>
      <w:rPr>
        <w:rFonts w:ascii="Wingdings" w:hAnsi="Wingdings" w:hint="default"/>
      </w:rPr>
    </w:lvl>
    <w:lvl w:ilvl="3" w:tplc="3DF43174">
      <w:start w:val="1"/>
      <w:numFmt w:val="bullet"/>
      <w:lvlText w:val=""/>
      <w:lvlJc w:val="left"/>
      <w:pPr>
        <w:ind w:left="2880" w:hanging="360"/>
      </w:pPr>
      <w:rPr>
        <w:rFonts w:ascii="Symbol" w:hAnsi="Symbol" w:hint="default"/>
      </w:rPr>
    </w:lvl>
    <w:lvl w:ilvl="4" w:tplc="9AEE36F0">
      <w:start w:val="1"/>
      <w:numFmt w:val="bullet"/>
      <w:lvlText w:val="o"/>
      <w:lvlJc w:val="left"/>
      <w:pPr>
        <w:ind w:left="3600" w:hanging="360"/>
      </w:pPr>
      <w:rPr>
        <w:rFonts w:ascii="Courier New" w:hAnsi="Courier New" w:hint="default"/>
      </w:rPr>
    </w:lvl>
    <w:lvl w:ilvl="5" w:tplc="26947C62">
      <w:start w:val="1"/>
      <w:numFmt w:val="bullet"/>
      <w:lvlText w:val=""/>
      <w:lvlJc w:val="left"/>
      <w:pPr>
        <w:ind w:left="4320" w:hanging="360"/>
      </w:pPr>
      <w:rPr>
        <w:rFonts w:ascii="Wingdings" w:hAnsi="Wingdings" w:hint="default"/>
      </w:rPr>
    </w:lvl>
    <w:lvl w:ilvl="6" w:tplc="55EA5378">
      <w:start w:val="1"/>
      <w:numFmt w:val="bullet"/>
      <w:lvlText w:val=""/>
      <w:lvlJc w:val="left"/>
      <w:pPr>
        <w:ind w:left="5040" w:hanging="360"/>
      </w:pPr>
      <w:rPr>
        <w:rFonts w:ascii="Symbol" w:hAnsi="Symbol" w:hint="default"/>
      </w:rPr>
    </w:lvl>
    <w:lvl w:ilvl="7" w:tplc="8C225EC0">
      <w:start w:val="1"/>
      <w:numFmt w:val="bullet"/>
      <w:lvlText w:val="o"/>
      <w:lvlJc w:val="left"/>
      <w:pPr>
        <w:ind w:left="5760" w:hanging="360"/>
      </w:pPr>
      <w:rPr>
        <w:rFonts w:ascii="Courier New" w:hAnsi="Courier New" w:hint="default"/>
      </w:rPr>
    </w:lvl>
    <w:lvl w:ilvl="8" w:tplc="50820E18">
      <w:start w:val="1"/>
      <w:numFmt w:val="bullet"/>
      <w:lvlText w:val=""/>
      <w:lvlJc w:val="left"/>
      <w:pPr>
        <w:ind w:left="6480" w:hanging="360"/>
      </w:pPr>
      <w:rPr>
        <w:rFonts w:ascii="Wingdings" w:hAnsi="Wingdings" w:hint="default"/>
      </w:rPr>
    </w:lvl>
  </w:abstractNum>
  <w:abstractNum w:abstractNumId="26" w15:restartNumberingAfterBreak="0">
    <w:nsid w:val="588239C4"/>
    <w:multiLevelType w:val="hybridMultilevel"/>
    <w:tmpl w:val="E4566D5A"/>
    <w:lvl w:ilvl="0" w:tplc="AA04F612">
      <w:start w:val="1"/>
      <w:numFmt w:val="bullet"/>
      <w:lvlText w:val=""/>
      <w:lvlJc w:val="left"/>
      <w:pPr>
        <w:ind w:left="720" w:hanging="360"/>
      </w:pPr>
      <w:rPr>
        <w:rFonts w:ascii="Symbol" w:hAnsi="Symbol" w:hint="default"/>
      </w:rPr>
    </w:lvl>
    <w:lvl w:ilvl="1" w:tplc="C13CC9AA">
      <w:start w:val="1"/>
      <w:numFmt w:val="bullet"/>
      <w:lvlText w:val="o"/>
      <w:lvlJc w:val="left"/>
      <w:pPr>
        <w:ind w:left="1440" w:hanging="360"/>
      </w:pPr>
      <w:rPr>
        <w:rFonts w:ascii="Courier New" w:hAnsi="Courier New" w:hint="default"/>
      </w:rPr>
    </w:lvl>
    <w:lvl w:ilvl="2" w:tplc="078E2100">
      <w:start w:val="1"/>
      <w:numFmt w:val="bullet"/>
      <w:lvlText w:val=""/>
      <w:lvlJc w:val="left"/>
      <w:pPr>
        <w:ind w:left="2160" w:hanging="360"/>
      </w:pPr>
      <w:rPr>
        <w:rFonts w:ascii="Wingdings" w:hAnsi="Wingdings" w:hint="default"/>
      </w:rPr>
    </w:lvl>
    <w:lvl w:ilvl="3" w:tplc="822684A6">
      <w:start w:val="1"/>
      <w:numFmt w:val="bullet"/>
      <w:lvlText w:val=""/>
      <w:lvlJc w:val="left"/>
      <w:pPr>
        <w:ind w:left="2880" w:hanging="360"/>
      </w:pPr>
      <w:rPr>
        <w:rFonts w:ascii="Symbol" w:hAnsi="Symbol" w:hint="default"/>
      </w:rPr>
    </w:lvl>
    <w:lvl w:ilvl="4" w:tplc="62502F66">
      <w:start w:val="1"/>
      <w:numFmt w:val="bullet"/>
      <w:lvlText w:val="o"/>
      <w:lvlJc w:val="left"/>
      <w:pPr>
        <w:ind w:left="3600" w:hanging="360"/>
      </w:pPr>
      <w:rPr>
        <w:rFonts w:ascii="Courier New" w:hAnsi="Courier New" w:hint="default"/>
      </w:rPr>
    </w:lvl>
    <w:lvl w:ilvl="5" w:tplc="C262B512">
      <w:start w:val="1"/>
      <w:numFmt w:val="bullet"/>
      <w:lvlText w:val=""/>
      <w:lvlJc w:val="left"/>
      <w:pPr>
        <w:ind w:left="4320" w:hanging="360"/>
      </w:pPr>
      <w:rPr>
        <w:rFonts w:ascii="Wingdings" w:hAnsi="Wingdings" w:hint="default"/>
      </w:rPr>
    </w:lvl>
    <w:lvl w:ilvl="6" w:tplc="F6388D38">
      <w:start w:val="1"/>
      <w:numFmt w:val="bullet"/>
      <w:lvlText w:val=""/>
      <w:lvlJc w:val="left"/>
      <w:pPr>
        <w:ind w:left="5040" w:hanging="360"/>
      </w:pPr>
      <w:rPr>
        <w:rFonts w:ascii="Symbol" w:hAnsi="Symbol" w:hint="default"/>
      </w:rPr>
    </w:lvl>
    <w:lvl w:ilvl="7" w:tplc="08002218">
      <w:start w:val="1"/>
      <w:numFmt w:val="bullet"/>
      <w:lvlText w:val="o"/>
      <w:lvlJc w:val="left"/>
      <w:pPr>
        <w:ind w:left="5760" w:hanging="360"/>
      </w:pPr>
      <w:rPr>
        <w:rFonts w:ascii="Courier New" w:hAnsi="Courier New" w:hint="default"/>
      </w:rPr>
    </w:lvl>
    <w:lvl w:ilvl="8" w:tplc="75BAD20E">
      <w:start w:val="1"/>
      <w:numFmt w:val="bullet"/>
      <w:lvlText w:val=""/>
      <w:lvlJc w:val="left"/>
      <w:pPr>
        <w:ind w:left="6480" w:hanging="360"/>
      </w:pPr>
      <w:rPr>
        <w:rFonts w:ascii="Wingdings" w:hAnsi="Wingdings" w:hint="default"/>
      </w:rPr>
    </w:lvl>
  </w:abstractNum>
  <w:abstractNum w:abstractNumId="27" w15:restartNumberingAfterBreak="0">
    <w:nsid w:val="5BE3E391"/>
    <w:multiLevelType w:val="hybridMultilevel"/>
    <w:tmpl w:val="B6E89738"/>
    <w:lvl w:ilvl="0" w:tplc="C59699E4">
      <w:start w:val="1"/>
      <w:numFmt w:val="bullet"/>
      <w:lvlText w:val="·"/>
      <w:lvlJc w:val="left"/>
      <w:pPr>
        <w:ind w:left="720" w:hanging="360"/>
      </w:pPr>
      <w:rPr>
        <w:rFonts w:ascii="Symbol" w:hAnsi="Symbol" w:hint="default"/>
      </w:rPr>
    </w:lvl>
    <w:lvl w:ilvl="1" w:tplc="5EC4EF80">
      <w:start w:val="1"/>
      <w:numFmt w:val="bullet"/>
      <w:lvlText w:val="o"/>
      <w:lvlJc w:val="left"/>
      <w:pPr>
        <w:ind w:left="1440" w:hanging="360"/>
      </w:pPr>
      <w:rPr>
        <w:rFonts w:ascii="Courier New" w:hAnsi="Courier New" w:hint="default"/>
      </w:rPr>
    </w:lvl>
    <w:lvl w:ilvl="2" w:tplc="88BABA22">
      <w:start w:val="1"/>
      <w:numFmt w:val="bullet"/>
      <w:lvlText w:val=""/>
      <w:lvlJc w:val="left"/>
      <w:pPr>
        <w:ind w:left="2160" w:hanging="360"/>
      </w:pPr>
      <w:rPr>
        <w:rFonts w:ascii="Wingdings" w:hAnsi="Wingdings" w:hint="default"/>
      </w:rPr>
    </w:lvl>
    <w:lvl w:ilvl="3" w:tplc="2E861DD8">
      <w:start w:val="1"/>
      <w:numFmt w:val="bullet"/>
      <w:lvlText w:val=""/>
      <w:lvlJc w:val="left"/>
      <w:pPr>
        <w:ind w:left="2880" w:hanging="360"/>
      </w:pPr>
      <w:rPr>
        <w:rFonts w:ascii="Symbol" w:hAnsi="Symbol" w:hint="default"/>
      </w:rPr>
    </w:lvl>
    <w:lvl w:ilvl="4" w:tplc="5442BF10">
      <w:start w:val="1"/>
      <w:numFmt w:val="bullet"/>
      <w:lvlText w:val="o"/>
      <w:lvlJc w:val="left"/>
      <w:pPr>
        <w:ind w:left="3600" w:hanging="360"/>
      </w:pPr>
      <w:rPr>
        <w:rFonts w:ascii="Courier New" w:hAnsi="Courier New" w:hint="default"/>
      </w:rPr>
    </w:lvl>
    <w:lvl w:ilvl="5" w:tplc="6100ACF2">
      <w:start w:val="1"/>
      <w:numFmt w:val="bullet"/>
      <w:lvlText w:val=""/>
      <w:lvlJc w:val="left"/>
      <w:pPr>
        <w:ind w:left="4320" w:hanging="360"/>
      </w:pPr>
      <w:rPr>
        <w:rFonts w:ascii="Wingdings" w:hAnsi="Wingdings" w:hint="default"/>
      </w:rPr>
    </w:lvl>
    <w:lvl w:ilvl="6" w:tplc="6E1A55FC">
      <w:start w:val="1"/>
      <w:numFmt w:val="bullet"/>
      <w:lvlText w:val=""/>
      <w:lvlJc w:val="left"/>
      <w:pPr>
        <w:ind w:left="5040" w:hanging="360"/>
      </w:pPr>
      <w:rPr>
        <w:rFonts w:ascii="Symbol" w:hAnsi="Symbol" w:hint="default"/>
      </w:rPr>
    </w:lvl>
    <w:lvl w:ilvl="7" w:tplc="0E60E6FE">
      <w:start w:val="1"/>
      <w:numFmt w:val="bullet"/>
      <w:lvlText w:val="o"/>
      <w:lvlJc w:val="left"/>
      <w:pPr>
        <w:ind w:left="5760" w:hanging="360"/>
      </w:pPr>
      <w:rPr>
        <w:rFonts w:ascii="Courier New" w:hAnsi="Courier New" w:hint="default"/>
      </w:rPr>
    </w:lvl>
    <w:lvl w:ilvl="8" w:tplc="2D92BA8A">
      <w:start w:val="1"/>
      <w:numFmt w:val="bullet"/>
      <w:lvlText w:val=""/>
      <w:lvlJc w:val="left"/>
      <w:pPr>
        <w:ind w:left="6480" w:hanging="360"/>
      </w:pPr>
      <w:rPr>
        <w:rFonts w:ascii="Wingdings" w:hAnsi="Wingdings" w:hint="default"/>
      </w:rPr>
    </w:lvl>
  </w:abstractNum>
  <w:abstractNum w:abstractNumId="28" w15:restartNumberingAfterBreak="0">
    <w:nsid w:val="629D8CD0"/>
    <w:multiLevelType w:val="hybridMultilevel"/>
    <w:tmpl w:val="6C347E9A"/>
    <w:lvl w:ilvl="0" w:tplc="6178A80A">
      <w:start w:val="1"/>
      <w:numFmt w:val="bullet"/>
      <w:lvlText w:val="·"/>
      <w:lvlJc w:val="left"/>
      <w:pPr>
        <w:ind w:left="720" w:hanging="360"/>
      </w:pPr>
      <w:rPr>
        <w:rFonts w:ascii="Symbol" w:hAnsi="Symbol" w:hint="default"/>
      </w:rPr>
    </w:lvl>
    <w:lvl w:ilvl="1" w:tplc="0A6C3D94">
      <w:start w:val="1"/>
      <w:numFmt w:val="bullet"/>
      <w:lvlText w:val="o"/>
      <w:lvlJc w:val="left"/>
      <w:pPr>
        <w:ind w:left="1440" w:hanging="360"/>
      </w:pPr>
      <w:rPr>
        <w:rFonts w:ascii="Courier New" w:hAnsi="Courier New" w:hint="default"/>
      </w:rPr>
    </w:lvl>
    <w:lvl w:ilvl="2" w:tplc="C8224878">
      <w:start w:val="1"/>
      <w:numFmt w:val="bullet"/>
      <w:lvlText w:val=""/>
      <w:lvlJc w:val="left"/>
      <w:pPr>
        <w:ind w:left="2160" w:hanging="360"/>
      </w:pPr>
      <w:rPr>
        <w:rFonts w:ascii="Wingdings" w:hAnsi="Wingdings" w:hint="default"/>
      </w:rPr>
    </w:lvl>
    <w:lvl w:ilvl="3" w:tplc="9C3C18D6">
      <w:start w:val="1"/>
      <w:numFmt w:val="bullet"/>
      <w:lvlText w:val=""/>
      <w:lvlJc w:val="left"/>
      <w:pPr>
        <w:ind w:left="2880" w:hanging="360"/>
      </w:pPr>
      <w:rPr>
        <w:rFonts w:ascii="Symbol" w:hAnsi="Symbol" w:hint="default"/>
      </w:rPr>
    </w:lvl>
    <w:lvl w:ilvl="4" w:tplc="15501D1E">
      <w:start w:val="1"/>
      <w:numFmt w:val="bullet"/>
      <w:lvlText w:val="o"/>
      <w:lvlJc w:val="left"/>
      <w:pPr>
        <w:ind w:left="3600" w:hanging="360"/>
      </w:pPr>
      <w:rPr>
        <w:rFonts w:ascii="Courier New" w:hAnsi="Courier New" w:hint="default"/>
      </w:rPr>
    </w:lvl>
    <w:lvl w:ilvl="5" w:tplc="85D84790">
      <w:start w:val="1"/>
      <w:numFmt w:val="bullet"/>
      <w:lvlText w:val=""/>
      <w:lvlJc w:val="left"/>
      <w:pPr>
        <w:ind w:left="4320" w:hanging="360"/>
      </w:pPr>
      <w:rPr>
        <w:rFonts w:ascii="Wingdings" w:hAnsi="Wingdings" w:hint="default"/>
      </w:rPr>
    </w:lvl>
    <w:lvl w:ilvl="6" w:tplc="DAE05A98">
      <w:start w:val="1"/>
      <w:numFmt w:val="bullet"/>
      <w:lvlText w:val=""/>
      <w:lvlJc w:val="left"/>
      <w:pPr>
        <w:ind w:left="5040" w:hanging="360"/>
      </w:pPr>
      <w:rPr>
        <w:rFonts w:ascii="Symbol" w:hAnsi="Symbol" w:hint="default"/>
      </w:rPr>
    </w:lvl>
    <w:lvl w:ilvl="7" w:tplc="03FEA900">
      <w:start w:val="1"/>
      <w:numFmt w:val="bullet"/>
      <w:lvlText w:val="o"/>
      <w:lvlJc w:val="left"/>
      <w:pPr>
        <w:ind w:left="5760" w:hanging="360"/>
      </w:pPr>
      <w:rPr>
        <w:rFonts w:ascii="Courier New" w:hAnsi="Courier New" w:hint="default"/>
      </w:rPr>
    </w:lvl>
    <w:lvl w:ilvl="8" w:tplc="13E0F276">
      <w:start w:val="1"/>
      <w:numFmt w:val="bullet"/>
      <w:lvlText w:val=""/>
      <w:lvlJc w:val="left"/>
      <w:pPr>
        <w:ind w:left="6480" w:hanging="360"/>
      </w:pPr>
      <w:rPr>
        <w:rFonts w:ascii="Wingdings" w:hAnsi="Wingdings" w:hint="default"/>
      </w:rPr>
    </w:lvl>
  </w:abstractNum>
  <w:abstractNum w:abstractNumId="29" w15:restartNumberingAfterBreak="0">
    <w:nsid w:val="66B2E852"/>
    <w:multiLevelType w:val="hybridMultilevel"/>
    <w:tmpl w:val="DB90D930"/>
    <w:lvl w:ilvl="0" w:tplc="93F496B0">
      <w:start w:val="1"/>
      <w:numFmt w:val="bullet"/>
      <w:lvlText w:val="·"/>
      <w:lvlJc w:val="left"/>
      <w:pPr>
        <w:ind w:left="720" w:hanging="360"/>
      </w:pPr>
      <w:rPr>
        <w:rFonts w:ascii="Symbol" w:hAnsi="Symbol" w:hint="default"/>
      </w:rPr>
    </w:lvl>
    <w:lvl w:ilvl="1" w:tplc="415CB366">
      <w:start w:val="1"/>
      <w:numFmt w:val="bullet"/>
      <w:lvlText w:val="o"/>
      <w:lvlJc w:val="left"/>
      <w:pPr>
        <w:ind w:left="1440" w:hanging="360"/>
      </w:pPr>
      <w:rPr>
        <w:rFonts w:ascii="Courier New" w:hAnsi="Courier New" w:hint="default"/>
      </w:rPr>
    </w:lvl>
    <w:lvl w:ilvl="2" w:tplc="E4147F2C">
      <w:start w:val="1"/>
      <w:numFmt w:val="bullet"/>
      <w:lvlText w:val=""/>
      <w:lvlJc w:val="left"/>
      <w:pPr>
        <w:ind w:left="2160" w:hanging="360"/>
      </w:pPr>
      <w:rPr>
        <w:rFonts w:ascii="Wingdings" w:hAnsi="Wingdings" w:hint="default"/>
      </w:rPr>
    </w:lvl>
    <w:lvl w:ilvl="3" w:tplc="5E2E5DA0">
      <w:start w:val="1"/>
      <w:numFmt w:val="bullet"/>
      <w:lvlText w:val=""/>
      <w:lvlJc w:val="left"/>
      <w:pPr>
        <w:ind w:left="2880" w:hanging="360"/>
      </w:pPr>
      <w:rPr>
        <w:rFonts w:ascii="Symbol" w:hAnsi="Symbol" w:hint="default"/>
      </w:rPr>
    </w:lvl>
    <w:lvl w:ilvl="4" w:tplc="52AE4D38">
      <w:start w:val="1"/>
      <w:numFmt w:val="bullet"/>
      <w:lvlText w:val="o"/>
      <w:lvlJc w:val="left"/>
      <w:pPr>
        <w:ind w:left="3600" w:hanging="360"/>
      </w:pPr>
      <w:rPr>
        <w:rFonts w:ascii="Courier New" w:hAnsi="Courier New" w:hint="default"/>
      </w:rPr>
    </w:lvl>
    <w:lvl w:ilvl="5" w:tplc="B330CA52">
      <w:start w:val="1"/>
      <w:numFmt w:val="bullet"/>
      <w:lvlText w:val=""/>
      <w:lvlJc w:val="left"/>
      <w:pPr>
        <w:ind w:left="4320" w:hanging="360"/>
      </w:pPr>
      <w:rPr>
        <w:rFonts w:ascii="Wingdings" w:hAnsi="Wingdings" w:hint="default"/>
      </w:rPr>
    </w:lvl>
    <w:lvl w:ilvl="6" w:tplc="47DC1BA0">
      <w:start w:val="1"/>
      <w:numFmt w:val="bullet"/>
      <w:lvlText w:val=""/>
      <w:lvlJc w:val="left"/>
      <w:pPr>
        <w:ind w:left="5040" w:hanging="360"/>
      </w:pPr>
      <w:rPr>
        <w:rFonts w:ascii="Symbol" w:hAnsi="Symbol" w:hint="default"/>
      </w:rPr>
    </w:lvl>
    <w:lvl w:ilvl="7" w:tplc="1D6C0B20">
      <w:start w:val="1"/>
      <w:numFmt w:val="bullet"/>
      <w:lvlText w:val="o"/>
      <w:lvlJc w:val="left"/>
      <w:pPr>
        <w:ind w:left="5760" w:hanging="360"/>
      </w:pPr>
      <w:rPr>
        <w:rFonts w:ascii="Courier New" w:hAnsi="Courier New" w:hint="default"/>
      </w:rPr>
    </w:lvl>
    <w:lvl w:ilvl="8" w:tplc="4CEC8E46">
      <w:start w:val="1"/>
      <w:numFmt w:val="bullet"/>
      <w:lvlText w:val=""/>
      <w:lvlJc w:val="left"/>
      <w:pPr>
        <w:ind w:left="6480" w:hanging="360"/>
      </w:pPr>
      <w:rPr>
        <w:rFonts w:ascii="Wingdings" w:hAnsi="Wingdings" w:hint="default"/>
      </w:rPr>
    </w:lvl>
  </w:abstractNum>
  <w:abstractNum w:abstractNumId="30" w15:restartNumberingAfterBreak="0">
    <w:nsid w:val="6BAB4411"/>
    <w:multiLevelType w:val="multilevel"/>
    <w:tmpl w:val="0FB05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366F70"/>
    <w:multiLevelType w:val="hybridMultilevel"/>
    <w:tmpl w:val="F830E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854181"/>
    <w:multiLevelType w:val="hybridMultilevel"/>
    <w:tmpl w:val="1702F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AA317B"/>
    <w:multiLevelType w:val="hybridMultilevel"/>
    <w:tmpl w:val="00200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9D3DE1"/>
    <w:multiLevelType w:val="hybridMultilevel"/>
    <w:tmpl w:val="561E3CC0"/>
    <w:lvl w:ilvl="0" w:tplc="F4D421F0">
      <w:start w:val="1"/>
      <w:numFmt w:val="bullet"/>
      <w:lvlText w:val="·"/>
      <w:lvlJc w:val="left"/>
      <w:pPr>
        <w:ind w:left="720" w:hanging="360"/>
      </w:pPr>
      <w:rPr>
        <w:rFonts w:ascii="Symbol" w:hAnsi="Symbol" w:hint="default"/>
      </w:rPr>
    </w:lvl>
    <w:lvl w:ilvl="1" w:tplc="3CB2E132">
      <w:start w:val="1"/>
      <w:numFmt w:val="bullet"/>
      <w:lvlText w:val="o"/>
      <w:lvlJc w:val="left"/>
      <w:pPr>
        <w:ind w:left="1440" w:hanging="360"/>
      </w:pPr>
      <w:rPr>
        <w:rFonts w:ascii="Courier New" w:hAnsi="Courier New" w:hint="default"/>
      </w:rPr>
    </w:lvl>
    <w:lvl w:ilvl="2" w:tplc="FA123632">
      <w:start w:val="1"/>
      <w:numFmt w:val="bullet"/>
      <w:lvlText w:val=""/>
      <w:lvlJc w:val="left"/>
      <w:pPr>
        <w:ind w:left="2160" w:hanging="360"/>
      </w:pPr>
      <w:rPr>
        <w:rFonts w:ascii="Wingdings" w:hAnsi="Wingdings" w:hint="default"/>
      </w:rPr>
    </w:lvl>
    <w:lvl w:ilvl="3" w:tplc="733A0E80">
      <w:start w:val="1"/>
      <w:numFmt w:val="bullet"/>
      <w:lvlText w:val=""/>
      <w:lvlJc w:val="left"/>
      <w:pPr>
        <w:ind w:left="2880" w:hanging="360"/>
      </w:pPr>
      <w:rPr>
        <w:rFonts w:ascii="Symbol" w:hAnsi="Symbol" w:hint="default"/>
      </w:rPr>
    </w:lvl>
    <w:lvl w:ilvl="4" w:tplc="C5225582">
      <w:start w:val="1"/>
      <w:numFmt w:val="bullet"/>
      <w:lvlText w:val="o"/>
      <w:lvlJc w:val="left"/>
      <w:pPr>
        <w:ind w:left="3600" w:hanging="360"/>
      </w:pPr>
      <w:rPr>
        <w:rFonts w:ascii="Courier New" w:hAnsi="Courier New" w:hint="default"/>
      </w:rPr>
    </w:lvl>
    <w:lvl w:ilvl="5" w:tplc="EF48639A">
      <w:start w:val="1"/>
      <w:numFmt w:val="bullet"/>
      <w:lvlText w:val=""/>
      <w:lvlJc w:val="left"/>
      <w:pPr>
        <w:ind w:left="4320" w:hanging="360"/>
      </w:pPr>
      <w:rPr>
        <w:rFonts w:ascii="Wingdings" w:hAnsi="Wingdings" w:hint="default"/>
      </w:rPr>
    </w:lvl>
    <w:lvl w:ilvl="6" w:tplc="655E44BE">
      <w:start w:val="1"/>
      <w:numFmt w:val="bullet"/>
      <w:lvlText w:val=""/>
      <w:lvlJc w:val="left"/>
      <w:pPr>
        <w:ind w:left="5040" w:hanging="360"/>
      </w:pPr>
      <w:rPr>
        <w:rFonts w:ascii="Symbol" w:hAnsi="Symbol" w:hint="default"/>
      </w:rPr>
    </w:lvl>
    <w:lvl w:ilvl="7" w:tplc="7E282490">
      <w:start w:val="1"/>
      <w:numFmt w:val="bullet"/>
      <w:lvlText w:val="o"/>
      <w:lvlJc w:val="left"/>
      <w:pPr>
        <w:ind w:left="5760" w:hanging="360"/>
      </w:pPr>
      <w:rPr>
        <w:rFonts w:ascii="Courier New" w:hAnsi="Courier New" w:hint="default"/>
      </w:rPr>
    </w:lvl>
    <w:lvl w:ilvl="8" w:tplc="2946B636">
      <w:start w:val="1"/>
      <w:numFmt w:val="bullet"/>
      <w:lvlText w:val=""/>
      <w:lvlJc w:val="left"/>
      <w:pPr>
        <w:ind w:left="6480" w:hanging="360"/>
      </w:pPr>
      <w:rPr>
        <w:rFonts w:ascii="Wingdings" w:hAnsi="Wingdings" w:hint="default"/>
      </w:rPr>
    </w:lvl>
  </w:abstractNum>
  <w:abstractNum w:abstractNumId="35" w15:restartNumberingAfterBreak="0">
    <w:nsid w:val="78B5412F"/>
    <w:multiLevelType w:val="hybridMultilevel"/>
    <w:tmpl w:val="B8A88334"/>
    <w:lvl w:ilvl="0" w:tplc="E3280AC6">
      <w:start w:val="2"/>
      <w:numFmt w:val="lowerRoman"/>
      <w:lvlText w:val="%1."/>
      <w:lvlJc w:val="right"/>
      <w:pPr>
        <w:ind w:left="720" w:hanging="360"/>
      </w:pPr>
    </w:lvl>
    <w:lvl w:ilvl="1" w:tplc="A460808A">
      <w:start w:val="1"/>
      <w:numFmt w:val="lowerLetter"/>
      <w:lvlText w:val="%2."/>
      <w:lvlJc w:val="left"/>
      <w:pPr>
        <w:ind w:left="1440" w:hanging="360"/>
      </w:pPr>
    </w:lvl>
    <w:lvl w:ilvl="2" w:tplc="933622D0">
      <w:start w:val="1"/>
      <w:numFmt w:val="lowerRoman"/>
      <w:lvlText w:val="%3."/>
      <w:lvlJc w:val="right"/>
      <w:pPr>
        <w:ind w:left="2160" w:hanging="180"/>
      </w:pPr>
    </w:lvl>
    <w:lvl w:ilvl="3" w:tplc="06924B08">
      <w:start w:val="1"/>
      <w:numFmt w:val="decimal"/>
      <w:lvlText w:val="%4."/>
      <w:lvlJc w:val="left"/>
      <w:pPr>
        <w:ind w:left="2880" w:hanging="360"/>
      </w:pPr>
    </w:lvl>
    <w:lvl w:ilvl="4" w:tplc="D8E21186">
      <w:start w:val="1"/>
      <w:numFmt w:val="lowerLetter"/>
      <w:lvlText w:val="%5."/>
      <w:lvlJc w:val="left"/>
      <w:pPr>
        <w:ind w:left="3600" w:hanging="360"/>
      </w:pPr>
    </w:lvl>
    <w:lvl w:ilvl="5" w:tplc="A7DE92C8">
      <w:start w:val="1"/>
      <w:numFmt w:val="lowerRoman"/>
      <w:lvlText w:val="%6."/>
      <w:lvlJc w:val="right"/>
      <w:pPr>
        <w:ind w:left="4320" w:hanging="180"/>
      </w:pPr>
    </w:lvl>
    <w:lvl w:ilvl="6" w:tplc="91AA962E">
      <w:start w:val="1"/>
      <w:numFmt w:val="decimal"/>
      <w:lvlText w:val="%7."/>
      <w:lvlJc w:val="left"/>
      <w:pPr>
        <w:ind w:left="5040" w:hanging="360"/>
      </w:pPr>
    </w:lvl>
    <w:lvl w:ilvl="7" w:tplc="D21644AC">
      <w:start w:val="1"/>
      <w:numFmt w:val="lowerLetter"/>
      <w:lvlText w:val="%8."/>
      <w:lvlJc w:val="left"/>
      <w:pPr>
        <w:ind w:left="5760" w:hanging="360"/>
      </w:pPr>
    </w:lvl>
    <w:lvl w:ilvl="8" w:tplc="E0D01936">
      <w:start w:val="1"/>
      <w:numFmt w:val="lowerRoman"/>
      <w:lvlText w:val="%9."/>
      <w:lvlJc w:val="right"/>
      <w:pPr>
        <w:ind w:left="6480" w:hanging="180"/>
      </w:pPr>
    </w:lvl>
  </w:abstractNum>
  <w:abstractNum w:abstractNumId="36" w15:restartNumberingAfterBreak="0">
    <w:nsid w:val="795A4926"/>
    <w:multiLevelType w:val="hybridMultilevel"/>
    <w:tmpl w:val="86BC6CEE"/>
    <w:lvl w:ilvl="0" w:tplc="6984882E">
      <w:start w:val="3"/>
      <w:numFmt w:val="lowerRoman"/>
      <w:lvlText w:val="%1."/>
      <w:lvlJc w:val="right"/>
      <w:pPr>
        <w:ind w:left="720" w:hanging="360"/>
      </w:pPr>
    </w:lvl>
    <w:lvl w:ilvl="1" w:tplc="ABC8B02A">
      <w:start w:val="1"/>
      <w:numFmt w:val="lowerLetter"/>
      <w:lvlText w:val="%2."/>
      <w:lvlJc w:val="left"/>
      <w:pPr>
        <w:ind w:left="1440" w:hanging="360"/>
      </w:pPr>
    </w:lvl>
    <w:lvl w:ilvl="2" w:tplc="D3865C9C">
      <w:start w:val="1"/>
      <w:numFmt w:val="lowerRoman"/>
      <w:lvlText w:val="%3."/>
      <w:lvlJc w:val="right"/>
      <w:pPr>
        <w:ind w:left="2160" w:hanging="180"/>
      </w:pPr>
    </w:lvl>
    <w:lvl w:ilvl="3" w:tplc="42562A34">
      <w:start w:val="1"/>
      <w:numFmt w:val="decimal"/>
      <w:lvlText w:val="%4."/>
      <w:lvlJc w:val="left"/>
      <w:pPr>
        <w:ind w:left="2880" w:hanging="360"/>
      </w:pPr>
    </w:lvl>
    <w:lvl w:ilvl="4" w:tplc="881630C4">
      <w:start w:val="1"/>
      <w:numFmt w:val="lowerLetter"/>
      <w:lvlText w:val="%5."/>
      <w:lvlJc w:val="left"/>
      <w:pPr>
        <w:ind w:left="3600" w:hanging="360"/>
      </w:pPr>
    </w:lvl>
    <w:lvl w:ilvl="5" w:tplc="3110C11E">
      <w:start w:val="1"/>
      <w:numFmt w:val="lowerRoman"/>
      <w:lvlText w:val="%6."/>
      <w:lvlJc w:val="right"/>
      <w:pPr>
        <w:ind w:left="4320" w:hanging="180"/>
      </w:pPr>
    </w:lvl>
    <w:lvl w:ilvl="6" w:tplc="37F2981A">
      <w:start w:val="1"/>
      <w:numFmt w:val="decimal"/>
      <w:lvlText w:val="%7."/>
      <w:lvlJc w:val="left"/>
      <w:pPr>
        <w:ind w:left="5040" w:hanging="360"/>
      </w:pPr>
    </w:lvl>
    <w:lvl w:ilvl="7" w:tplc="A4EA11C4">
      <w:start w:val="1"/>
      <w:numFmt w:val="lowerLetter"/>
      <w:lvlText w:val="%8."/>
      <w:lvlJc w:val="left"/>
      <w:pPr>
        <w:ind w:left="5760" w:hanging="360"/>
      </w:pPr>
    </w:lvl>
    <w:lvl w:ilvl="8" w:tplc="F38E3CE0">
      <w:start w:val="1"/>
      <w:numFmt w:val="lowerRoman"/>
      <w:lvlText w:val="%9."/>
      <w:lvlJc w:val="right"/>
      <w:pPr>
        <w:ind w:left="6480" w:hanging="180"/>
      </w:pPr>
    </w:lvl>
  </w:abstractNum>
  <w:abstractNum w:abstractNumId="37" w15:restartNumberingAfterBreak="0">
    <w:nsid w:val="79965536"/>
    <w:multiLevelType w:val="hybridMultilevel"/>
    <w:tmpl w:val="116E1A92"/>
    <w:lvl w:ilvl="0" w:tplc="B58C4E98">
      <w:start w:val="1"/>
      <w:numFmt w:val="bullet"/>
      <w:lvlText w:val="-"/>
      <w:lvlJc w:val="left"/>
      <w:pPr>
        <w:ind w:left="720" w:hanging="360"/>
      </w:pPr>
      <w:rPr>
        <w:rFonts w:ascii="Calibri" w:hAnsi="Calibri" w:hint="default"/>
      </w:rPr>
    </w:lvl>
    <w:lvl w:ilvl="1" w:tplc="A7723742">
      <w:start w:val="1"/>
      <w:numFmt w:val="bullet"/>
      <w:lvlText w:val="o"/>
      <w:lvlJc w:val="left"/>
      <w:pPr>
        <w:ind w:left="1440" w:hanging="360"/>
      </w:pPr>
      <w:rPr>
        <w:rFonts w:ascii="Courier New" w:hAnsi="Courier New" w:hint="default"/>
      </w:rPr>
    </w:lvl>
    <w:lvl w:ilvl="2" w:tplc="3C804F80">
      <w:start w:val="1"/>
      <w:numFmt w:val="bullet"/>
      <w:lvlText w:val=""/>
      <w:lvlJc w:val="left"/>
      <w:pPr>
        <w:ind w:left="2160" w:hanging="360"/>
      </w:pPr>
      <w:rPr>
        <w:rFonts w:ascii="Wingdings" w:hAnsi="Wingdings" w:hint="default"/>
      </w:rPr>
    </w:lvl>
    <w:lvl w:ilvl="3" w:tplc="716241D8">
      <w:start w:val="1"/>
      <w:numFmt w:val="bullet"/>
      <w:lvlText w:val=""/>
      <w:lvlJc w:val="left"/>
      <w:pPr>
        <w:ind w:left="2880" w:hanging="360"/>
      </w:pPr>
      <w:rPr>
        <w:rFonts w:ascii="Symbol" w:hAnsi="Symbol" w:hint="default"/>
      </w:rPr>
    </w:lvl>
    <w:lvl w:ilvl="4" w:tplc="839A28C6">
      <w:start w:val="1"/>
      <w:numFmt w:val="bullet"/>
      <w:lvlText w:val="o"/>
      <w:lvlJc w:val="left"/>
      <w:pPr>
        <w:ind w:left="3600" w:hanging="360"/>
      </w:pPr>
      <w:rPr>
        <w:rFonts w:ascii="Courier New" w:hAnsi="Courier New" w:hint="default"/>
      </w:rPr>
    </w:lvl>
    <w:lvl w:ilvl="5" w:tplc="7756B070">
      <w:start w:val="1"/>
      <w:numFmt w:val="bullet"/>
      <w:lvlText w:val=""/>
      <w:lvlJc w:val="left"/>
      <w:pPr>
        <w:ind w:left="4320" w:hanging="360"/>
      </w:pPr>
      <w:rPr>
        <w:rFonts w:ascii="Wingdings" w:hAnsi="Wingdings" w:hint="default"/>
      </w:rPr>
    </w:lvl>
    <w:lvl w:ilvl="6" w:tplc="3F0AD42A">
      <w:start w:val="1"/>
      <w:numFmt w:val="bullet"/>
      <w:lvlText w:val=""/>
      <w:lvlJc w:val="left"/>
      <w:pPr>
        <w:ind w:left="5040" w:hanging="360"/>
      </w:pPr>
      <w:rPr>
        <w:rFonts w:ascii="Symbol" w:hAnsi="Symbol" w:hint="default"/>
      </w:rPr>
    </w:lvl>
    <w:lvl w:ilvl="7" w:tplc="F6AA676E">
      <w:start w:val="1"/>
      <w:numFmt w:val="bullet"/>
      <w:lvlText w:val="o"/>
      <w:lvlJc w:val="left"/>
      <w:pPr>
        <w:ind w:left="5760" w:hanging="360"/>
      </w:pPr>
      <w:rPr>
        <w:rFonts w:ascii="Courier New" w:hAnsi="Courier New" w:hint="default"/>
      </w:rPr>
    </w:lvl>
    <w:lvl w:ilvl="8" w:tplc="5F40A3CE">
      <w:start w:val="1"/>
      <w:numFmt w:val="bullet"/>
      <w:lvlText w:val=""/>
      <w:lvlJc w:val="left"/>
      <w:pPr>
        <w:ind w:left="6480" w:hanging="360"/>
      </w:pPr>
      <w:rPr>
        <w:rFonts w:ascii="Wingdings" w:hAnsi="Wingdings" w:hint="default"/>
      </w:rPr>
    </w:lvl>
  </w:abstractNum>
  <w:num w:numId="1">
    <w:abstractNumId w:val="37"/>
  </w:num>
  <w:num w:numId="2">
    <w:abstractNumId w:val="5"/>
  </w:num>
  <w:num w:numId="3">
    <w:abstractNumId w:val="28"/>
  </w:num>
  <w:num w:numId="4">
    <w:abstractNumId w:val="34"/>
  </w:num>
  <w:num w:numId="5">
    <w:abstractNumId w:val="29"/>
  </w:num>
  <w:num w:numId="6">
    <w:abstractNumId w:val="25"/>
  </w:num>
  <w:num w:numId="7">
    <w:abstractNumId w:val="11"/>
  </w:num>
  <w:num w:numId="8">
    <w:abstractNumId w:val="19"/>
  </w:num>
  <w:num w:numId="9">
    <w:abstractNumId w:val="3"/>
  </w:num>
  <w:num w:numId="10">
    <w:abstractNumId w:val="27"/>
  </w:num>
  <w:num w:numId="11">
    <w:abstractNumId w:val="2"/>
  </w:num>
  <w:num w:numId="12">
    <w:abstractNumId w:val="10"/>
  </w:num>
  <w:num w:numId="13">
    <w:abstractNumId w:val="22"/>
  </w:num>
  <w:num w:numId="14">
    <w:abstractNumId w:val="7"/>
  </w:num>
  <w:num w:numId="15">
    <w:abstractNumId w:val="36"/>
  </w:num>
  <w:num w:numId="16">
    <w:abstractNumId w:val="35"/>
  </w:num>
  <w:num w:numId="17">
    <w:abstractNumId w:val="24"/>
  </w:num>
  <w:num w:numId="18">
    <w:abstractNumId w:val="18"/>
  </w:num>
  <w:num w:numId="19">
    <w:abstractNumId w:val="6"/>
  </w:num>
  <w:num w:numId="20">
    <w:abstractNumId w:val="13"/>
  </w:num>
  <w:num w:numId="21">
    <w:abstractNumId w:val="15"/>
  </w:num>
  <w:num w:numId="22">
    <w:abstractNumId w:val="20"/>
  </w:num>
  <w:num w:numId="23">
    <w:abstractNumId w:val="26"/>
  </w:num>
  <w:num w:numId="24">
    <w:abstractNumId w:val="14"/>
  </w:num>
  <w:num w:numId="25">
    <w:abstractNumId w:val="0"/>
  </w:num>
  <w:num w:numId="26">
    <w:abstractNumId w:val="17"/>
  </w:num>
  <w:num w:numId="27">
    <w:abstractNumId w:val="31"/>
  </w:num>
  <w:num w:numId="28">
    <w:abstractNumId w:val="23"/>
  </w:num>
  <w:num w:numId="29">
    <w:abstractNumId w:val="8"/>
  </w:num>
  <w:num w:numId="30">
    <w:abstractNumId w:val="1"/>
  </w:num>
  <w:num w:numId="31">
    <w:abstractNumId w:val="32"/>
  </w:num>
  <w:num w:numId="32">
    <w:abstractNumId w:val="21"/>
  </w:num>
  <w:num w:numId="33">
    <w:abstractNumId w:val="16"/>
  </w:num>
  <w:num w:numId="34">
    <w:abstractNumId w:val="9"/>
  </w:num>
  <w:num w:numId="35">
    <w:abstractNumId w:val="4"/>
  </w:num>
  <w:num w:numId="36">
    <w:abstractNumId w:val="33"/>
  </w:num>
  <w:num w:numId="37">
    <w:abstractNumId w:val="30"/>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808"/>
    <w:rsid w:val="00001821"/>
    <w:rsid w:val="00002606"/>
    <w:rsid w:val="0000343F"/>
    <w:rsid w:val="000042AD"/>
    <w:rsid w:val="0000747E"/>
    <w:rsid w:val="00012AF7"/>
    <w:rsid w:val="000138C1"/>
    <w:rsid w:val="00022B75"/>
    <w:rsid w:val="00024FA9"/>
    <w:rsid w:val="000272E0"/>
    <w:rsid w:val="0003087D"/>
    <w:rsid w:val="00030D85"/>
    <w:rsid w:val="00043C23"/>
    <w:rsid w:val="000472EB"/>
    <w:rsid w:val="00050186"/>
    <w:rsid w:val="00052630"/>
    <w:rsid w:val="00054016"/>
    <w:rsid w:val="00054573"/>
    <w:rsid w:val="000552F8"/>
    <w:rsid w:val="000561F4"/>
    <w:rsid w:val="0005789D"/>
    <w:rsid w:val="00060C69"/>
    <w:rsid w:val="00060FB5"/>
    <w:rsid w:val="00062141"/>
    <w:rsid w:val="00062966"/>
    <w:rsid w:val="00065900"/>
    <w:rsid w:val="00066882"/>
    <w:rsid w:val="00072D4B"/>
    <w:rsid w:val="00074981"/>
    <w:rsid w:val="00076E88"/>
    <w:rsid w:val="0008286E"/>
    <w:rsid w:val="00087211"/>
    <w:rsid w:val="00092970"/>
    <w:rsid w:val="00092BD4"/>
    <w:rsid w:val="000975F4"/>
    <w:rsid w:val="000A78E6"/>
    <w:rsid w:val="000B0648"/>
    <w:rsid w:val="000B08C9"/>
    <w:rsid w:val="000B35C3"/>
    <w:rsid w:val="000C0662"/>
    <w:rsid w:val="000C4770"/>
    <w:rsid w:val="000D32AC"/>
    <w:rsid w:val="000D44D9"/>
    <w:rsid w:val="000F11EE"/>
    <w:rsid w:val="000F21A1"/>
    <w:rsid w:val="000F4C43"/>
    <w:rsid w:val="000F59D4"/>
    <w:rsid w:val="000F66A9"/>
    <w:rsid w:val="000F6E92"/>
    <w:rsid w:val="001034E1"/>
    <w:rsid w:val="00104317"/>
    <w:rsid w:val="00106D1B"/>
    <w:rsid w:val="001100F4"/>
    <w:rsid w:val="00115252"/>
    <w:rsid w:val="001161F0"/>
    <w:rsid w:val="001168AA"/>
    <w:rsid w:val="00123993"/>
    <w:rsid w:val="00123FD9"/>
    <w:rsid w:val="001246F0"/>
    <w:rsid w:val="00131D1C"/>
    <w:rsid w:val="00132925"/>
    <w:rsid w:val="001438F1"/>
    <w:rsid w:val="00143959"/>
    <w:rsid w:val="00154C6C"/>
    <w:rsid w:val="00163071"/>
    <w:rsid w:val="0016331C"/>
    <w:rsid w:val="001668DF"/>
    <w:rsid w:val="0017533C"/>
    <w:rsid w:val="0017672D"/>
    <w:rsid w:val="0018125F"/>
    <w:rsid w:val="00184596"/>
    <w:rsid w:val="00185791"/>
    <w:rsid w:val="001859B6"/>
    <w:rsid w:val="00190612"/>
    <w:rsid w:val="001A4784"/>
    <w:rsid w:val="001A53FD"/>
    <w:rsid w:val="001A7EFB"/>
    <w:rsid w:val="001B0F67"/>
    <w:rsid w:val="001B1078"/>
    <w:rsid w:val="001B5817"/>
    <w:rsid w:val="001C0FD0"/>
    <w:rsid w:val="001D27BE"/>
    <w:rsid w:val="001D498C"/>
    <w:rsid w:val="001D6F34"/>
    <w:rsid w:val="001D7B70"/>
    <w:rsid w:val="001E16AC"/>
    <w:rsid w:val="001E59DC"/>
    <w:rsid w:val="001E5D73"/>
    <w:rsid w:val="001E6BC3"/>
    <w:rsid w:val="00205E1C"/>
    <w:rsid w:val="00206562"/>
    <w:rsid w:val="00210A0C"/>
    <w:rsid w:val="00215407"/>
    <w:rsid w:val="0021681A"/>
    <w:rsid w:val="00221120"/>
    <w:rsid w:val="002239FE"/>
    <w:rsid w:val="0022473B"/>
    <w:rsid w:val="00224F28"/>
    <w:rsid w:val="00232506"/>
    <w:rsid w:val="00233120"/>
    <w:rsid w:val="00234BEC"/>
    <w:rsid w:val="002352C7"/>
    <w:rsid w:val="00237482"/>
    <w:rsid w:val="00240EC4"/>
    <w:rsid w:val="0024264F"/>
    <w:rsid w:val="0024589D"/>
    <w:rsid w:val="002474F9"/>
    <w:rsid w:val="002521B1"/>
    <w:rsid w:val="00252980"/>
    <w:rsid w:val="00253A24"/>
    <w:rsid w:val="00254424"/>
    <w:rsid w:val="00256B11"/>
    <w:rsid w:val="002573D1"/>
    <w:rsid w:val="002579BE"/>
    <w:rsid w:val="00260658"/>
    <w:rsid w:val="00261978"/>
    <w:rsid w:val="002664CA"/>
    <w:rsid w:val="00276A32"/>
    <w:rsid w:val="002824DE"/>
    <w:rsid w:val="00283B44"/>
    <w:rsid w:val="00283F0C"/>
    <w:rsid w:val="002842CA"/>
    <w:rsid w:val="002900DF"/>
    <w:rsid w:val="002946FA"/>
    <w:rsid w:val="002A273F"/>
    <w:rsid w:val="002B11B6"/>
    <w:rsid w:val="002B2AC8"/>
    <w:rsid w:val="002B5AE7"/>
    <w:rsid w:val="002C18B8"/>
    <w:rsid w:val="002C1BEE"/>
    <w:rsid w:val="002C284D"/>
    <w:rsid w:val="002C3B14"/>
    <w:rsid w:val="002C5BE2"/>
    <w:rsid w:val="002D1A98"/>
    <w:rsid w:val="002D316D"/>
    <w:rsid w:val="002D32D0"/>
    <w:rsid w:val="002E24F3"/>
    <w:rsid w:val="002E527F"/>
    <w:rsid w:val="002F308A"/>
    <w:rsid w:val="002F4957"/>
    <w:rsid w:val="002F52A8"/>
    <w:rsid w:val="00300CC5"/>
    <w:rsid w:val="003178AF"/>
    <w:rsid w:val="00317DDE"/>
    <w:rsid w:val="00320DD0"/>
    <w:rsid w:val="003254C9"/>
    <w:rsid w:val="00326CC9"/>
    <w:rsid w:val="00327930"/>
    <w:rsid w:val="003306C3"/>
    <w:rsid w:val="00331C50"/>
    <w:rsid w:val="003335EA"/>
    <w:rsid w:val="003404A8"/>
    <w:rsid w:val="00344B8C"/>
    <w:rsid w:val="0035389D"/>
    <w:rsid w:val="00353C5C"/>
    <w:rsid w:val="00354CD0"/>
    <w:rsid w:val="0035594E"/>
    <w:rsid w:val="00364687"/>
    <w:rsid w:val="00374CCD"/>
    <w:rsid w:val="003761A6"/>
    <w:rsid w:val="00376333"/>
    <w:rsid w:val="0038270B"/>
    <w:rsid w:val="00383DD7"/>
    <w:rsid w:val="003852A2"/>
    <w:rsid w:val="0038701A"/>
    <w:rsid w:val="00391847"/>
    <w:rsid w:val="003923FA"/>
    <w:rsid w:val="003A3192"/>
    <w:rsid w:val="003B78C3"/>
    <w:rsid w:val="003C1914"/>
    <w:rsid w:val="003C337E"/>
    <w:rsid w:val="003C346C"/>
    <w:rsid w:val="003D1924"/>
    <w:rsid w:val="003D6183"/>
    <w:rsid w:val="003D77A8"/>
    <w:rsid w:val="003E1F2B"/>
    <w:rsid w:val="003E5929"/>
    <w:rsid w:val="003F7B8B"/>
    <w:rsid w:val="003F7DD7"/>
    <w:rsid w:val="004042ED"/>
    <w:rsid w:val="00404A4C"/>
    <w:rsid w:val="00412912"/>
    <w:rsid w:val="00413286"/>
    <w:rsid w:val="004198D1"/>
    <w:rsid w:val="00421FB1"/>
    <w:rsid w:val="00426DBA"/>
    <w:rsid w:val="00431304"/>
    <w:rsid w:val="0043633B"/>
    <w:rsid w:val="00437834"/>
    <w:rsid w:val="004402E1"/>
    <w:rsid w:val="00440CE3"/>
    <w:rsid w:val="00441A10"/>
    <w:rsid w:val="00442D27"/>
    <w:rsid w:val="004453D0"/>
    <w:rsid w:val="00451359"/>
    <w:rsid w:val="00451B0D"/>
    <w:rsid w:val="00454B9F"/>
    <w:rsid w:val="00460E6C"/>
    <w:rsid w:val="00461A00"/>
    <w:rsid w:val="004625A5"/>
    <w:rsid w:val="00465CBB"/>
    <w:rsid w:val="004669CB"/>
    <w:rsid w:val="00466A0A"/>
    <w:rsid w:val="004678DE"/>
    <w:rsid w:val="00470E7D"/>
    <w:rsid w:val="00474911"/>
    <w:rsid w:val="00485F67"/>
    <w:rsid w:val="00485F85"/>
    <w:rsid w:val="004873AB"/>
    <w:rsid w:val="0048756A"/>
    <w:rsid w:val="00493802"/>
    <w:rsid w:val="004A1E30"/>
    <w:rsid w:val="004A27C3"/>
    <w:rsid w:val="004A388B"/>
    <w:rsid w:val="004A7E70"/>
    <w:rsid w:val="004B0706"/>
    <w:rsid w:val="004B1046"/>
    <w:rsid w:val="004B248D"/>
    <w:rsid w:val="004B3099"/>
    <w:rsid w:val="004B3B32"/>
    <w:rsid w:val="004C17E3"/>
    <w:rsid w:val="004C2E88"/>
    <w:rsid w:val="004C3132"/>
    <w:rsid w:val="004C3597"/>
    <w:rsid w:val="004C6BC8"/>
    <w:rsid w:val="004D05C8"/>
    <w:rsid w:val="004E2984"/>
    <w:rsid w:val="004E3023"/>
    <w:rsid w:val="004F1B58"/>
    <w:rsid w:val="004F6835"/>
    <w:rsid w:val="004F7FA0"/>
    <w:rsid w:val="00503A20"/>
    <w:rsid w:val="00503D0E"/>
    <w:rsid w:val="00505BCB"/>
    <w:rsid w:val="005069DD"/>
    <w:rsid w:val="00510243"/>
    <w:rsid w:val="0051629B"/>
    <w:rsid w:val="00516506"/>
    <w:rsid w:val="00517762"/>
    <w:rsid w:val="00523EFB"/>
    <w:rsid w:val="0052501D"/>
    <w:rsid w:val="0052552B"/>
    <w:rsid w:val="00526FAB"/>
    <w:rsid w:val="00527808"/>
    <w:rsid w:val="0053324D"/>
    <w:rsid w:val="00534245"/>
    <w:rsid w:val="00535A21"/>
    <w:rsid w:val="00540303"/>
    <w:rsid w:val="0054092F"/>
    <w:rsid w:val="00543128"/>
    <w:rsid w:val="005455BA"/>
    <w:rsid w:val="005459E7"/>
    <w:rsid w:val="0054601C"/>
    <w:rsid w:val="00554DC9"/>
    <w:rsid w:val="00561496"/>
    <w:rsid w:val="0057172C"/>
    <w:rsid w:val="005718DD"/>
    <w:rsid w:val="00577EB9"/>
    <w:rsid w:val="00593DCC"/>
    <w:rsid w:val="00594B21"/>
    <w:rsid w:val="005960A9"/>
    <w:rsid w:val="005A2A40"/>
    <w:rsid w:val="005A4C3C"/>
    <w:rsid w:val="005A7584"/>
    <w:rsid w:val="005B667A"/>
    <w:rsid w:val="005C0B5E"/>
    <w:rsid w:val="005C2E7B"/>
    <w:rsid w:val="005C3179"/>
    <w:rsid w:val="005D2A7D"/>
    <w:rsid w:val="005D36E5"/>
    <w:rsid w:val="005D3BFE"/>
    <w:rsid w:val="005E1BC4"/>
    <w:rsid w:val="005E29B8"/>
    <w:rsid w:val="005E3B7B"/>
    <w:rsid w:val="005E781A"/>
    <w:rsid w:val="005E7B5F"/>
    <w:rsid w:val="005E9D14"/>
    <w:rsid w:val="005F1789"/>
    <w:rsid w:val="005F365C"/>
    <w:rsid w:val="005F48F4"/>
    <w:rsid w:val="00615532"/>
    <w:rsid w:val="00616092"/>
    <w:rsid w:val="006176D5"/>
    <w:rsid w:val="0062215B"/>
    <w:rsid w:val="006233CB"/>
    <w:rsid w:val="00625DC1"/>
    <w:rsid w:val="00626107"/>
    <w:rsid w:val="006268D9"/>
    <w:rsid w:val="00627841"/>
    <w:rsid w:val="00627DA2"/>
    <w:rsid w:val="00633D32"/>
    <w:rsid w:val="00633D8B"/>
    <w:rsid w:val="00637EB0"/>
    <w:rsid w:val="006401CF"/>
    <w:rsid w:val="00644FD3"/>
    <w:rsid w:val="00646178"/>
    <w:rsid w:val="00647060"/>
    <w:rsid w:val="006520F8"/>
    <w:rsid w:val="00656212"/>
    <w:rsid w:val="00661DB7"/>
    <w:rsid w:val="00674741"/>
    <w:rsid w:val="006756C6"/>
    <w:rsid w:val="00680939"/>
    <w:rsid w:val="00683AD2"/>
    <w:rsid w:val="006909A0"/>
    <w:rsid w:val="006A3B4E"/>
    <w:rsid w:val="006A4E8B"/>
    <w:rsid w:val="006A7E93"/>
    <w:rsid w:val="006B2343"/>
    <w:rsid w:val="006B4D09"/>
    <w:rsid w:val="006B5517"/>
    <w:rsid w:val="006C608A"/>
    <w:rsid w:val="006D436A"/>
    <w:rsid w:val="006E1B4E"/>
    <w:rsid w:val="006E7710"/>
    <w:rsid w:val="006F28C0"/>
    <w:rsid w:val="006F407C"/>
    <w:rsid w:val="006F6690"/>
    <w:rsid w:val="006F727D"/>
    <w:rsid w:val="007026BA"/>
    <w:rsid w:val="007122B7"/>
    <w:rsid w:val="00713113"/>
    <w:rsid w:val="00713960"/>
    <w:rsid w:val="00713C24"/>
    <w:rsid w:val="00730D08"/>
    <w:rsid w:val="00733B96"/>
    <w:rsid w:val="00734546"/>
    <w:rsid w:val="0073647B"/>
    <w:rsid w:val="00737501"/>
    <w:rsid w:val="00751B1A"/>
    <w:rsid w:val="007531D1"/>
    <w:rsid w:val="007611CB"/>
    <w:rsid w:val="0076175E"/>
    <w:rsid w:val="00771260"/>
    <w:rsid w:val="00771C79"/>
    <w:rsid w:val="00773497"/>
    <w:rsid w:val="00783095"/>
    <w:rsid w:val="007830DB"/>
    <w:rsid w:val="007872A1"/>
    <w:rsid w:val="00790F54"/>
    <w:rsid w:val="00791F94"/>
    <w:rsid w:val="007A20D7"/>
    <w:rsid w:val="007A2CE5"/>
    <w:rsid w:val="007A50B6"/>
    <w:rsid w:val="007B257F"/>
    <w:rsid w:val="007B3855"/>
    <w:rsid w:val="007B4DB0"/>
    <w:rsid w:val="007B6A8F"/>
    <w:rsid w:val="007C0E5F"/>
    <w:rsid w:val="007C2AE3"/>
    <w:rsid w:val="007C4661"/>
    <w:rsid w:val="007C51CA"/>
    <w:rsid w:val="007D6B76"/>
    <w:rsid w:val="007D7382"/>
    <w:rsid w:val="007D78EA"/>
    <w:rsid w:val="007E01FF"/>
    <w:rsid w:val="007F1324"/>
    <w:rsid w:val="007F15CC"/>
    <w:rsid w:val="007F2497"/>
    <w:rsid w:val="007F32CC"/>
    <w:rsid w:val="007F455D"/>
    <w:rsid w:val="007F609E"/>
    <w:rsid w:val="007F686B"/>
    <w:rsid w:val="008023F1"/>
    <w:rsid w:val="0080385F"/>
    <w:rsid w:val="00805CD7"/>
    <w:rsid w:val="00807327"/>
    <w:rsid w:val="00812A3D"/>
    <w:rsid w:val="008227E0"/>
    <w:rsid w:val="00824EE3"/>
    <w:rsid w:val="00832822"/>
    <w:rsid w:val="0083335C"/>
    <w:rsid w:val="0083608A"/>
    <w:rsid w:val="00842D4A"/>
    <w:rsid w:val="00844023"/>
    <w:rsid w:val="0084699A"/>
    <w:rsid w:val="00846AD2"/>
    <w:rsid w:val="008504E1"/>
    <w:rsid w:val="00852BFA"/>
    <w:rsid w:val="00856676"/>
    <w:rsid w:val="008666ED"/>
    <w:rsid w:val="0086716F"/>
    <w:rsid w:val="0087123E"/>
    <w:rsid w:val="008754DF"/>
    <w:rsid w:val="00880499"/>
    <w:rsid w:val="00881F70"/>
    <w:rsid w:val="00885A56"/>
    <w:rsid w:val="00885CC2"/>
    <w:rsid w:val="008866B8"/>
    <w:rsid w:val="008876FD"/>
    <w:rsid w:val="008918F1"/>
    <w:rsid w:val="00894F3E"/>
    <w:rsid w:val="008961F3"/>
    <w:rsid w:val="008A0682"/>
    <w:rsid w:val="008B0ABF"/>
    <w:rsid w:val="008B1C73"/>
    <w:rsid w:val="008B25E6"/>
    <w:rsid w:val="008B4F18"/>
    <w:rsid w:val="008B753D"/>
    <w:rsid w:val="008B7E0D"/>
    <w:rsid w:val="008C013A"/>
    <w:rsid w:val="008C20D6"/>
    <w:rsid w:val="008C2946"/>
    <w:rsid w:val="008C2F7B"/>
    <w:rsid w:val="008D434B"/>
    <w:rsid w:val="008D794D"/>
    <w:rsid w:val="008E0929"/>
    <w:rsid w:val="008E29C5"/>
    <w:rsid w:val="008E2A8E"/>
    <w:rsid w:val="008E2F21"/>
    <w:rsid w:val="008E43AB"/>
    <w:rsid w:val="008F1D5B"/>
    <w:rsid w:val="00901987"/>
    <w:rsid w:val="0091096D"/>
    <w:rsid w:val="00910E4F"/>
    <w:rsid w:val="009133D1"/>
    <w:rsid w:val="0091577C"/>
    <w:rsid w:val="0092015D"/>
    <w:rsid w:val="00921EC5"/>
    <w:rsid w:val="0093173D"/>
    <w:rsid w:val="009318C5"/>
    <w:rsid w:val="00934DE4"/>
    <w:rsid w:val="00941104"/>
    <w:rsid w:val="009425A5"/>
    <w:rsid w:val="00946327"/>
    <w:rsid w:val="00946877"/>
    <w:rsid w:val="00947E6C"/>
    <w:rsid w:val="00951D99"/>
    <w:rsid w:val="009529F3"/>
    <w:rsid w:val="00952FD3"/>
    <w:rsid w:val="00961B11"/>
    <w:rsid w:val="00963032"/>
    <w:rsid w:val="00965227"/>
    <w:rsid w:val="009652B1"/>
    <w:rsid w:val="0096540F"/>
    <w:rsid w:val="00976C43"/>
    <w:rsid w:val="0098146F"/>
    <w:rsid w:val="009816C4"/>
    <w:rsid w:val="00982B5F"/>
    <w:rsid w:val="00986B8A"/>
    <w:rsid w:val="00987AE3"/>
    <w:rsid w:val="00990252"/>
    <w:rsid w:val="00990733"/>
    <w:rsid w:val="009921BF"/>
    <w:rsid w:val="009925B9"/>
    <w:rsid w:val="0099487A"/>
    <w:rsid w:val="00995988"/>
    <w:rsid w:val="00997F3D"/>
    <w:rsid w:val="009A1C8E"/>
    <w:rsid w:val="009A504A"/>
    <w:rsid w:val="009A5A61"/>
    <w:rsid w:val="009B34EB"/>
    <w:rsid w:val="009B5495"/>
    <w:rsid w:val="009B5DA8"/>
    <w:rsid w:val="009C03CF"/>
    <w:rsid w:val="009C6708"/>
    <w:rsid w:val="009D3D36"/>
    <w:rsid w:val="009D410F"/>
    <w:rsid w:val="009E252E"/>
    <w:rsid w:val="009E2852"/>
    <w:rsid w:val="009E32FE"/>
    <w:rsid w:val="009E4317"/>
    <w:rsid w:val="009E4856"/>
    <w:rsid w:val="009E7AAF"/>
    <w:rsid w:val="009F60BE"/>
    <w:rsid w:val="009F72A1"/>
    <w:rsid w:val="00A01EEB"/>
    <w:rsid w:val="00A04D75"/>
    <w:rsid w:val="00A05034"/>
    <w:rsid w:val="00A06581"/>
    <w:rsid w:val="00A07017"/>
    <w:rsid w:val="00A107F2"/>
    <w:rsid w:val="00A10AD6"/>
    <w:rsid w:val="00A120B2"/>
    <w:rsid w:val="00A143D4"/>
    <w:rsid w:val="00A1664F"/>
    <w:rsid w:val="00A16CAC"/>
    <w:rsid w:val="00A22074"/>
    <w:rsid w:val="00A306DC"/>
    <w:rsid w:val="00A375AF"/>
    <w:rsid w:val="00A46C91"/>
    <w:rsid w:val="00A47423"/>
    <w:rsid w:val="00A47C27"/>
    <w:rsid w:val="00A47C83"/>
    <w:rsid w:val="00A50F3A"/>
    <w:rsid w:val="00A5266B"/>
    <w:rsid w:val="00A658D4"/>
    <w:rsid w:val="00A72C91"/>
    <w:rsid w:val="00A74AE7"/>
    <w:rsid w:val="00A75798"/>
    <w:rsid w:val="00A75BD7"/>
    <w:rsid w:val="00A82D92"/>
    <w:rsid w:val="00A84760"/>
    <w:rsid w:val="00A86628"/>
    <w:rsid w:val="00A869C5"/>
    <w:rsid w:val="00A94BF6"/>
    <w:rsid w:val="00AA0246"/>
    <w:rsid w:val="00AA7515"/>
    <w:rsid w:val="00AB1BB7"/>
    <w:rsid w:val="00AB1D96"/>
    <w:rsid w:val="00AC2D80"/>
    <w:rsid w:val="00AC4F35"/>
    <w:rsid w:val="00AD0C35"/>
    <w:rsid w:val="00AD1B3F"/>
    <w:rsid w:val="00AD558E"/>
    <w:rsid w:val="00AD7D21"/>
    <w:rsid w:val="00AE0F29"/>
    <w:rsid w:val="00AE4305"/>
    <w:rsid w:val="00AE54ED"/>
    <w:rsid w:val="00AF034D"/>
    <w:rsid w:val="00AF083B"/>
    <w:rsid w:val="00AF16B8"/>
    <w:rsid w:val="00AF186D"/>
    <w:rsid w:val="00AF2E2B"/>
    <w:rsid w:val="00AF3310"/>
    <w:rsid w:val="00AF36EB"/>
    <w:rsid w:val="00B03822"/>
    <w:rsid w:val="00B06F3C"/>
    <w:rsid w:val="00B11319"/>
    <w:rsid w:val="00B12385"/>
    <w:rsid w:val="00B141D3"/>
    <w:rsid w:val="00B1428B"/>
    <w:rsid w:val="00B16F9A"/>
    <w:rsid w:val="00B201DB"/>
    <w:rsid w:val="00B202D1"/>
    <w:rsid w:val="00B2096B"/>
    <w:rsid w:val="00B21657"/>
    <w:rsid w:val="00B22C87"/>
    <w:rsid w:val="00B32AE3"/>
    <w:rsid w:val="00B44C8F"/>
    <w:rsid w:val="00B46557"/>
    <w:rsid w:val="00B46B9B"/>
    <w:rsid w:val="00B527CC"/>
    <w:rsid w:val="00B53893"/>
    <w:rsid w:val="00B55EBC"/>
    <w:rsid w:val="00B60B52"/>
    <w:rsid w:val="00B63A4D"/>
    <w:rsid w:val="00B64BED"/>
    <w:rsid w:val="00B7200B"/>
    <w:rsid w:val="00B73F82"/>
    <w:rsid w:val="00B77C88"/>
    <w:rsid w:val="00B80B03"/>
    <w:rsid w:val="00B84531"/>
    <w:rsid w:val="00B913BF"/>
    <w:rsid w:val="00B92882"/>
    <w:rsid w:val="00B947E9"/>
    <w:rsid w:val="00BA61F7"/>
    <w:rsid w:val="00BB709C"/>
    <w:rsid w:val="00BB7CBD"/>
    <w:rsid w:val="00BC1AFA"/>
    <w:rsid w:val="00BC2E12"/>
    <w:rsid w:val="00BC355C"/>
    <w:rsid w:val="00BC3DBB"/>
    <w:rsid w:val="00BC7538"/>
    <w:rsid w:val="00BD2F22"/>
    <w:rsid w:val="00BD59FE"/>
    <w:rsid w:val="00BE5725"/>
    <w:rsid w:val="00BE5E0F"/>
    <w:rsid w:val="00BE6A98"/>
    <w:rsid w:val="00BF2885"/>
    <w:rsid w:val="00BF4260"/>
    <w:rsid w:val="00BF54EA"/>
    <w:rsid w:val="00BF5EDB"/>
    <w:rsid w:val="00BF7D3A"/>
    <w:rsid w:val="00BFA30F"/>
    <w:rsid w:val="00C04854"/>
    <w:rsid w:val="00C13484"/>
    <w:rsid w:val="00C14BB3"/>
    <w:rsid w:val="00C24CA0"/>
    <w:rsid w:val="00C35065"/>
    <w:rsid w:val="00C37E57"/>
    <w:rsid w:val="00C44B72"/>
    <w:rsid w:val="00C455B7"/>
    <w:rsid w:val="00C472E9"/>
    <w:rsid w:val="00C479FB"/>
    <w:rsid w:val="00C5337F"/>
    <w:rsid w:val="00C55523"/>
    <w:rsid w:val="00C62D56"/>
    <w:rsid w:val="00C63F40"/>
    <w:rsid w:val="00C67551"/>
    <w:rsid w:val="00C701F8"/>
    <w:rsid w:val="00C70B96"/>
    <w:rsid w:val="00C723DC"/>
    <w:rsid w:val="00C73D41"/>
    <w:rsid w:val="00C77654"/>
    <w:rsid w:val="00C777E1"/>
    <w:rsid w:val="00C77B1B"/>
    <w:rsid w:val="00C845E9"/>
    <w:rsid w:val="00C901F4"/>
    <w:rsid w:val="00C902E4"/>
    <w:rsid w:val="00C92FB2"/>
    <w:rsid w:val="00C972E5"/>
    <w:rsid w:val="00CA1F7E"/>
    <w:rsid w:val="00CA233C"/>
    <w:rsid w:val="00CA2FF3"/>
    <w:rsid w:val="00CA6951"/>
    <w:rsid w:val="00CB4331"/>
    <w:rsid w:val="00CB7ADF"/>
    <w:rsid w:val="00CC09C4"/>
    <w:rsid w:val="00CC22B9"/>
    <w:rsid w:val="00CC390C"/>
    <w:rsid w:val="00CD11AC"/>
    <w:rsid w:val="00CD461F"/>
    <w:rsid w:val="00CD6A7D"/>
    <w:rsid w:val="00CE01C0"/>
    <w:rsid w:val="00CE5875"/>
    <w:rsid w:val="00CE70AD"/>
    <w:rsid w:val="00CF38B2"/>
    <w:rsid w:val="00D01BE1"/>
    <w:rsid w:val="00D02ABA"/>
    <w:rsid w:val="00D05EEA"/>
    <w:rsid w:val="00D12ADC"/>
    <w:rsid w:val="00D12CC1"/>
    <w:rsid w:val="00D131AC"/>
    <w:rsid w:val="00D27748"/>
    <w:rsid w:val="00D342D2"/>
    <w:rsid w:val="00D35838"/>
    <w:rsid w:val="00D36D9A"/>
    <w:rsid w:val="00D37BE8"/>
    <w:rsid w:val="00D438E8"/>
    <w:rsid w:val="00D45773"/>
    <w:rsid w:val="00D4619B"/>
    <w:rsid w:val="00D46786"/>
    <w:rsid w:val="00D51BE2"/>
    <w:rsid w:val="00D53371"/>
    <w:rsid w:val="00D70DA1"/>
    <w:rsid w:val="00D72A2C"/>
    <w:rsid w:val="00D764C0"/>
    <w:rsid w:val="00D76A3C"/>
    <w:rsid w:val="00D816B9"/>
    <w:rsid w:val="00D81801"/>
    <w:rsid w:val="00D81F4A"/>
    <w:rsid w:val="00D847FA"/>
    <w:rsid w:val="00D8564D"/>
    <w:rsid w:val="00D87003"/>
    <w:rsid w:val="00D87E8A"/>
    <w:rsid w:val="00D92C94"/>
    <w:rsid w:val="00D9644F"/>
    <w:rsid w:val="00DC15F4"/>
    <w:rsid w:val="00DC2791"/>
    <w:rsid w:val="00DC5F7A"/>
    <w:rsid w:val="00DD0A03"/>
    <w:rsid w:val="00DD3DDC"/>
    <w:rsid w:val="00DD4F71"/>
    <w:rsid w:val="00DE020D"/>
    <w:rsid w:val="00DE2F53"/>
    <w:rsid w:val="00DE57A4"/>
    <w:rsid w:val="00DF02D5"/>
    <w:rsid w:val="00DF3D4F"/>
    <w:rsid w:val="00E07CC7"/>
    <w:rsid w:val="00E1541E"/>
    <w:rsid w:val="00E15E2F"/>
    <w:rsid w:val="00E160DF"/>
    <w:rsid w:val="00E178A3"/>
    <w:rsid w:val="00E22C3D"/>
    <w:rsid w:val="00E27568"/>
    <w:rsid w:val="00E27E4E"/>
    <w:rsid w:val="00E32568"/>
    <w:rsid w:val="00E35D47"/>
    <w:rsid w:val="00E3704A"/>
    <w:rsid w:val="00E42112"/>
    <w:rsid w:val="00E51410"/>
    <w:rsid w:val="00E6424B"/>
    <w:rsid w:val="00E65C9B"/>
    <w:rsid w:val="00E70D01"/>
    <w:rsid w:val="00E7467C"/>
    <w:rsid w:val="00E7718A"/>
    <w:rsid w:val="00E8569C"/>
    <w:rsid w:val="00E878E1"/>
    <w:rsid w:val="00E917BC"/>
    <w:rsid w:val="00E92A2A"/>
    <w:rsid w:val="00EB221D"/>
    <w:rsid w:val="00EB31C9"/>
    <w:rsid w:val="00EB3B14"/>
    <w:rsid w:val="00EC0D8E"/>
    <w:rsid w:val="00EC48F1"/>
    <w:rsid w:val="00EC7C83"/>
    <w:rsid w:val="00ED094B"/>
    <w:rsid w:val="00ED50FA"/>
    <w:rsid w:val="00ED5DCA"/>
    <w:rsid w:val="00ED72A5"/>
    <w:rsid w:val="00ED7980"/>
    <w:rsid w:val="00EE2E43"/>
    <w:rsid w:val="00EE3E18"/>
    <w:rsid w:val="00EE6176"/>
    <w:rsid w:val="00EE702D"/>
    <w:rsid w:val="00EF0B24"/>
    <w:rsid w:val="00EF2248"/>
    <w:rsid w:val="00EF2743"/>
    <w:rsid w:val="00EF4561"/>
    <w:rsid w:val="00EF49F4"/>
    <w:rsid w:val="00EF5C95"/>
    <w:rsid w:val="00EF6781"/>
    <w:rsid w:val="00F04C65"/>
    <w:rsid w:val="00F140C4"/>
    <w:rsid w:val="00F17006"/>
    <w:rsid w:val="00F22D26"/>
    <w:rsid w:val="00F2391D"/>
    <w:rsid w:val="00F24E5C"/>
    <w:rsid w:val="00F25587"/>
    <w:rsid w:val="00F27D6F"/>
    <w:rsid w:val="00F27F73"/>
    <w:rsid w:val="00F310C1"/>
    <w:rsid w:val="00F31DDC"/>
    <w:rsid w:val="00F35B7C"/>
    <w:rsid w:val="00F3621F"/>
    <w:rsid w:val="00F40E01"/>
    <w:rsid w:val="00F41519"/>
    <w:rsid w:val="00F5291D"/>
    <w:rsid w:val="00F62756"/>
    <w:rsid w:val="00F64852"/>
    <w:rsid w:val="00F65962"/>
    <w:rsid w:val="00F66385"/>
    <w:rsid w:val="00F67ECD"/>
    <w:rsid w:val="00F70B45"/>
    <w:rsid w:val="00F93313"/>
    <w:rsid w:val="00F93D8E"/>
    <w:rsid w:val="00F957A6"/>
    <w:rsid w:val="00FA355A"/>
    <w:rsid w:val="00FA7A74"/>
    <w:rsid w:val="00FB276D"/>
    <w:rsid w:val="00FC11BF"/>
    <w:rsid w:val="00FC2379"/>
    <w:rsid w:val="00FC2A6D"/>
    <w:rsid w:val="00FD49BF"/>
    <w:rsid w:val="00FD4A06"/>
    <w:rsid w:val="00FE0871"/>
    <w:rsid w:val="00FE1ACD"/>
    <w:rsid w:val="00FE5EA9"/>
    <w:rsid w:val="00FE66A5"/>
    <w:rsid w:val="00FEA61E"/>
    <w:rsid w:val="00FF0199"/>
    <w:rsid w:val="00FF483C"/>
    <w:rsid w:val="00FF563C"/>
    <w:rsid w:val="026AB891"/>
    <w:rsid w:val="02DB5BD0"/>
    <w:rsid w:val="03145982"/>
    <w:rsid w:val="035C0768"/>
    <w:rsid w:val="03E49E09"/>
    <w:rsid w:val="04442496"/>
    <w:rsid w:val="044DBCE5"/>
    <w:rsid w:val="046CCD62"/>
    <w:rsid w:val="04973523"/>
    <w:rsid w:val="04B7505B"/>
    <w:rsid w:val="050C380C"/>
    <w:rsid w:val="056A387E"/>
    <w:rsid w:val="056F4BC0"/>
    <w:rsid w:val="059AD060"/>
    <w:rsid w:val="05B3312E"/>
    <w:rsid w:val="062E08DD"/>
    <w:rsid w:val="06605439"/>
    <w:rsid w:val="067217FD"/>
    <w:rsid w:val="06A22A35"/>
    <w:rsid w:val="06B293D8"/>
    <w:rsid w:val="06BF5B3B"/>
    <w:rsid w:val="06D32B77"/>
    <w:rsid w:val="071E6AE9"/>
    <w:rsid w:val="077D3CB3"/>
    <w:rsid w:val="080E559E"/>
    <w:rsid w:val="08602344"/>
    <w:rsid w:val="086474FF"/>
    <w:rsid w:val="08681C98"/>
    <w:rsid w:val="087BAB67"/>
    <w:rsid w:val="0889E492"/>
    <w:rsid w:val="08CAD613"/>
    <w:rsid w:val="08F4A62F"/>
    <w:rsid w:val="08FA4A28"/>
    <w:rsid w:val="09755558"/>
    <w:rsid w:val="09A18A98"/>
    <w:rsid w:val="0A02DD93"/>
    <w:rsid w:val="0A5816EA"/>
    <w:rsid w:val="0AD65D58"/>
    <w:rsid w:val="0AD9C8C6"/>
    <w:rsid w:val="0AE7B234"/>
    <w:rsid w:val="0B05A5B6"/>
    <w:rsid w:val="0B09E378"/>
    <w:rsid w:val="0B62E825"/>
    <w:rsid w:val="0B77F436"/>
    <w:rsid w:val="0C2A397B"/>
    <w:rsid w:val="0C5E0F12"/>
    <w:rsid w:val="0D07BD3F"/>
    <w:rsid w:val="0D15B7EF"/>
    <w:rsid w:val="0D6351F9"/>
    <w:rsid w:val="0D70BBC5"/>
    <w:rsid w:val="0DD74400"/>
    <w:rsid w:val="0DDA75C6"/>
    <w:rsid w:val="0DE5F7E4"/>
    <w:rsid w:val="0E0272E3"/>
    <w:rsid w:val="0E24A46A"/>
    <w:rsid w:val="0E3BD754"/>
    <w:rsid w:val="0E808E79"/>
    <w:rsid w:val="0E8A967F"/>
    <w:rsid w:val="0ED1621B"/>
    <w:rsid w:val="0F0E0DC8"/>
    <w:rsid w:val="0F0FA486"/>
    <w:rsid w:val="0F9DB28A"/>
    <w:rsid w:val="0FC6F046"/>
    <w:rsid w:val="0FE42FFE"/>
    <w:rsid w:val="0FF0C9EE"/>
    <w:rsid w:val="101370BF"/>
    <w:rsid w:val="1069CE12"/>
    <w:rsid w:val="10B452F9"/>
    <w:rsid w:val="11145AA9"/>
    <w:rsid w:val="112F99D3"/>
    <w:rsid w:val="11416AA6"/>
    <w:rsid w:val="11A3DD40"/>
    <w:rsid w:val="11B6333A"/>
    <w:rsid w:val="11C09347"/>
    <w:rsid w:val="11F53755"/>
    <w:rsid w:val="122FB352"/>
    <w:rsid w:val="127C5DDF"/>
    <w:rsid w:val="128C7F68"/>
    <w:rsid w:val="13430CC6"/>
    <w:rsid w:val="1358D142"/>
    <w:rsid w:val="137487A4"/>
    <w:rsid w:val="13A3E8A2"/>
    <w:rsid w:val="142883D3"/>
    <w:rsid w:val="143D1919"/>
    <w:rsid w:val="14424F60"/>
    <w:rsid w:val="14621091"/>
    <w:rsid w:val="14BCD14C"/>
    <w:rsid w:val="157EEFAF"/>
    <w:rsid w:val="15DA8AE9"/>
    <w:rsid w:val="16029FBB"/>
    <w:rsid w:val="167F9C9D"/>
    <w:rsid w:val="16BA0107"/>
    <w:rsid w:val="173F0AC7"/>
    <w:rsid w:val="178B8F8F"/>
    <w:rsid w:val="17A36645"/>
    <w:rsid w:val="17D4FF05"/>
    <w:rsid w:val="1804AEAE"/>
    <w:rsid w:val="180BE7BA"/>
    <w:rsid w:val="18216F0A"/>
    <w:rsid w:val="184D4D65"/>
    <w:rsid w:val="185422D9"/>
    <w:rsid w:val="18942DC4"/>
    <w:rsid w:val="18B5C426"/>
    <w:rsid w:val="18FC0C41"/>
    <w:rsid w:val="193AC1E3"/>
    <w:rsid w:val="19604AC8"/>
    <w:rsid w:val="1A088757"/>
    <w:rsid w:val="1A108BA2"/>
    <w:rsid w:val="1A3C4E07"/>
    <w:rsid w:val="1A77549A"/>
    <w:rsid w:val="1A97401A"/>
    <w:rsid w:val="1AE65D71"/>
    <w:rsid w:val="1B22B576"/>
    <w:rsid w:val="1B468D95"/>
    <w:rsid w:val="1B77CFDF"/>
    <w:rsid w:val="1BA68677"/>
    <w:rsid w:val="1BCAC476"/>
    <w:rsid w:val="1C0AE3FA"/>
    <w:rsid w:val="1C196AC4"/>
    <w:rsid w:val="1C9CE9AD"/>
    <w:rsid w:val="1CAD69C1"/>
    <w:rsid w:val="1CB13D40"/>
    <w:rsid w:val="1D472418"/>
    <w:rsid w:val="1D5F61C0"/>
    <w:rsid w:val="1D80F137"/>
    <w:rsid w:val="1E01D615"/>
    <w:rsid w:val="1E271415"/>
    <w:rsid w:val="1EB257AC"/>
    <w:rsid w:val="1ED2C9BB"/>
    <w:rsid w:val="1F47CF8B"/>
    <w:rsid w:val="1F4AF0C1"/>
    <w:rsid w:val="1F818DF2"/>
    <w:rsid w:val="1FA8B0D0"/>
    <w:rsid w:val="1FBD61AD"/>
    <w:rsid w:val="1FDBE804"/>
    <w:rsid w:val="200FB182"/>
    <w:rsid w:val="2063EA6B"/>
    <w:rsid w:val="2067A752"/>
    <w:rsid w:val="20758CA3"/>
    <w:rsid w:val="207F546F"/>
    <w:rsid w:val="20CE147C"/>
    <w:rsid w:val="20FCF4AD"/>
    <w:rsid w:val="2109830A"/>
    <w:rsid w:val="21143EA2"/>
    <w:rsid w:val="21216D90"/>
    <w:rsid w:val="214008ED"/>
    <w:rsid w:val="2145C084"/>
    <w:rsid w:val="2177D379"/>
    <w:rsid w:val="217B2C0D"/>
    <w:rsid w:val="21AA0FD8"/>
    <w:rsid w:val="2212A514"/>
    <w:rsid w:val="228D50DF"/>
    <w:rsid w:val="22C3C120"/>
    <w:rsid w:val="23009549"/>
    <w:rsid w:val="2363F0A7"/>
    <w:rsid w:val="23766F58"/>
    <w:rsid w:val="2378893E"/>
    <w:rsid w:val="2391BF9D"/>
    <w:rsid w:val="23E095FF"/>
    <w:rsid w:val="24274C93"/>
    <w:rsid w:val="2463C6C3"/>
    <w:rsid w:val="247A21D2"/>
    <w:rsid w:val="247A7C80"/>
    <w:rsid w:val="24E2BD1C"/>
    <w:rsid w:val="24F28C0C"/>
    <w:rsid w:val="253D5345"/>
    <w:rsid w:val="2579C366"/>
    <w:rsid w:val="2582C4C3"/>
    <w:rsid w:val="25C5FCEA"/>
    <w:rsid w:val="25D612D2"/>
    <w:rsid w:val="25E78BDB"/>
    <w:rsid w:val="25EBDE76"/>
    <w:rsid w:val="25F0608E"/>
    <w:rsid w:val="26190365"/>
    <w:rsid w:val="264EB841"/>
    <w:rsid w:val="26D764B4"/>
    <w:rsid w:val="271DE4F9"/>
    <w:rsid w:val="274943AD"/>
    <w:rsid w:val="275E3467"/>
    <w:rsid w:val="277A008A"/>
    <w:rsid w:val="27F50975"/>
    <w:rsid w:val="28097A2F"/>
    <w:rsid w:val="281EBE94"/>
    <w:rsid w:val="2825C1D7"/>
    <w:rsid w:val="2855342D"/>
    <w:rsid w:val="28606EB7"/>
    <w:rsid w:val="286247AE"/>
    <w:rsid w:val="288F22F1"/>
    <w:rsid w:val="28BD8A2B"/>
    <w:rsid w:val="28F22926"/>
    <w:rsid w:val="28FD2AA7"/>
    <w:rsid w:val="294E0263"/>
    <w:rsid w:val="29CB43D9"/>
    <w:rsid w:val="29E4E4AA"/>
    <w:rsid w:val="2A06C53E"/>
    <w:rsid w:val="2A114346"/>
    <w:rsid w:val="2A2990C8"/>
    <w:rsid w:val="2A431E0F"/>
    <w:rsid w:val="2AB9B8AC"/>
    <w:rsid w:val="2AD39660"/>
    <w:rsid w:val="2BA65FA9"/>
    <w:rsid w:val="2BEC92DA"/>
    <w:rsid w:val="2C0F9618"/>
    <w:rsid w:val="2D358EC2"/>
    <w:rsid w:val="2D4C2320"/>
    <w:rsid w:val="2DD9CCEA"/>
    <w:rsid w:val="2E0BE2AA"/>
    <w:rsid w:val="2E2F0B0E"/>
    <w:rsid w:val="2E54D8E3"/>
    <w:rsid w:val="2EBD7DA5"/>
    <w:rsid w:val="2EEBADAE"/>
    <w:rsid w:val="2F002A25"/>
    <w:rsid w:val="2F708916"/>
    <w:rsid w:val="2F9C8A5D"/>
    <w:rsid w:val="2FD64576"/>
    <w:rsid w:val="2FD6EBE6"/>
    <w:rsid w:val="31343DEF"/>
    <w:rsid w:val="313EF80E"/>
    <w:rsid w:val="3141F127"/>
    <w:rsid w:val="319891BC"/>
    <w:rsid w:val="31C42F01"/>
    <w:rsid w:val="31EA7613"/>
    <w:rsid w:val="31EBB616"/>
    <w:rsid w:val="324A96CD"/>
    <w:rsid w:val="32E8C1FA"/>
    <w:rsid w:val="33420D02"/>
    <w:rsid w:val="336E59BA"/>
    <w:rsid w:val="337B9FDF"/>
    <w:rsid w:val="33B28190"/>
    <w:rsid w:val="33C18908"/>
    <w:rsid w:val="3412E85F"/>
    <w:rsid w:val="34310240"/>
    <w:rsid w:val="34389A73"/>
    <w:rsid w:val="347295EA"/>
    <w:rsid w:val="349396C2"/>
    <w:rsid w:val="349DE847"/>
    <w:rsid w:val="34BACBAE"/>
    <w:rsid w:val="34CE6571"/>
    <w:rsid w:val="34EAD913"/>
    <w:rsid w:val="350D5212"/>
    <w:rsid w:val="352B0AB3"/>
    <w:rsid w:val="35332B8E"/>
    <w:rsid w:val="353A61A2"/>
    <w:rsid w:val="3573B461"/>
    <w:rsid w:val="35AF0C14"/>
    <w:rsid w:val="35B90A2F"/>
    <w:rsid w:val="35C3760D"/>
    <w:rsid w:val="35E8E8F9"/>
    <w:rsid w:val="35FC7DD1"/>
    <w:rsid w:val="3606034B"/>
    <w:rsid w:val="360BE804"/>
    <w:rsid w:val="3734E3AF"/>
    <w:rsid w:val="37700917"/>
    <w:rsid w:val="37E8638B"/>
    <w:rsid w:val="3839128A"/>
    <w:rsid w:val="3850AD2F"/>
    <w:rsid w:val="386A9846"/>
    <w:rsid w:val="38870CF4"/>
    <w:rsid w:val="38B30EDD"/>
    <w:rsid w:val="38B9D9A0"/>
    <w:rsid w:val="38BFD3E2"/>
    <w:rsid w:val="38C987E1"/>
    <w:rsid w:val="38CDBB7D"/>
    <w:rsid w:val="3920A15F"/>
    <w:rsid w:val="39A05238"/>
    <w:rsid w:val="3A2B7BB9"/>
    <w:rsid w:val="3A367559"/>
    <w:rsid w:val="3A3CF7BF"/>
    <w:rsid w:val="3A471FBC"/>
    <w:rsid w:val="3A499947"/>
    <w:rsid w:val="3A6AA338"/>
    <w:rsid w:val="3AE8EF47"/>
    <w:rsid w:val="3B682567"/>
    <w:rsid w:val="3B86F912"/>
    <w:rsid w:val="3BD16C4A"/>
    <w:rsid w:val="3C7BE920"/>
    <w:rsid w:val="3CE725B9"/>
    <w:rsid w:val="3CF29856"/>
    <w:rsid w:val="3D3E771B"/>
    <w:rsid w:val="3DC6E580"/>
    <w:rsid w:val="3E415144"/>
    <w:rsid w:val="3E8C3890"/>
    <w:rsid w:val="3EF12474"/>
    <w:rsid w:val="3EF1BBBD"/>
    <w:rsid w:val="3EF57EAF"/>
    <w:rsid w:val="3F62B4AE"/>
    <w:rsid w:val="3F6E8733"/>
    <w:rsid w:val="3F80641D"/>
    <w:rsid w:val="3FB2283A"/>
    <w:rsid w:val="3FE61C60"/>
    <w:rsid w:val="4094EB05"/>
    <w:rsid w:val="40CE383C"/>
    <w:rsid w:val="40DA3694"/>
    <w:rsid w:val="412E4C9F"/>
    <w:rsid w:val="4134D4FA"/>
    <w:rsid w:val="41497AF9"/>
    <w:rsid w:val="414D0EB4"/>
    <w:rsid w:val="416ABAB6"/>
    <w:rsid w:val="4190333B"/>
    <w:rsid w:val="41E5169D"/>
    <w:rsid w:val="425A2E8C"/>
    <w:rsid w:val="428A56EC"/>
    <w:rsid w:val="431E0C3D"/>
    <w:rsid w:val="436463F2"/>
    <w:rsid w:val="4364CE0A"/>
    <w:rsid w:val="43DA5DEA"/>
    <w:rsid w:val="440DC846"/>
    <w:rsid w:val="44788D74"/>
    <w:rsid w:val="447A0C35"/>
    <w:rsid w:val="44FE8806"/>
    <w:rsid w:val="452908AC"/>
    <w:rsid w:val="456DF920"/>
    <w:rsid w:val="45ADD3F4"/>
    <w:rsid w:val="45D34387"/>
    <w:rsid w:val="463B422D"/>
    <w:rsid w:val="46848AD5"/>
    <w:rsid w:val="46DF3D61"/>
    <w:rsid w:val="46E3300E"/>
    <w:rsid w:val="470F393E"/>
    <w:rsid w:val="472C4299"/>
    <w:rsid w:val="47689423"/>
    <w:rsid w:val="48924C53"/>
    <w:rsid w:val="497AB39D"/>
    <w:rsid w:val="49BE49B0"/>
    <w:rsid w:val="4A37D0CC"/>
    <w:rsid w:val="4A90A887"/>
    <w:rsid w:val="4A92D650"/>
    <w:rsid w:val="4A935BFD"/>
    <w:rsid w:val="4AAC7007"/>
    <w:rsid w:val="4AB4CE5E"/>
    <w:rsid w:val="4B412A4D"/>
    <w:rsid w:val="4BD56296"/>
    <w:rsid w:val="4C7455DB"/>
    <w:rsid w:val="4CA35C14"/>
    <w:rsid w:val="4CD3A0FE"/>
    <w:rsid w:val="4CE5754F"/>
    <w:rsid w:val="4D76487E"/>
    <w:rsid w:val="4D81357C"/>
    <w:rsid w:val="4E93969A"/>
    <w:rsid w:val="4E9D570C"/>
    <w:rsid w:val="4F309E11"/>
    <w:rsid w:val="4F3BC30C"/>
    <w:rsid w:val="4F3F3307"/>
    <w:rsid w:val="4F5C6840"/>
    <w:rsid w:val="4FC08926"/>
    <w:rsid w:val="503752BD"/>
    <w:rsid w:val="5059AE39"/>
    <w:rsid w:val="50AF9D3E"/>
    <w:rsid w:val="5136C408"/>
    <w:rsid w:val="517543F5"/>
    <w:rsid w:val="5186CF7C"/>
    <w:rsid w:val="518BB71A"/>
    <w:rsid w:val="51BAF914"/>
    <w:rsid w:val="51BBA9C5"/>
    <w:rsid w:val="520F4CCB"/>
    <w:rsid w:val="526C5137"/>
    <w:rsid w:val="52ED502E"/>
    <w:rsid w:val="530D8E76"/>
    <w:rsid w:val="5320C9DB"/>
    <w:rsid w:val="53DA57F5"/>
    <w:rsid w:val="53EBBAEC"/>
    <w:rsid w:val="541E86B6"/>
    <w:rsid w:val="543DA360"/>
    <w:rsid w:val="54864EB4"/>
    <w:rsid w:val="54F7B320"/>
    <w:rsid w:val="5571048A"/>
    <w:rsid w:val="558445E7"/>
    <w:rsid w:val="559AB129"/>
    <w:rsid w:val="55E1B373"/>
    <w:rsid w:val="55F2F63E"/>
    <w:rsid w:val="56055087"/>
    <w:rsid w:val="56379754"/>
    <w:rsid w:val="5650EC77"/>
    <w:rsid w:val="5676406D"/>
    <w:rsid w:val="56C2EA2E"/>
    <w:rsid w:val="56FBB37A"/>
    <w:rsid w:val="56FF164F"/>
    <w:rsid w:val="570DDD93"/>
    <w:rsid w:val="577E5D82"/>
    <w:rsid w:val="5780A2F2"/>
    <w:rsid w:val="57910C0F"/>
    <w:rsid w:val="57CCC7F9"/>
    <w:rsid w:val="588657D2"/>
    <w:rsid w:val="58B88AEB"/>
    <w:rsid w:val="58E476A9"/>
    <w:rsid w:val="597AEF60"/>
    <w:rsid w:val="5997ABB6"/>
    <w:rsid w:val="59B8C167"/>
    <w:rsid w:val="5A1AD958"/>
    <w:rsid w:val="5ADE9078"/>
    <w:rsid w:val="5B424A02"/>
    <w:rsid w:val="5B483887"/>
    <w:rsid w:val="5B7C424F"/>
    <w:rsid w:val="5B88F185"/>
    <w:rsid w:val="5BB69E7F"/>
    <w:rsid w:val="5BC53BE1"/>
    <w:rsid w:val="5BCBCC76"/>
    <w:rsid w:val="5C2AA65B"/>
    <w:rsid w:val="5C97E857"/>
    <w:rsid w:val="5CA47952"/>
    <w:rsid w:val="5CC76516"/>
    <w:rsid w:val="5D40E994"/>
    <w:rsid w:val="5D5D9A59"/>
    <w:rsid w:val="5DF4A074"/>
    <w:rsid w:val="5E35F8F4"/>
    <w:rsid w:val="5E6517E6"/>
    <w:rsid w:val="5E96543B"/>
    <w:rsid w:val="5F46CCE0"/>
    <w:rsid w:val="5F56CC03"/>
    <w:rsid w:val="5F7735E9"/>
    <w:rsid w:val="5FAD26C6"/>
    <w:rsid w:val="5FBA5233"/>
    <w:rsid w:val="6018DC8B"/>
    <w:rsid w:val="6030C5EC"/>
    <w:rsid w:val="61762469"/>
    <w:rsid w:val="619FB501"/>
    <w:rsid w:val="61B83448"/>
    <w:rsid w:val="61C6B077"/>
    <w:rsid w:val="61CA5F11"/>
    <w:rsid w:val="625FE0BC"/>
    <w:rsid w:val="62C5AB0D"/>
    <w:rsid w:val="62FE1F8C"/>
    <w:rsid w:val="6372C367"/>
    <w:rsid w:val="6383DF3A"/>
    <w:rsid w:val="63B886A4"/>
    <w:rsid w:val="63F1196F"/>
    <w:rsid w:val="63F38EF3"/>
    <w:rsid w:val="63F3DC20"/>
    <w:rsid w:val="641E2F7A"/>
    <w:rsid w:val="642D383E"/>
    <w:rsid w:val="6446F317"/>
    <w:rsid w:val="64653409"/>
    <w:rsid w:val="64722B80"/>
    <w:rsid w:val="6497D2A0"/>
    <w:rsid w:val="64B8CD27"/>
    <w:rsid w:val="6582AA2F"/>
    <w:rsid w:val="65E071AE"/>
    <w:rsid w:val="65EFF0D1"/>
    <w:rsid w:val="660512F1"/>
    <w:rsid w:val="660DA8D3"/>
    <w:rsid w:val="6644AC6F"/>
    <w:rsid w:val="66D4C17F"/>
    <w:rsid w:val="673C4C97"/>
    <w:rsid w:val="67D315E5"/>
    <w:rsid w:val="67D6E967"/>
    <w:rsid w:val="67F9B7BC"/>
    <w:rsid w:val="680BA4F2"/>
    <w:rsid w:val="680DEA8C"/>
    <w:rsid w:val="6864AF0E"/>
    <w:rsid w:val="68E03447"/>
    <w:rsid w:val="691C66CD"/>
    <w:rsid w:val="693C68E2"/>
    <w:rsid w:val="69B11EE7"/>
    <w:rsid w:val="69DBCF45"/>
    <w:rsid w:val="6A3ADC95"/>
    <w:rsid w:val="6A47F6A7"/>
    <w:rsid w:val="6A4E1FE0"/>
    <w:rsid w:val="6A5162CF"/>
    <w:rsid w:val="6A7B051C"/>
    <w:rsid w:val="6B0DF92C"/>
    <w:rsid w:val="6B7B468C"/>
    <w:rsid w:val="6BDCC854"/>
    <w:rsid w:val="6C486768"/>
    <w:rsid w:val="6C4BA89B"/>
    <w:rsid w:val="6CA02E14"/>
    <w:rsid w:val="6CD9FD0B"/>
    <w:rsid w:val="6CECFAE0"/>
    <w:rsid w:val="6D2CB736"/>
    <w:rsid w:val="6D6866B0"/>
    <w:rsid w:val="6D692566"/>
    <w:rsid w:val="6DB732D1"/>
    <w:rsid w:val="6DBD58E3"/>
    <w:rsid w:val="6DC90010"/>
    <w:rsid w:val="6DD1CE72"/>
    <w:rsid w:val="6DE17B0A"/>
    <w:rsid w:val="6E21894C"/>
    <w:rsid w:val="6E473F1E"/>
    <w:rsid w:val="6E4AC478"/>
    <w:rsid w:val="6E5386E2"/>
    <w:rsid w:val="6E92C476"/>
    <w:rsid w:val="6ED23EC0"/>
    <w:rsid w:val="6EF7CCA4"/>
    <w:rsid w:val="6EFC41DA"/>
    <w:rsid w:val="6F1A5D66"/>
    <w:rsid w:val="6F6D48E1"/>
    <w:rsid w:val="703450FD"/>
    <w:rsid w:val="70997D29"/>
    <w:rsid w:val="7113E1BC"/>
    <w:rsid w:val="718B2E62"/>
    <w:rsid w:val="71A6D7D1"/>
    <w:rsid w:val="71B2311C"/>
    <w:rsid w:val="72891827"/>
    <w:rsid w:val="72E7EA42"/>
    <w:rsid w:val="72F6D33C"/>
    <w:rsid w:val="73774B90"/>
    <w:rsid w:val="7385B6EA"/>
    <w:rsid w:val="74013FD0"/>
    <w:rsid w:val="74C47CEA"/>
    <w:rsid w:val="75342235"/>
    <w:rsid w:val="754463FE"/>
    <w:rsid w:val="7553440B"/>
    <w:rsid w:val="756B603D"/>
    <w:rsid w:val="7596EBF7"/>
    <w:rsid w:val="75B6CCC6"/>
    <w:rsid w:val="75C175E3"/>
    <w:rsid w:val="75F74921"/>
    <w:rsid w:val="75F8FA2A"/>
    <w:rsid w:val="7617B058"/>
    <w:rsid w:val="761E4B71"/>
    <w:rsid w:val="7655313F"/>
    <w:rsid w:val="76A2C901"/>
    <w:rsid w:val="76AC971E"/>
    <w:rsid w:val="76E5A385"/>
    <w:rsid w:val="77EA7770"/>
    <w:rsid w:val="7830D5A0"/>
    <w:rsid w:val="79630486"/>
    <w:rsid w:val="79873039"/>
    <w:rsid w:val="79BBC037"/>
    <w:rsid w:val="79EA0F71"/>
    <w:rsid w:val="79EE749D"/>
    <w:rsid w:val="7A7720CD"/>
    <w:rsid w:val="7AD54C46"/>
    <w:rsid w:val="7AFBC844"/>
    <w:rsid w:val="7B19EC0A"/>
    <w:rsid w:val="7BD0D565"/>
    <w:rsid w:val="7C4A249B"/>
    <w:rsid w:val="7C881AA5"/>
    <w:rsid w:val="7CA96EF8"/>
    <w:rsid w:val="7CD6F29C"/>
    <w:rsid w:val="7D1F02B7"/>
    <w:rsid w:val="7DA42A3D"/>
    <w:rsid w:val="7DE6F5AD"/>
    <w:rsid w:val="7E3C2BA8"/>
    <w:rsid w:val="7E40C0C7"/>
    <w:rsid w:val="7E7552B3"/>
    <w:rsid w:val="7E7D37FA"/>
    <w:rsid w:val="7EF9A4EB"/>
    <w:rsid w:val="7F0412BA"/>
    <w:rsid w:val="7F164DA3"/>
    <w:rsid w:val="7F613F70"/>
    <w:rsid w:val="7FAB2542"/>
    <w:rsid w:val="7FB512E9"/>
    <w:rsid w:val="7FFB336D"/>
    <w:rsid w:val="7FFF4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D96AA"/>
  <w15:chartTrackingRefBased/>
  <w15:docId w15:val="{972F6246-164B-478A-B078-123706EB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1B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1B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51B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11EE"/>
    <w:rPr>
      <w:sz w:val="16"/>
      <w:szCs w:val="16"/>
    </w:rPr>
  </w:style>
  <w:style w:type="paragraph" w:styleId="CommentText">
    <w:name w:val="annotation text"/>
    <w:basedOn w:val="Normal"/>
    <w:link w:val="CommentTextChar"/>
    <w:uiPriority w:val="99"/>
    <w:unhideWhenUsed/>
    <w:rsid w:val="000F11EE"/>
    <w:pPr>
      <w:spacing w:line="240" w:lineRule="auto"/>
    </w:pPr>
    <w:rPr>
      <w:sz w:val="20"/>
      <w:szCs w:val="20"/>
    </w:rPr>
  </w:style>
  <w:style w:type="character" w:customStyle="1" w:styleId="CommentTextChar">
    <w:name w:val="Comment Text Char"/>
    <w:basedOn w:val="DefaultParagraphFont"/>
    <w:link w:val="CommentText"/>
    <w:uiPriority w:val="99"/>
    <w:rsid w:val="000F11EE"/>
    <w:rPr>
      <w:sz w:val="20"/>
      <w:szCs w:val="20"/>
    </w:rPr>
  </w:style>
  <w:style w:type="paragraph" w:styleId="CommentSubject">
    <w:name w:val="annotation subject"/>
    <w:basedOn w:val="CommentText"/>
    <w:next w:val="CommentText"/>
    <w:link w:val="CommentSubjectChar"/>
    <w:uiPriority w:val="99"/>
    <w:semiHidden/>
    <w:unhideWhenUsed/>
    <w:rsid w:val="000F11EE"/>
    <w:rPr>
      <w:b/>
      <w:bCs/>
    </w:rPr>
  </w:style>
  <w:style w:type="character" w:customStyle="1" w:styleId="CommentSubjectChar">
    <w:name w:val="Comment Subject Char"/>
    <w:basedOn w:val="CommentTextChar"/>
    <w:link w:val="CommentSubject"/>
    <w:uiPriority w:val="99"/>
    <w:semiHidden/>
    <w:rsid w:val="000F11EE"/>
    <w:rPr>
      <w:b/>
      <w:bCs/>
      <w:sz w:val="20"/>
      <w:szCs w:val="20"/>
    </w:rPr>
  </w:style>
  <w:style w:type="paragraph" w:styleId="ListParagraph">
    <w:name w:val="List Paragraph"/>
    <w:basedOn w:val="Normal"/>
    <w:uiPriority w:val="34"/>
    <w:qFormat/>
    <w:rsid w:val="005F48F4"/>
    <w:pPr>
      <w:ind w:left="720"/>
      <w:contextualSpacing/>
    </w:pPr>
  </w:style>
  <w:style w:type="character" w:customStyle="1" w:styleId="markedcontent">
    <w:name w:val="markedcontent"/>
    <w:basedOn w:val="DefaultParagraphFont"/>
    <w:rsid w:val="009652B1"/>
  </w:style>
  <w:style w:type="character" w:customStyle="1" w:styleId="cf01">
    <w:name w:val="cf01"/>
    <w:basedOn w:val="DefaultParagraphFont"/>
    <w:rsid w:val="00713C24"/>
    <w:rPr>
      <w:rFonts w:ascii="Segoe UI" w:hAnsi="Segoe UI" w:cs="Segoe UI" w:hint="default"/>
      <w:sz w:val="18"/>
      <w:szCs w:val="18"/>
    </w:rPr>
  </w:style>
  <w:style w:type="paragraph" w:styleId="BalloonText">
    <w:name w:val="Balloon Text"/>
    <w:basedOn w:val="Normal"/>
    <w:link w:val="BalloonTextChar"/>
    <w:uiPriority w:val="99"/>
    <w:semiHidden/>
    <w:unhideWhenUsed/>
    <w:rsid w:val="00F627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756"/>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3">
    <w:name w:val="Plain Table 3"/>
    <w:basedOn w:val="TableNormal"/>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8023F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D12CC1"/>
    <w:pPr>
      <w:spacing w:after="0" w:line="240" w:lineRule="auto"/>
    </w:pPr>
  </w:style>
  <w:style w:type="character" w:styleId="PlaceholderText">
    <w:name w:val="Placeholder Text"/>
    <w:basedOn w:val="DefaultParagraphFont"/>
    <w:uiPriority w:val="99"/>
    <w:semiHidden/>
    <w:rsid w:val="00AE4305"/>
    <w:rPr>
      <w:color w:val="808080"/>
    </w:rPr>
  </w:style>
  <w:style w:type="character" w:customStyle="1" w:styleId="Heading1Char">
    <w:name w:val="Heading 1 Char"/>
    <w:basedOn w:val="DefaultParagraphFont"/>
    <w:link w:val="Heading1"/>
    <w:uiPriority w:val="9"/>
    <w:rsid w:val="00751B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1B1A"/>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51B1A"/>
    <w:pPr>
      <w:spacing w:after="0" w:line="240" w:lineRule="auto"/>
    </w:pPr>
  </w:style>
  <w:style w:type="character" w:customStyle="1" w:styleId="Heading3Char">
    <w:name w:val="Heading 3 Char"/>
    <w:basedOn w:val="DefaultParagraphFont"/>
    <w:link w:val="Heading3"/>
    <w:uiPriority w:val="9"/>
    <w:rsid w:val="00751B1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51B1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283F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F0C"/>
  </w:style>
  <w:style w:type="paragraph" w:styleId="Footer">
    <w:name w:val="footer"/>
    <w:basedOn w:val="Normal"/>
    <w:link w:val="FooterChar"/>
    <w:uiPriority w:val="99"/>
    <w:unhideWhenUsed/>
    <w:rsid w:val="00283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F0C"/>
  </w:style>
  <w:style w:type="character" w:styleId="FollowedHyperlink">
    <w:name w:val="FollowedHyperlink"/>
    <w:basedOn w:val="DefaultParagraphFont"/>
    <w:uiPriority w:val="99"/>
    <w:semiHidden/>
    <w:unhideWhenUsed/>
    <w:rsid w:val="00210A0C"/>
    <w:rPr>
      <w:color w:val="954F72" w:themeColor="followedHyperlink"/>
      <w:u w:val="single"/>
    </w:rPr>
  </w:style>
  <w:style w:type="paragraph" w:customStyle="1" w:styleId="paragraph">
    <w:name w:val="paragraph"/>
    <w:basedOn w:val="Normal"/>
    <w:rsid w:val="00331C50"/>
    <w:pPr>
      <w:spacing w:after="0" w:line="240" w:lineRule="auto"/>
    </w:pPr>
    <w:rPr>
      <w:rFonts w:ascii="Calibri" w:hAnsi="Calibri" w:cs="Calibri"/>
      <w:kern w:val="0"/>
      <w14:ligatures w14:val="none"/>
    </w:rPr>
  </w:style>
  <w:style w:type="character" w:customStyle="1" w:styleId="eop">
    <w:name w:val="eop"/>
    <w:basedOn w:val="DefaultParagraphFont"/>
    <w:rsid w:val="00331C50"/>
  </w:style>
  <w:style w:type="character" w:styleId="UnresolvedMention">
    <w:name w:val="Unresolved Mention"/>
    <w:basedOn w:val="DefaultParagraphFont"/>
    <w:uiPriority w:val="99"/>
    <w:semiHidden/>
    <w:unhideWhenUsed/>
    <w:rsid w:val="00331C50"/>
    <w:rPr>
      <w:color w:val="605E5C"/>
      <w:shd w:val="clear" w:color="auto" w:fill="E1DFDD"/>
    </w:rPr>
  </w:style>
  <w:style w:type="character" w:customStyle="1" w:styleId="contentpasted0">
    <w:name w:val="contentpasted0"/>
    <w:basedOn w:val="DefaultParagraphFont"/>
    <w:rsid w:val="00123FD9"/>
  </w:style>
  <w:style w:type="character" w:customStyle="1" w:styleId="xcontentpasted0">
    <w:name w:val="x_contentpasted0"/>
    <w:basedOn w:val="DefaultParagraphFont"/>
    <w:rsid w:val="00CE0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9198">
      <w:bodyDiv w:val="1"/>
      <w:marLeft w:val="0"/>
      <w:marRight w:val="0"/>
      <w:marTop w:val="0"/>
      <w:marBottom w:val="0"/>
      <w:divBdr>
        <w:top w:val="none" w:sz="0" w:space="0" w:color="auto"/>
        <w:left w:val="none" w:sz="0" w:space="0" w:color="auto"/>
        <w:bottom w:val="none" w:sz="0" w:space="0" w:color="auto"/>
        <w:right w:val="none" w:sz="0" w:space="0" w:color="auto"/>
      </w:divBdr>
    </w:div>
    <w:div w:id="130831819">
      <w:bodyDiv w:val="1"/>
      <w:marLeft w:val="0"/>
      <w:marRight w:val="0"/>
      <w:marTop w:val="0"/>
      <w:marBottom w:val="0"/>
      <w:divBdr>
        <w:top w:val="none" w:sz="0" w:space="0" w:color="auto"/>
        <w:left w:val="none" w:sz="0" w:space="0" w:color="auto"/>
        <w:bottom w:val="none" w:sz="0" w:space="0" w:color="auto"/>
        <w:right w:val="none" w:sz="0" w:space="0" w:color="auto"/>
      </w:divBdr>
    </w:div>
    <w:div w:id="155538820">
      <w:bodyDiv w:val="1"/>
      <w:marLeft w:val="0"/>
      <w:marRight w:val="0"/>
      <w:marTop w:val="0"/>
      <w:marBottom w:val="0"/>
      <w:divBdr>
        <w:top w:val="none" w:sz="0" w:space="0" w:color="auto"/>
        <w:left w:val="none" w:sz="0" w:space="0" w:color="auto"/>
        <w:bottom w:val="none" w:sz="0" w:space="0" w:color="auto"/>
        <w:right w:val="none" w:sz="0" w:space="0" w:color="auto"/>
      </w:divBdr>
    </w:div>
    <w:div w:id="456610789">
      <w:bodyDiv w:val="1"/>
      <w:marLeft w:val="0"/>
      <w:marRight w:val="0"/>
      <w:marTop w:val="0"/>
      <w:marBottom w:val="0"/>
      <w:divBdr>
        <w:top w:val="none" w:sz="0" w:space="0" w:color="auto"/>
        <w:left w:val="none" w:sz="0" w:space="0" w:color="auto"/>
        <w:bottom w:val="none" w:sz="0" w:space="0" w:color="auto"/>
        <w:right w:val="none" w:sz="0" w:space="0" w:color="auto"/>
      </w:divBdr>
    </w:div>
    <w:div w:id="474027891">
      <w:bodyDiv w:val="1"/>
      <w:marLeft w:val="0"/>
      <w:marRight w:val="0"/>
      <w:marTop w:val="0"/>
      <w:marBottom w:val="0"/>
      <w:divBdr>
        <w:top w:val="none" w:sz="0" w:space="0" w:color="auto"/>
        <w:left w:val="none" w:sz="0" w:space="0" w:color="auto"/>
        <w:bottom w:val="none" w:sz="0" w:space="0" w:color="auto"/>
        <w:right w:val="none" w:sz="0" w:space="0" w:color="auto"/>
      </w:divBdr>
      <w:divsChild>
        <w:div w:id="1701279504">
          <w:marLeft w:val="1080"/>
          <w:marRight w:val="0"/>
          <w:marTop w:val="133"/>
          <w:marBottom w:val="0"/>
          <w:divBdr>
            <w:top w:val="none" w:sz="0" w:space="0" w:color="auto"/>
            <w:left w:val="none" w:sz="0" w:space="0" w:color="auto"/>
            <w:bottom w:val="none" w:sz="0" w:space="0" w:color="auto"/>
            <w:right w:val="none" w:sz="0" w:space="0" w:color="auto"/>
          </w:divBdr>
        </w:div>
        <w:div w:id="1728799753">
          <w:marLeft w:val="1080"/>
          <w:marRight w:val="0"/>
          <w:marTop w:val="133"/>
          <w:marBottom w:val="0"/>
          <w:divBdr>
            <w:top w:val="none" w:sz="0" w:space="0" w:color="auto"/>
            <w:left w:val="none" w:sz="0" w:space="0" w:color="auto"/>
            <w:bottom w:val="none" w:sz="0" w:space="0" w:color="auto"/>
            <w:right w:val="none" w:sz="0" w:space="0" w:color="auto"/>
          </w:divBdr>
        </w:div>
        <w:div w:id="81072694">
          <w:marLeft w:val="1080"/>
          <w:marRight w:val="0"/>
          <w:marTop w:val="133"/>
          <w:marBottom w:val="0"/>
          <w:divBdr>
            <w:top w:val="none" w:sz="0" w:space="0" w:color="auto"/>
            <w:left w:val="none" w:sz="0" w:space="0" w:color="auto"/>
            <w:bottom w:val="none" w:sz="0" w:space="0" w:color="auto"/>
            <w:right w:val="none" w:sz="0" w:space="0" w:color="auto"/>
          </w:divBdr>
        </w:div>
        <w:div w:id="1717046793">
          <w:marLeft w:val="1080"/>
          <w:marRight w:val="0"/>
          <w:marTop w:val="133"/>
          <w:marBottom w:val="0"/>
          <w:divBdr>
            <w:top w:val="none" w:sz="0" w:space="0" w:color="auto"/>
            <w:left w:val="none" w:sz="0" w:space="0" w:color="auto"/>
            <w:bottom w:val="none" w:sz="0" w:space="0" w:color="auto"/>
            <w:right w:val="none" w:sz="0" w:space="0" w:color="auto"/>
          </w:divBdr>
        </w:div>
        <w:div w:id="1745761232">
          <w:marLeft w:val="1080"/>
          <w:marRight w:val="0"/>
          <w:marTop w:val="133"/>
          <w:marBottom w:val="0"/>
          <w:divBdr>
            <w:top w:val="none" w:sz="0" w:space="0" w:color="auto"/>
            <w:left w:val="none" w:sz="0" w:space="0" w:color="auto"/>
            <w:bottom w:val="none" w:sz="0" w:space="0" w:color="auto"/>
            <w:right w:val="none" w:sz="0" w:space="0" w:color="auto"/>
          </w:divBdr>
        </w:div>
        <w:div w:id="1227449979">
          <w:marLeft w:val="1080"/>
          <w:marRight w:val="0"/>
          <w:marTop w:val="133"/>
          <w:marBottom w:val="0"/>
          <w:divBdr>
            <w:top w:val="none" w:sz="0" w:space="0" w:color="auto"/>
            <w:left w:val="none" w:sz="0" w:space="0" w:color="auto"/>
            <w:bottom w:val="none" w:sz="0" w:space="0" w:color="auto"/>
            <w:right w:val="none" w:sz="0" w:space="0" w:color="auto"/>
          </w:divBdr>
        </w:div>
      </w:divsChild>
    </w:div>
    <w:div w:id="490752470">
      <w:bodyDiv w:val="1"/>
      <w:marLeft w:val="0"/>
      <w:marRight w:val="0"/>
      <w:marTop w:val="0"/>
      <w:marBottom w:val="0"/>
      <w:divBdr>
        <w:top w:val="none" w:sz="0" w:space="0" w:color="auto"/>
        <w:left w:val="none" w:sz="0" w:space="0" w:color="auto"/>
        <w:bottom w:val="none" w:sz="0" w:space="0" w:color="auto"/>
        <w:right w:val="none" w:sz="0" w:space="0" w:color="auto"/>
      </w:divBdr>
    </w:div>
    <w:div w:id="1085372770">
      <w:bodyDiv w:val="1"/>
      <w:marLeft w:val="0"/>
      <w:marRight w:val="0"/>
      <w:marTop w:val="0"/>
      <w:marBottom w:val="0"/>
      <w:divBdr>
        <w:top w:val="none" w:sz="0" w:space="0" w:color="auto"/>
        <w:left w:val="none" w:sz="0" w:space="0" w:color="auto"/>
        <w:bottom w:val="none" w:sz="0" w:space="0" w:color="auto"/>
        <w:right w:val="none" w:sz="0" w:space="0" w:color="auto"/>
      </w:divBdr>
    </w:div>
    <w:div w:id="1137144675">
      <w:bodyDiv w:val="1"/>
      <w:marLeft w:val="0"/>
      <w:marRight w:val="0"/>
      <w:marTop w:val="0"/>
      <w:marBottom w:val="0"/>
      <w:divBdr>
        <w:top w:val="none" w:sz="0" w:space="0" w:color="auto"/>
        <w:left w:val="none" w:sz="0" w:space="0" w:color="auto"/>
        <w:bottom w:val="none" w:sz="0" w:space="0" w:color="auto"/>
        <w:right w:val="none" w:sz="0" w:space="0" w:color="auto"/>
      </w:divBdr>
    </w:div>
    <w:div w:id="1267346354">
      <w:bodyDiv w:val="1"/>
      <w:marLeft w:val="0"/>
      <w:marRight w:val="0"/>
      <w:marTop w:val="0"/>
      <w:marBottom w:val="0"/>
      <w:divBdr>
        <w:top w:val="none" w:sz="0" w:space="0" w:color="auto"/>
        <w:left w:val="none" w:sz="0" w:space="0" w:color="auto"/>
        <w:bottom w:val="none" w:sz="0" w:space="0" w:color="auto"/>
        <w:right w:val="none" w:sz="0" w:space="0" w:color="auto"/>
      </w:divBdr>
    </w:div>
    <w:div w:id="1428454369">
      <w:bodyDiv w:val="1"/>
      <w:marLeft w:val="0"/>
      <w:marRight w:val="0"/>
      <w:marTop w:val="0"/>
      <w:marBottom w:val="0"/>
      <w:divBdr>
        <w:top w:val="none" w:sz="0" w:space="0" w:color="auto"/>
        <w:left w:val="none" w:sz="0" w:space="0" w:color="auto"/>
        <w:bottom w:val="none" w:sz="0" w:space="0" w:color="auto"/>
        <w:right w:val="none" w:sz="0" w:space="0" w:color="auto"/>
      </w:divBdr>
    </w:div>
    <w:div w:id="200646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dr.doleta.gov/research/FullText_Documents/Reemployment%20and%20Eligibility%20Assessment%20(REA)%20Study%20Final%20Report%20March%202008.pdf" TargetMode="External"/><Relationship Id="rId18" Type="http://schemas.openxmlformats.org/officeDocument/2006/relationships/hyperlink" Target="https://www.ecfr.gov/current/title-45/subtitle-A/subchapter-A/part-46" TargetMode="External"/><Relationship Id="rId26" Type="http://schemas.openxmlformats.org/officeDocument/2006/relationships/hyperlink" Target="https://www.govinfo.gov/content/pkg/PLAW-115publ123/html/PLAW-115publ123.htm" TargetMode="External"/><Relationship Id="rId3" Type="http://schemas.openxmlformats.org/officeDocument/2006/relationships/styles" Target="styles.xml"/><Relationship Id="rId21" Type="http://schemas.openxmlformats.org/officeDocument/2006/relationships/hyperlink" Target="https://www.abtassociates.com/sites/default/files/files/insights/reports/2020/REA_Final_Report.pdf" TargetMode="External"/><Relationship Id="rId7" Type="http://schemas.openxmlformats.org/officeDocument/2006/relationships/endnotes" Target="endnotes.xml"/><Relationship Id="rId12" Type="http://schemas.openxmlformats.org/officeDocument/2006/relationships/hyperlink" Target="https://clear.dol.gov/reemployment-services-and-eligibility-assessments-resea" TargetMode="External"/><Relationship Id="rId17" Type="http://schemas.openxmlformats.org/officeDocument/2006/relationships/hyperlink" Target="https://www.dol.gov/sites/dolgov/files/OASP/evaluation/pdf/resea/Brief%202_Reemployment_Services_Evidence_final_508c.pdf" TargetMode="External"/><Relationship Id="rId25" Type="http://schemas.openxmlformats.org/officeDocument/2006/relationships/hyperlink" Target="https://www.ssa.gov/OP_Home/ssact/title03/0303.htm" TargetMode="External"/><Relationship Id="rId2" Type="http://schemas.openxmlformats.org/officeDocument/2006/relationships/numbering" Target="numbering.xml"/><Relationship Id="rId16" Type="http://schemas.openxmlformats.org/officeDocument/2006/relationships/hyperlink" Target="https://www.dol.gov/sites/dolgov/files/OASP/evaluation/pdf/resea/Brief%201_Reemployment_Services_Evidence_final_508c.pdf" TargetMode="External"/><Relationship Id="rId20" Type="http://schemas.openxmlformats.org/officeDocument/2006/relationships/hyperlink" Target="https://www.dol.gov/sites/dolgov/files/OASP/evaluation/pdf/resea/Options_for_Building_Evidence_on_RESEA_Programs_final_508c.pdf" TargetMode="External"/><Relationship Id="rId29" Type="http://schemas.openxmlformats.org/officeDocument/2006/relationships/hyperlink" Target="https://www.dol.gov/sites/dolgov/files/OASP/evaluation/one-pagers/ETA_Reemployment_Services_and_Eligibility_Assessments_RESEA_Evidence_Building_and_Implementation_Study_One-Page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dr.doleta.gov/research/FullText_Documents/ETAOP_2012_08_Impact_of_the_REA_Initiative.pdf" TargetMode="External"/><Relationship Id="rId5" Type="http://schemas.openxmlformats.org/officeDocument/2006/relationships/webSettings" Target="webSettings.xml"/><Relationship Id="rId15" Type="http://schemas.openxmlformats.org/officeDocument/2006/relationships/hyperlink" Target="https://www.dol.gov/agencies/eta/american-job-" TargetMode="External"/><Relationship Id="rId23" Type="http://schemas.openxmlformats.org/officeDocument/2006/relationships/hyperlink" Target="https://www.dol.gov/sites/dolgov/files/OASP/legacy/files/REA-Impact-Study-Implementation-Report.pdf" TargetMode="External"/><Relationship Id="rId28" Type="http://schemas.openxmlformats.org/officeDocument/2006/relationships/hyperlink" Target="https://www.dol.gov/sites/dolgov/files/OASP/evaluation/pdf/ETA_Reemployment%20and%20Eligibility%20Assessment%20(REA)%20Program%20Evaluation_One%20Pager%20(1).pdf" TargetMode="External"/><Relationship Id="rId36" Type="http://schemas.microsoft.com/office/2018/08/relationships/commentsExtensible" Target="commentsExtensible.xml"/><Relationship Id="rId10" Type="http://schemas.openxmlformats.org/officeDocument/2006/relationships/image" Target="media/image1.png"/><Relationship Id="rId19" Type="http://schemas.openxmlformats.org/officeDocument/2006/relationships/hyperlink" Target="https://davidakenny.net/cm/mediate.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clear.dol.gov/reference-documents/causal-evidence-guidelines" TargetMode="External"/><Relationship Id="rId22" Type="http://schemas.openxmlformats.org/officeDocument/2006/relationships/hyperlink" Target="https://wdr.doleta.gov/research/FullText_Documents/ETAOP_2012_08_REA_Nevada_Follow_up_Report.pdf" TargetMode="External"/><Relationship Id="rId27" Type="http://schemas.openxmlformats.org/officeDocument/2006/relationships/hyperlink" Target="https://www.dol.gov/sites/dolgov/files/ETA/advisories/UIPL/2015/UIPL_13-1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59F5C-BB39-4FF7-A3DC-7B34875FA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11589</Words>
  <Characters>66062</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Washburn</dc:creator>
  <cp:keywords/>
  <dc:description/>
  <cp:lastModifiedBy>DAVID STUART CURTIS</cp:lastModifiedBy>
  <cp:revision>3</cp:revision>
  <dcterms:created xsi:type="dcterms:W3CDTF">2023-10-31T00:15:00Z</dcterms:created>
  <dcterms:modified xsi:type="dcterms:W3CDTF">2023-11-21T18:01:00Z</dcterms:modified>
</cp:coreProperties>
</file>