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3C726" w14:textId="58747E80" w:rsidR="003E6343" w:rsidRPr="00231D69" w:rsidRDefault="23E00436" w:rsidP="23E00436">
      <w:pPr>
        <w:jc w:val="center"/>
        <w:rPr>
          <w:b/>
          <w:bCs/>
          <w:color w:val="2F5496" w:themeColor="accent1" w:themeShade="BF"/>
          <w:sz w:val="28"/>
          <w:szCs w:val="28"/>
          <w:lang w:val="es-ES"/>
        </w:rPr>
      </w:pPr>
      <w:r w:rsidRPr="23E00436">
        <w:rPr>
          <w:b/>
          <w:bCs/>
          <w:color w:val="2F5496" w:themeColor="accent1" w:themeShade="BF"/>
          <w:sz w:val="28"/>
          <w:szCs w:val="28"/>
          <w:lang w:val="es-ES"/>
        </w:rPr>
        <w:t xml:space="preserve">¿CÓMO PODRÍA IMPLEMENTARSE EN SU MUNICIPIO? </w:t>
      </w:r>
    </w:p>
    <w:p w14:paraId="7BA9C34B" w14:textId="037DD171" w:rsidR="003E6343" w:rsidRPr="00231D69" w:rsidRDefault="23E00436" w:rsidP="23E00436">
      <w:pPr>
        <w:jc w:val="center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SUGERENCIAS BASADAS EN EXPERIENCIAS PREVIAS</w:t>
      </w:r>
    </w:p>
    <w:p w14:paraId="615785ED" w14:textId="6C83567D" w:rsidR="4DBB5CC3" w:rsidRDefault="23E00436" w:rsidP="23E00436">
      <w:pPr>
        <w:jc w:val="both"/>
        <w:rPr>
          <w:rFonts w:eastAsiaTheme="minorEastAsia"/>
          <w:sz w:val="24"/>
          <w:szCs w:val="24"/>
          <w:lang w:val="es-ES"/>
        </w:rPr>
      </w:pPr>
      <w:r w:rsidRPr="23E00436">
        <w:rPr>
          <w:rFonts w:eastAsiaTheme="minorEastAsia"/>
          <w:sz w:val="24"/>
          <w:szCs w:val="24"/>
          <w:lang w:val="es-ES"/>
        </w:rPr>
        <w:t xml:space="preserve">Entre las distintas modalidades de transferencias económicas, las </w:t>
      </w:r>
      <w:r w:rsidRPr="23E00436">
        <w:rPr>
          <w:rFonts w:eastAsiaTheme="minorEastAsia"/>
          <w:b/>
          <w:bCs/>
          <w:sz w:val="24"/>
          <w:szCs w:val="24"/>
          <w:lang w:val="es-ES"/>
        </w:rPr>
        <w:t>transferencias monetarias no condicionadas a mujeres en condición de pobreza extrema y pobreza moderada</w:t>
      </w:r>
      <w:r w:rsidRPr="23E00436">
        <w:rPr>
          <w:rFonts w:eastAsiaTheme="minorEastAsia"/>
          <w:sz w:val="24"/>
          <w:szCs w:val="24"/>
          <w:lang w:val="es-ES"/>
        </w:rPr>
        <w:t xml:space="preserve"> han resultado efectivas (</w:t>
      </w:r>
      <w:hyperlink r:id="rId5" w:history="1">
        <w:r w:rsidR="00506DA3" w:rsidRPr="0051499E">
          <w:rPr>
            <w:rStyle w:val="Hipervnculo"/>
            <w:sz w:val="24"/>
            <w:szCs w:val="24"/>
            <w:lang w:val="es-ES"/>
          </w:rPr>
          <w:t>Hidrobo, Peterman &amp; Heise, 2016</w:t>
        </w:r>
      </w:hyperlink>
      <w:r w:rsidRPr="23E00436">
        <w:rPr>
          <w:rFonts w:eastAsiaTheme="minorEastAsia"/>
          <w:sz w:val="24"/>
          <w:szCs w:val="24"/>
          <w:lang w:val="es-ES"/>
        </w:rPr>
        <w:t xml:space="preserve">). </w:t>
      </w:r>
    </w:p>
    <w:p w14:paraId="794F5AE9" w14:textId="07BE88F9" w:rsidR="23E00436" w:rsidRDefault="23E00436" w:rsidP="23E00436">
      <w:pPr>
        <w:jc w:val="both"/>
        <w:rPr>
          <w:rFonts w:eastAsiaTheme="minorEastAsia"/>
          <w:sz w:val="24"/>
          <w:szCs w:val="24"/>
          <w:lang w:val="es-ES"/>
        </w:rPr>
      </w:pPr>
      <w:r w:rsidRPr="23E00436">
        <w:rPr>
          <w:rFonts w:eastAsiaTheme="minorEastAsia"/>
          <w:sz w:val="24"/>
          <w:szCs w:val="24"/>
          <w:lang w:val="es-ES"/>
        </w:rPr>
        <w:t>Con base en esta experiencia, podría implementarse un programa semejante adaptado para las necesidades</w:t>
      </w:r>
      <w:r w:rsidR="00E30160">
        <w:rPr>
          <w:rFonts w:eastAsiaTheme="minorEastAsia"/>
          <w:sz w:val="24"/>
          <w:szCs w:val="24"/>
          <w:lang w:val="es-ES"/>
        </w:rPr>
        <w:t xml:space="preserve"> de su municipio. </w:t>
      </w:r>
      <w:r w:rsidRPr="23E00436">
        <w:rPr>
          <w:rFonts w:eastAsiaTheme="minorEastAsia"/>
          <w:sz w:val="24"/>
          <w:szCs w:val="24"/>
          <w:lang w:val="es-ES"/>
        </w:rPr>
        <w:t>Para hacerlo, se sugiere tener en cuenta los siguientes pasos:</w:t>
      </w:r>
    </w:p>
    <w:p w14:paraId="43DAEE83" w14:textId="27506AB2" w:rsidR="23E00436" w:rsidRDefault="23E00436" w:rsidP="23E00436">
      <w:pPr>
        <w:rPr>
          <w:b/>
          <w:bCs/>
          <w:color w:val="2E74B5" w:themeColor="accent5" w:themeShade="BF"/>
          <w:sz w:val="24"/>
          <w:szCs w:val="24"/>
          <w:lang w:val="es-ES"/>
        </w:rPr>
      </w:pPr>
      <w:r w:rsidRPr="23E00436">
        <w:rPr>
          <w:b/>
          <w:bCs/>
          <w:color w:val="2E74B5" w:themeColor="accent5" w:themeShade="BF"/>
          <w:sz w:val="24"/>
          <w:szCs w:val="24"/>
          <w:lang w:val="es-ES"/>
        </w:rPr>
        <w:t>Paso 1: Identificación de Beneficiarias</w:t>
      </w:r>
    </w:p>
    <w:p w14:paraId="6A4A0CCA" w14:textId="135CB234" w:rsidR="23E00436" w:rsidRDefault="23E00436" w:rsidP="23E00436">
      <w:pPr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Objetivo: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Definir y localizar a las mujeres elegibles en condiciones de pobreza para recibir transferencias económicas.</w:t>
      </w:r>
    </w:p>
    <w:p w14:paraId="3C00CA22" w14:textId="2BC55093" w:rsidR="23E00436" w:rsidRDefault="23E00436" w:rsidP="23E00436">
      <w:pPr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Elegibilidad: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Mujeres en hogares de pobreza extrema y moderada.</w:t>
      </w:r>
    </w:p>
    <w:p w14:paraId="241246AC" w14:textId="316FCCBA" w:rsidR="23E00436" w:rsidRDefault="23E00436" w:rsidP="23E00436">
      <w:p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Focalización: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Usar sistemas como el </w:t>
      </w:r>
      <w:r w:rsidRPr="23E00436">
        <w:rPr>
          <w:sz w:val="24"/>
          <w:szCs w:val="24"/>
          <w:lang w:val="es-ES"/>
        </w:rPr>
        <w:t>Sistema de identificación para Potenciales Beneficiarios de los Programas Sociales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(SISBÉN) para identificar hogares elegibles.</w:t>
      </w:r>
    </w:p>
    <w:p w14:paraId="1F561E96" w14:textId="630B9DBD" w:rsidR="23E00436" w:rsidRDefault="23E00436" w:rsidP="23E00436">
      <w:pPr>
        <w:shd w:val="clear" w:color="auto" w:fill="FFFFFF" w:themeFill="background1"/>
        <w:spacing w:after="0"/>
        <w:ind w:left="72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>Grupos A1-A5: Pobreza extrema.</w:t>
      </w:r>
    </w:p>
    <w:p w14:paraId="23DB3227" w14:textId="185317B3" w:rsidR="23E00436" w:rsidRDefault="23E00436" w:rsidP="23E00436">
      <w:pPr>
        <w:shd w:val="clear" w:color="auto" w:fill="FFFFFF" w:themeFill="background1"/>
        <w:spacing w:after="0"/>
        <w:ind w:left="72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>Grupos B1-B7: Pobreza moderada.</w:t>
      </w:r>
    </w:p>
    <w:p w14:paraId="5498FEF2" w14:textId="61CF0C3E" w:rsidR="23E00436" w:rsidRDefault="23E00436" w:rsidP="23E00436">
      <w:pPr>
        <w:shd w:val="clear" w:color="auto" w:fill="FFFFFF" w:themeFill="background1"/>
        <w:spacing w:after="0"/>
        <w:jc w:val="both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</w:p>
    <w:p w14:paraId="59BF3380" w14:textId="603A7CD9" w:rsidR="23E00436" w:rsidRDefault="23E00436" w:rsidP="23E00436">
      <w:pPr>
        <w:shd w:val="clear" w:color="auto" w:fill="FFFFFF" w:themeFill="background1"/>
        <w:spacing w:after="0"/>
        <w:jc w:val="both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Proceso de Inscripción:</w:t>
      </w:r>
    </w:p>
    <w:p w14:paraId="2C86201A" w14:textId="1DAE439E" w:rsidR="23E00436" w:rsidRDefault="23E00436" w:rsidP="23E00436">
      <w:pPr>
        <w:shd w:val="clear" w:color="auto" w:fill="FFFFFF" w:themeFill="background1"/>
        <w:spacing w:after="0"/>
        <w:ind w:left="72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Preparación: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Organizar espacios accesibles para inscripciones.</w:t>
      </w:r>
    </w:p>
    <w:p w14:paraId="19501F00" w14:textId="1AEDE60F" w:rsidR="23E00436" w:rsidRDefault="23E00436" w:rsidP="23E00436">
      <w:pPr>
        <w:shd w:val="clear" w:color="auto" w:fill="FFFFFF" w:themeFill="background1"/>
        <w:spacing w:after="0"/>
        <w:ind w:left="72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Convocatoria: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Informar a las mujeres elegibles sobre el proceso y los documentos necesarios para inscribirse.</w:t>
      </w:r>
    </w:p>
    <w:p w14:paraId="77D0A057" w14:textId="76B28609" w:rsidR="23E00436" w:rsidRDefault="23E00436" w:rsidP="23E00436">
      <w:pPr>
        <w:shd w:val="clear" w:color="auto" w:fill="FFFFFF" w:themeFill="background1"/>
        <w:spacing w:after="0"/>
        <w:ind w:left="72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Registro: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Implementar un circuito de inscripción adaptado a la comunidad y a las capacidades tecnológicas locales.</w:t>
      </w:r>
    </w:p>
    <w:p w14:paraId="642BBB82" w14:textId="4282A88C" w:rsidR="23E00436" w:rsidRDefault="23E00436" w:rsidP="23E00436">
      <w:pPr>
        <w:shd w:val="clear" w:color="auto" w:fill="FFFFFF" w:themeFill="background1"/>
        <w:spacing w:after="0"/>
        <w:ind w:left="72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</w:p>
    <w:p w14:paraId="194C5C07" w14:textId="689126F8" w:rsidR="23E00436" w:rsidRDefault="23E00436" w:rsidP="23E00436">
      <w:pPr>
        <w:shd w:val="clear" w:color="auto" w:fill="FFFFFF" w:themeFill="background1"/>
        <w:spacing w:after="0"/>
        <w:ind w:left="720"/>
        <w:jc w:val="center"/>
        <w:rPr>
          <w:b/>
          <w:bCs/>
          <w:color w:val="1F4E79" w:themeColor="accent5" w:themeShade="80"/>
          <w:sz w:val="24"/>
          <w:szCs w:val="24"/>
          <w:lang w:val="es-ES"/>
        </w:rPr>
      </w:pPr>
      <w:r>
        <w:rPr>
          <w:noProof/>
        </w:rPr>
        <w:drawing>
          <wp:inline distT="0" distB="0" distL="0" distR="0" wp14:anchorId="346067D4" wp14:editId="131199C0">
            <wp:extent cx="3948044" cy="2480584"/>
            <wp:effectExtent l="0" t="0" r="0" b="0"/>
            <wp:docPr id="832673035" name="Imagen 1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044" cy="248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EE214" w14:textId="2C3F9CED" w:rsidR="23E00436" w:rsidRDefault="23E00436" w:rsidP="23E00436">
      <w:pPr>
        <w:jc w:val="both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</w:p>
    <w:p w14:paraId="54DF2A1C" w14:textId="1F4BD5EB" w:rsidR="23E00436" w:rsidRDefault="23E00436" w:rsidP="23E00436">
      <w:pPr>
        <w:keepNext/>
        <w:rPr>
          <w:b/>
          <w:bCs/>
          <w:color w:val="2E74B5" w:themeColor="accent5" w:themeShade="BF"/>
          <w:sz w:val="24"/>
          <w:szCs w:val="24"/>
          <w:lang w:val="es-ES"/>
        </w:rPr>
      </w:pPr>
      <w:r w:rsidRPr="23E00436">
        <w:rPr>
          <w:b/>
          <w:bCs/>
          <w:color w:val="2E74B5" w:themeColor="accent5" w:themeShade="BF"/>
          <w:sz w:val="24"/>
          <w:szCs w:val="24"/>
          <w:lang w:val="es-ES"/>
        </w:rPr>
        <w:lastRenderedPageBreak/>
        <w:t>Paso 2: Pago de Transferencias</w:t>
      </w:r>
    </w:p>
    <w:p w14:paraId="45D7298D" w14:textId="446EC641" w:rsidR="23E00436" w:rsidRDefault="23E00436" w:rsidP="23E00436">
      <w:pPr>
        <w:shd w:val="clear" w:color="auto" w:fill="FFFFFF" w:themeFill="background1"/>
        <w:spacing w:after="0"/>
        <w:jc w:val="both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 xml:space="preserve">Objetivo: 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>Garantizar una entrega segura y eficiente de las transferencias económicas a las beneficiarias, respetando la dignidad y promoviendo la autonomía de las mujeres.</w:t>
      </w:r>
    </w:p>
    <w:p w14:paraId="1BEBED9B" w14:textId="5BBB7658" w:rsidR="23E00436" w:rsidRDefault="23E00436" w:rsidP="23E00436">
      <w:p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Receptor: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Mujer principal del hogar seleccionado.</w:t>
      </w:r>
    </w:p>
    <w:p w14:paraId="07166205" w14:textId="448932FF" w:rsidR="23E00436" w:rsidRDefault="23E00436" w:rsidP="00B53DCF">
      <w:pPr>
        <w:shd w:val="clear" w:color="auto" w:fill="FFFFFF" w:themeFill="background1"/>
        <w:spacing w:after="0"/>
        <w:jc w:val="both"/>
        <w:rPr>
          <w:rFonts w:eastAsiaTheme="minorEastAsia"/>
          <w:color w:val="000000" w:themeColor="text1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Estructura (con base en experiencia previa</w:t>
      </w:r>
      <w:r w:rsidR="00E12634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 xml:space="preserve"> de </w:t>
      </w:r>
      <w:hyperlink r:id="rId7" w:history="1">
        <w:r w:rsidR="00E30EAC" w:rsidRPr="0051499E">
          <w:rPr>
            <w:rStyle w:val="Hipervnculo"/>
            <w:sz w:val="24"/>
            <w:szCs w:val="24"/>
            <w:lang w:val="es-ES"/>
          </w:rPr>
          <w:t>Hidrobo, Peterman &amp; Heise, 2016</w:t>
        </w:r>
      </w:hyperlink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):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Pagos mensuales</w:t>
      </w:r>
      <w:r w:rsidR="00B53DCF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</w:t>
      </w:r>
      <w:r w:rsidR="00B53DCF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por un valor de </w:t>
      </w:r>
      <w:r w:rsidR="00B53DCF">
        <w:rPr>
          <w:rFonts w:eastAsiaTheme="minorEastAsia"/>
          <w:color w:val="0D0D0D" w:themeColor="text1" w:themeTint="F2"/>
          <w:sz w:val="24"/>
          <w:szCs w:val="24"/>
          <w:lang w:val="es-ES"/>
        </w:rPr>
        <w:t>$</w:t>
      </w:r>
      <w:r w:rsidR="00B53DCF">
        <w:rPr>
          <w:rFonts w:eastAsiaTheme="minorEastAsia"/>
          <w:color w:val="0D0D0D" w:themeColor="text1" w:themeTint="F2"/>
          <w:sz w:val="24"/>
          <w:szCs w:val="24"/>
          <w:lang w:val="es-ES"/>
        </w:rPr>
        <w:t>150.00</w:t>
      </w:r>
      <w:r w:rsidR="00B53DCF">
        <w:rPr>
          <w:rFonts w:eastAsiaTheme="minorEastAsia"/>
          <w:color w:val="000000" w:themeColor="text1"/>
          <w:sz w:val="24"/>
          <w:szCs w:val="24"/>
          <w:lang w:val="es-ES"/>
        </w:rPr>
        <w:t>0</w:t>
      </w:r>
      <w:r w:rsidR="00B53DCF" w:rsidRPr="5859CBAA">
        <w:rPr>
          <w:rFonts w:eastAsiaTheme="minorEastAsia"/>
          <w:color w:val="000000" w:themeColor="text1"/>
          <w:sz w:val="24"/>
          <w:szCs w:val="24"/>
          <w:lang w:val="es-ES"/>
        </w:rPr>
        <w:t xml:space="preserve"> 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>durante</w:t>
      </w:r>
      <w:r w:rsidR="00F23E50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6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meses</w:t>
      </w:r>
      <w:r w:rsidR="5859CBAA" w:rsidRPr="5859CBAA">
        <w:rPr>
          <w:rFonts w:eastAsiaTheme="minorEastAsia"/>
          <w:color w:val="000000" w:themeColor="text1"/>
          <w:sz w:val="24"/>
          <w:szCs w:val="24"/>
          <w:lang w:val="es-ES"/>
        </w:rPr>
        <w:t>.</w:t>
      </w:r>
    </w:p>
    <w:p w14:paraId="73A89B28" w14:textId="3D02BA29" w:rsidR="23E00436" w:rsidRDefault="23E00436" w:rsidP="23E00436">
      <w:pPr>
        <w:shd w:val="clear" w:color="auto" w:fill="FFFFFF" w:themeFill="background1"/>
        <w:spacing w:after="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Mecanismos de Pago: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Preferencia por sistemas electrónicos.</w:t>
      </w:r>
    </w:p>
    <w:p w14:paraId="122208D7" w14:textId="75FFE2EC" w:rsidR="23E00436" w:rsidRDefault="23E00436" w:rsidP="23E00436">
      <w:pPr>
        <w:shd w:val="clear" w:color="auto" w:fill="FFFFFF" w:themeFill="background1"/>
        <w:spacing w:after="0"/>
        <w:ind w:left="72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>Cuentas de Ahorro Electrónico (CATS) o transferencia móvil.</w:t>
      </w:r>
    </w:p>
    <w:p w14:paraId="0BF39C5A" w14:textId="3B90CACD" w:rsidR="23E00436" w:rsidRDefault="23E00436" w:rsidP="23E00436">
      <w:pPr>
        <w:shd w:val="clear" w:color="auto" w:fill="FFFFFF" w:themeFill="background1"/>
        <w:spacing w:after="0"/>
        <w:ind w:left="720"/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>Opción de giros bancarios para quienes no accedan a medios electrónicos.</w:t>
      </w:r>
    </w:p>
    <w:p w14:paraId="7C190204" w14:textId="31AE49EF" w:rsidR="23E00436" w:rsidRDefault="23E00436" w:rsidP="23E00436">
      <w:pPr>
        <w:jc w:val="both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</w:p>
    <w:p w14:paraId="07414137" w14:textId="5F432C07" w:rsidR="23E00436" w:rsidRDefault="23E00436" w:rsidP="23E00436">
      <w:pPr>
        <w:jc w:val="both"/>
        <w:rPr>
          <w:rFonts w:eastAsiaTheme="minorEastAsia"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Nota:</w:t>
      </w:r>
      <w:r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 Esta guía es una sugerencia basada en experiencias anteriores y puede ajustarse a las necesidades y contextos específicos de cada comunidad. </w:t>
      </w:r>
    </w:p>
    <w:p w14:paraId="5BA907D8" w14:textId="26E94836" w:rsidR="23E00436" w:rsidRDefault="23E00436" w:rsidP="23E00436">
      <w:pPr>
        <w:jc w:val="both"/>
        <w:rPr>
          <w:sz w:val="24"/>
          <w:szCs w:val="24"/>
          <w:lang w:val="es-ES"/>
        </w:rPr>
      </w:pPr>
    </w:p>
    <w:p w14:paraId="26A21351" w14:textId="2B05243E" w:rsidR="23E00436" w:rsidRDefault="23E00436" w:rsidP="23E00436">
      <w:pPr>
        <w:jc w:val="both"/>
        <w:rPr>
          <w:sz w:val="24"/>
          <w:szCs w:val="24"/>
          <w:lang w:val="es-ES"/>
        </w:rPr>
      </w:pPr>
    </w:p>
    <w:p w14:paraId="071899C0" w14:textId="72E3E2A7" w:rsidR="23E00436" w:rsidRDefault="23E00436" w:rsidP="23E00436">
      <w:pPr>
        <w:jc w:val="both"/>
        <w:rPr>
          <w:sz w:val="24"/>
          <w:szCs w:val="24"/>
          <w:lang w:val="es-ES"/>
        </w:rPr>
      </w:pPr>
    </w:p>
    <w:p w14:paraId="24DE610D" w14:textId="40EE53CA" w:rsidR="23E00436" w:rsidRDefault="23E00436" w:rsidP="23E00436">
      <w:pPr>
        <w:jc w:val="both"/>
      </w:pPr>
      <w:r>
        <w:br w:type="page"/>
      </w:r>
    </w:p>
    <w:p w14:paraId="47BC04C5" w14:textId="7B241D77" w:rsidR="00190014" w:rsidRPr="001C3D4E" w:rsidRDefault="00231D69" w:rsidP="005957F9">
      <w:pPr>
        <w:rPr>
          <w:b/>
          <w:bCs/>
          <w:color w:val="2E74B5" w:themeColor="accent5" w:themeShade="BF"/>
          <w:sz w:val="24"/>
          <w:szCs w:val="24"/>
          <w:lang w:val="es-ES"/>
        </w:rPr>
      </w:pPr>
      <w:r w:rsidRPr="001C3D4E">
        <w:rPr>
          <w:b/>
          <w:bCs/>
          <w:color w:val="2E74B5" w:themeColor="accent5" w:themeShade="BF"/>
          <w:sz w:val="24"/>
          <w:szCs w:val="24"/>
          <w:lang w:val="es-ES"/>
        </w:rPr>
        <w:lastRenderedPageBreak/>
        <w:t xml:space="preserve">PASO </w:t>
      </w:r>
      <w:r w:rsidR="00656D51" w:rsidRPr="001C3D4E">
        <w:rPr>
          <w:b/>
          <w:bCs/>
          <w:color w:val="2E74B5" w:themeColor="accent5" w:themeShade="BF"/>
          <w:sz w:val="24"/>
          <w:szCs w:val="24"/>
          <w:lang w:val="es-ES"/>
        </w:rPr>
        <w:t>3</w:t>
      </w:r>
      <w:r w:rsidRPr="001C3D4E">
        <w:rPr>
          <w:b/>
          <w:bCs/>
          <w:color w:val="2E74B5" w:themeColor="accent5" w:themeShade="BF"/>
          <w:sz w:val="24"/>
          <w:szCs w:val="24"/>
          <w:lang w:val="es-ES"/>
        </w:rPr>
        <w:t xml:space="preserve"> DISEÑAR UN SISTEMA DE MONITOREO</w:t>
      </w:r>
      <w:r w:rsidR="00ED7404" w:rsidRPr="001C3D4E">
        <w:rPr>
          <w:b/>
          <w:bCs/>
          <w:color w:val="2E74B5" w:themeColor="accent5" w:themeShade="BF"/>
          <w:sz w:val="24"/>
          <w:szCs w:val="24"/>
          <w:lang w:val="es-ES"/>
        </w:rPr>
        <w:t xml:space="preserve"> y EVALUACIÓN </w:t>
      </w:r>
      <w:r w:rsidR="00F13EDB">
        <w:rPr>
          <w:b/>
          <w:bCs/>
          <w:color w:val="2E74B5" w:themeColor="accent5" w:themeShade="BF"/>
          <w:sz w:val="24"/>
          <w:szCs w:val="24"/>
          <w:lang w:val="es-ES"/>
        </w:rPr>
        <w:t>(M&amp;E)</w:t>
      </w:r>
    </w:p>
    <w:p w14:paraId="3458E49A" w14:textId="64A4F3C1" w:rsidR="00AB7A74" w:rsidRPr="001C3D4E" w:rsidRDefault="001C3D4E" w:rsidP="001C3D4E">
      <w:pPr>
        <w:jc w:val="both"/>
        <w:rPr>
          <w:sz w:val="24"/>
          <w:szCs w:val="24"/>
          <w:lang w:val="es-ES"/>
        </w:rPr>
      </w:pPr>
      <w:r w:rsidRPr="001C3D4E">
        <w:rPr>
          <w:sz w:val="24"/>
          <w:szCs w:val="24"/>
          <w:lang w:val="es-ES"/>
        </w:rPr>
        <w:t xml:space="preserve">El principal papel del M&amp;E es rastrear si las actividades del programa, incluidas las actividades enfocadas en mitigar o prevenir la </w:t>
      </w:r>
      <w:r>
        <w:rPr>
          <w:sz w:val="24"/>
          <w:szCs w:val="24"/>
          <w:lang w:val="es-ES"/>
        </w:rPr>
        <w:t>violencia contra la mujer</w:t>
      </w:r>
      <w:r w:rsidRPr="001C3D4E">
        <w:rPr>
          <w:sz w:val="24"/>
          <w:szCs w:val="24"/>
          <w:lang w:val="es-ES"/>
        </w:rPr>
        <w:t>, se implementan según lo previsto e identificar áreas para mejorar. Un monitoreo continuo y sólido es fundamental para garantizar que las decisiones de diseño sean efectivas y que los actores del programa comprendan y cumplan correctamente con sus responsabilidades.</w:t>
      </w:r>
    </w:p>
    <w:p w14:paraId="3C7F5BED" w14:textId="3DCC9D1F" w:rsidR="00D232B2" w:rsidRDefault="001C3D4E" w:rsidP="001C3D4E">
      <w:pPr>
        <w:jc w:val="both"/>
        <w:rPr>
          <w:sz w:val="24"/>
          <w:szCs w:val="24"/>
          <w:lang w:val="es-ES"/>
        </w:rPr>
      </w:pPr>
      <w:r w:rsidRPr="001C3D4E">
        <w:rPr>
          <w:sz w:val="24"/>
          <w:szCs w:val="24"/>
          <w:lang w:val="es-ES"/>
        </w:rPr>
        <w:t>Los planes y marcos de M&amp;E deben incluir formas de evaluar si los programas de mitigación de la violencia de contra la mujer se implementan según lo previsto y de observar e investigar continuamente las posibles reacciones adversas al programa. Se deben considerar cuatro tipos principales de indicadores de M&amp;E:</w:t>
      </w:r>
    </w:p>
    <w:p w14:paraId="22A71D19" w14:textId="78EB977C" w:rsidR="00C56C07" w:rsidRDefault="4DBB5CC3" w:rsidP="00C56C07">
      <w:pPr>
        <w:pStyle w:val="Prrafodelista"/>
        <w:numPr>
          <w:ilvl w:val="0"/>
          <w:numId w:val="12"/>
        </w:numPr>
        <w:jc w:val="both"/>
        <w:rPr>
          <w:sz w:val="24"/>
          <w:szCs w:val="24"/>
          <w:lang w:val="es-ES"/>
        </w:rPr>
      </w:pPr>
      <w:r w:rsidRPr="4DBB5CC3">
        <w:rPr>
          <w:b/>
          <w:bCs/>
          <w:color w:val="1F4E79" w:themeColor="accent5" w:themeShade="80"/>
          <w:sz w:val="24"/>
          <w:szCs w:val="24"/>
          <w:lang w:val="es-ES"/>
        </w:rPr>
        <w:t xml:space="preserve">Indicadores de productos o actividades </w:t>
      </w:r>
      <w:r w:rsidRPr="4DBB5CC3">
        <w:rPr>
          <w:sz w:val="24"/>
          <w:szCs w:val="24"/>
          <w:lang w:val="es-ES"/>
        </w:rPr>
        <w:t>para determinar si las actividades del programa están siendo implementadas.</w:t>
      </w:r>
    </w:p>
    <w:p w14:paraId="79F804C1" w14:textId="4E57BF5A" w:rsidR="00C56C07" w:rsidRDefault="4DBB5CC3" w:rsidP="00C56C07">
      <w:pPr>
        <w:pStyle w:val="Prrafodelista"/>
        <w:numPr>
          <w:ilvl w:val="0"/>
          <w:numId w:val="12"/>
        </w:numPr>
        <w:jc w:val="both"/>
        <w:rPr>
          <w:sz w:val="24"/>
          <w:szCs w:val="24"/>
          <w:lang w:val="es-ES"/>
        </w:rPr>
      </w:pPr>
      <w:r w:rsidRPr="4DBB5CC3">
        <w:rPr>
          <w:b/>
          <w:bCs/>
          <w:color w:val="1F4E79" w:themeColor="accent5" w:themeShade="80"/>
          <w:sz w:val="24"/>
          <w:szCs w:val="24"/>
          <w:lang w:val="es-ES"/>
        </w:rPr>
        <w:t xml:space="preserve">Indicadores de resultados </w:t>
      </w:r>
      <w:r w:rsidRPr="4DBB5CC3">
        <w:rPr>
          <w:sz w:val="24"/>
          <w:szCs w:val="24"/>
          <w:lang w:val="es-ES"/>
        </w:rPr>
        <w:t>para evaluar si las actividades del programa lograron los beneficios para los que fueron diseñadas.</w:t>
      </w:r>
    </w:p>
    <w:p w14:paraId="388C90DD" w14:textId="2D66688B" w:rsidR="00C56C07" w:rsidRDefault="4DBB5CC3" w:rsidP="00C56C07">
      <w:pPr>
        <w:pStyle w:val="Prrafodelista"/>
        <w:numPr>
          <w:ilvl w:val="0"/>
          <w:numId w:val="12"/>
        </w:numPr>
        <w:jc w:val="both"/>
        <w:rPr>
          <w:sz w:val="24"/>
          <w:szCs w:val="24"/>
          <w:lang w:val="es-ES"/>
        </w:rPr>
      </w:pPr>
      <w:r w:rsidRPr="4DBB5CC3">
        <w:rPr>
          <w:b/>
          <w:bCs/>
          <w:color w:val="1F4E79" w:themeColor="accent5" w:themeShade="80"/>
          <w:sz w:val="24"/>
          <w:szCs w:val="24"/>
          <w:lang w:val="es-ES"/>
        </w:rPr>
        <w:t xml:space="preserve">Indicadores de calidad de implementación </w:t>
      </w:r>
      <w:r w:rsidRPr="4DBB5CC3">
        <w:rPr>
          <w:rFonts w:eastAsiaTheme="minorEastAsia"/>
          <w:sz w:val="24"/>
          <w:szCs w:val="24"/>
          <w:lang w:val="es-ES"/>
        </w:rPr>
        <w:t xml:space="preserve">para superar la medición de resultados y evaluar si las actividades del programa cumplen con estándares de calidad. </w:t>
      </w:r>
    </w:p>
    <w:p w14:paraId="70C64FCA" w14:textId="03B17D6A" w:rsidR="00C56C07" w:rsidRPr="00C56C07" w:rsidRDefault="4DBB5CC3" w:rsidP="00C56C07">
      <w:pPr>
        <w:pStyle w:val="Prrafodelista"/>
        <w:numPr>
          <w:ilvl w:val="0"/>
          <w:numId w:val="12"/>
        </w:numPr>
        <w:jc w:val="both"/>
        <w:rPr>
          <w:sz w:val="24"/>
          <w:szCs w:val="24"/>
          <w:lang w:val="es-ES"/>
        </w:rPr>
      </w:pPr>
      <w:r w:rsidRPr="4DBB5CC3">
        <w:rPr>
          <w:b/>
          <w:bCs/>
          <w:color w:val="1F4E79" w:themeColor="accent5" w:themeShade="80"/>
          <w:sz w:val="24"/>
          <w:szCs w:val="24"/>
          <w:lang w:val="es-ES"/>
        </w:rPr>
        <w:t>Indicadores de impacto</w:t>
      </w:r>
      <w:r w:rsidRPr="4DBB5CC3">
        <w:rPr>
          <w:sz w:val="24"/>
          <w:szCs w:val="24"/>
          <w:lang w:val="es-ES"/>
        </w:rPr>
        <w:t xml:space="preserve"> para medir los cambios últimos observados como resultado de la implementación del programa.</w:t>
      </w:r>
    </w:p>
    <w:sectPr w:rsidR="00C56C07" w:rsidRPr="00C56C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D672A"/>
    <w:multiLevelType w:val="multilevel"/>
    <w:tmpl w:val="2300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872785"/>
    <w:multiLevelType w:val="hybridMultilevel"/>
    <w:tmpl w:val="98C2BC4E"/>
    <w:lvl w:ilvl="0" w:tplc="87847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5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EA67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A007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DA45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409A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AA2A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F67B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D835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35C8F"/>
    <w:multiLevelType w:val="hybridMultilevel"/>
    <w:tmpl w:val="50D8D4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F316D"/>
    <w:multiLevelType w:val="hybridMultilevel"/>
    <w:tmpl w:val="DC1808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64511"/>
    <w:multiLevelType w:val="hybridMultilevel"/>
    <w:tmpl w:val="AC6E8F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84574"/>
    <w:multiLevelType w:val="hybridMultilevel"/>
    <w:tmpl w:val="7EF872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5470E"/>
    <w:multiLevelType w:val="hybridMultilevel"/>
    <w:tmpl w:val="6BDAFF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3587E"/>
    <w:multiLevelType w:val="hybridMultilevel"/>
    <w:tmpl w:val="CBA2AF70"/>
    <w:lvl w:ilvl="0" w:tplc="48E04A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724D8"/>
    <w:multiLevelType w:val="hybridMultilevel"/>
    <w:tmpl w:val="383CC8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D34499"/>
    <w:multiLevelType w:val="hybridMultilevel"/>
    <w:tmpl w:val="C97408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D57083"/>
    <w:multiLevelType w:val="hybridMultilevel"/>
    <w:tmpl w:val="4C6E81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F64EAE"/>
    <w:multiLevelType w:val="hybridMultilevel"/>
    <w:tmpl w:val="7CE0041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6839454">
    <w:abstractNumId w:val="1"/>
  </w:num>
  <w:num w:numId="2" w16cid:durableId="400687464">
    <w:abstractNumId w:val="7"/>
  </w:num>
  <w:num w:numId="3" w16cid:durableId="1005090215">
    <w:abstractNumId w:val="10"/>
  </w:num>
  <w:num w:numId="4" w16cid:durableId="431317805">
    <w:abstractNumId w:val="0"/>
  </w:num>
  <w:num w:numId="5" w16cid:durableId="1359047688">
    <w:abstractNumId w:val="5"/>
  </w:num>
  <w:num w:numId="6" w16cid:durableId="751588409">
    <w:abstractNumId w:val="8"/>
  </w:num>
  <w:num w:numId="7" w16cid:durableId="1272324736">
    <w:abstractNumId w:val="6"/>
  </w:num>
  <w:num w:numId="8" w16cid:durableId="1860774619">
    <w:abstractNumId w:val="4"/>
  </w:num>
  <w:num w:numId="9" w16cid:durableId="2021465620">
    <w:abstractNumId w:val="3"/>
  </w:num>
  <w:num w:numId="10" w16cid:durableId="2099669172">
    <w:abstractNumId w:val="2"/>
  </w:num>
  <w:num w:numId="11" w16cid:durableId="51471745">
    <w:abstractNumId w:val="9"/>
  </w:num>
  <w:num w:numId="12" w16cid:durableId="15179644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B2"/>
    <w:rsid w:val="00007D37"/>
    <w:rsid w:val="000524A3"/>
    <w:rsid w:val="000617D2"/>
    <w:rsid w:val="000B6CD9"/>
    <w:rsid w:val="000E1572"/>
    <w:rsid w:val="000E3E36"/>
    <w:rsid w:val="000F4996"/>
    <w:rsid w:val="000F7CEE"/>
    <w:rsid w:val="00120E33"/>
    <w:rsid w:val="001504CB"/>
    <w:rsid w:val="00190014"/>
    <w:rsid w:val="001A01CC"/>
    <w:rsid w:val="001A5160"/>
    <w:rsid w:val="001B75C9"/>
    <w:rsid w:val="001C3D4E"/>
    <w:rsid w:val="001F4E96"/>
    <w:rsid w:val="002315DA"/>
    <w:rsid w:val="00231D69"/>
    <w:rsid w:val="002364DB"/>
    <w:rsid w:val="00251266"/>
    <w:rsid w:val="002771E2"/>
    <w:rsid w:val="002A16DE"/>
    <w:rsid w:val="002B6DF1"/>
    <w:rsid w:val="002D2083"/>
    <w:rsid w:val="002E6872"/>
    <w:rsid w:val="00382D78"/>
    <w:rsid w:val="003A03C9"/>
    <w:rsid w:val="003A259D"/>
    <w:rsid w:val="003E6343"/>
    <w:rsid w:val="00406A20"/>
    <w:rsid w:val="00426149"/>
    <w:rsid w:val="00430E7E"/>
    <w:rsid w:val="00471671"/>
    <w:rsid w:val="0047591B"/>
    <w:rsid w:val="00506DA3"/>
    <w:rsid w:val="005241B3"/>
    <w:rsid w:val="0052559C"/>
    <w:rsid w:val="00563EFE"/>
    <w:rsid w:val="005814A4"/>
    <w:rsid w:val="005957F9"/>
    <w:rsid w:val="005C35BE"/>
    <w:rsid w:val="005C5A45"/>
    <w:rsid w:val="006220AD"/>
    <w:rsid w:val="00656D51"/>
    <w:rsid w:val="00677AB8"/>
    <w:rsid w:val="006D073B"/>
    <w:rsid w:val="00731714"/>
    <w:rsid w:val="007F3C5E"/>
    <w:rsid w:val="00806E60"/>
    <w:rsid w:val="00870674"/>
    <w:rsid w:val="00875C88"/>
    <w:rsid w:val="00877042"/>
    <w:rsid w:val="00891D00"/>
    <w:rsid w:val="008B293E"/>
    <w:rsid w:val="00966C2C"/>
    <w:rsid w:val="009B3C5E"/>
    <w:rsid w:val="009C04EA"/>
    <w:rsid w:val="009E4CAD"/>
    <w:rsid w:val="009E7936"/>
    <w:rsid w:val="009F374D"/>
    <w:rsid w:val="00A00AD8"/>
    <w:rsid w:val="00A0338E"/>
    <w:rsid w:val="00A07E4F"/>
    <w:rsid w:val="00A24E8B"/>
    <w:rsid w:val="00A8089C"/>
    <w:rsid w:val="00A874E6"/>
    <w:rsid w:val="00AB7A74"/>
    <w:rsid w:val="00AC7A88"/>
    <w:rsid w:val="00AD2216"/>
    <w:rsid w:val="00AE540C"/>
    <w:rsid w:val="00B4369D"/>
    <w:rsid w:val="00B53DCF"/>
    <w:rsid w:val="00B66D1E"/>
    <w:rsid w:val="00C12A2D"/>
    <w:rsid w:val="00C31145"/>
    <w:rsid w:val="00C56C07"/>
    <w:rsid w:val="00C70E2A"/>
    <w:rsid w:val="00D147E4"/>
    <w:rsid w:val="00D232B2"/>
    <w:rsid w:val="00D6567C"/>
    <w:rsid w:val="00D73DC5"/>
    <w:rsid w:val="00D87C9C"/>
    <w:rsid w:val="00D93657"/>
    <w:rsid w:val="00DF343E"/>
    <w:rsid w:val="00E043DB"/>
    <w:rsid w:val="00E12634"/>
    <w:rsid w:val="00E30160"/>
    <w:rsid w:val="00E30EAC"/>
    <w:rsid w:val="00E65241"/>
    <w:rsid w:val="00EA1E30"/>
    <w:rsid w:val="00ED7404"/>
    <w:rsid w:val="00EF346D"/>
    <w:rsid w:val="00F13EDB"/>
    <w:rsid w:val="00F23E50"/>
    <w:rsid w:val="00F40F69"/>
    <w:rsid w:val="00F45470"/>
    <w:rsid w:val="00F543D0"/>
    <w:rsid w:val="00F54FFE"/>
    <w:rsid w:val="00FA6DD1"/>
    <w:rsid w:val="00FB2999"/>
    <w:rsid w:val="00FC1369"/>
    <w:rsid w:val="079A01A4"/>
    <w:rsid w:val="103C4AC7"/>
    <w:rsid w:val="1C3E4D8A"/>
    <w:rsid w:val="23E00436"/>
    <w:rsid w:val="4DBB5CC3"/>
    <w:rsid w:val="5859C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8F1A"/>
  <w15:chartTrackingRefBased/>
  <w15:docId w15:val="{E7561973-4D02-49AF-A2A2-20E26709B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0E2A"/>
    <w:pPr>
      <w:ind w:left="720"/>
      <w:contextualSpacing/>
    </w:p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F54F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val="es-ES" w:eastAsia="es-ES"/>
      <w14:ligatures w14:val="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F54FFE"/>
    <w:rPr>
      <w:rFonts w:ascii="Arial" w:eastAsia="Times New Roman" w:hAnsi="Arial" w:cs="Arial"/>
      <w:vanish/>
      <w:kern w:val="0"/>
      <w:sz w:val="16"/>
      <w:szCs w:val="16"/>
      <w:lang w:eastAsia="es-ES"/>
      <w14:ligatures w14:val="none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sz w:val="20"/>
      <w:szCs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06DA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06DA3"/>
    <w:rPr>
      <w:color w:val="954F72" w:themeColor="followed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23E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23E50"/>
    <w:rPr>
      <w:b/>
      <w:bCs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715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893497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22058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076485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596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029975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5284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5507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8601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66315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5106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14010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1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aweb.org/articles?id=10.1257/app.201500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aeaweb.org/articles?id=10.1257/app.2015004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532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Hoyos Barba</dc:creator>
  <cp:keywords/>
  <dc:description/>
  <cp:lastModifiedBy>Manuela Hoyos Barba</cp:lastModifiedBy>
  <cp:revision>61</cp:revision>
  <dcterms:created xsi:type="dcterms:W3CDTF">2023-12-05T14:28:00Z</dcterms:created>
  <dcterms:modified xsi:type="dcterms:W3CDTF">2024-04-26T22:44:00Z</dcterms:modified>
</cp:coreProperties>
</file>