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A46B1E" w14:textId="2B6C4A6B" w:rsidR="76DFDB16" w:rsidRDefault="592925F0" w:rsidP="76DFDB16">
      <w:pPr>
        <w:jc w:val="center"/>
        <w:rPr>
          <w:rFonts w:ascii="Calibri" w:eastAsia="Calibri" w:hAnsi="Calibri" w:cs="Calibri"/>
          <w:color w:val="2F5496" w:themeColor="accent1" w:themeShade="BF"/>
          <w:sz w:val="28"/>
          <w:szCs w:val="28"/>
          <w:lang w:val="es-ES"/>
        </w:rPr>
      </w:pPr>
      <w:r w:rsidRPr="592925F0">
        <w:rPr>
          <w:rFonts w:ascii="Calibri" w:eastAsia="Calibri" w:hAnsi="Calibri" w:cs="Calibri"/>
          <w:b/>
          <w:bCs/>
          <w:color w:val="2F5496" w:themeColor="accent1" w:themeShade="BF"/>
          <w:sz w:val="28"/>
          <w:szCs w:val="28"/>
          <w:lang w:val="es-ES"/>
        </w:rPr>
        <w:t>TALLERES PARA PAREJAS</w:t>
      </w:r>
    </w:p>
    <w:p w14:paraId="1C8A7F08" w14:textId="0B92E63F" w:rsidR="76DFDB16" w:rsidRDefault="76DFDB16" w:rsidP="76DFDB16">
      <w:pPr>
        <w:jc w:val="center"/>
        <w:rPr>
          <w:rFonts w:ascii="Calibri" w:eastAsia="Calibri" w:hAnsi="Calibri" w:cs="Calibri"/>
          <w:sz w:val="28"/>
          <w:szCs w:val="28"/>
          <w:lang w:val="es-ES"/>
        </w:rPr>
      </w:pPr>
      <w:r w:rsidRPr="76DFDB16">
        <w:rPr>
          <w:rFonts w:ascii="Calibri" w:eastAsia="Calibri" w:hAnsi="Calibri" w:cs="Calibri"/>
          <w:b/>
          <w:bCs/>
          <w:color w:val="2F5496" w:themeColor="accent1" w:themeShade="BF"/>
          <w:sz w:val="28"/>
          <w:szCs w:val="28"/>
          <w:lang w:val="es-ES"/>
        </w:rPr>
        <w:t xml:space="preserve">Efectividad según evidencia actual: </w:t>
      </w:r>
      <w:r w:rsidRPr="76DFDB16">
        <w:rPr>
          <w:rFonts w:ascii="Calibri" w:eastAsia="Calibri" w:hAnsi="Calibri" w:cs="Calibri"/>
          <w:color w:val="000000" w:themeColor="text1"/>
          <w:sz w:val="28"/>
          <w:szCs w:val="28"/>
          <w:lang w:val="es-ES"/>
        </w:rPr>
        <w:t>Positiva</w:t>
      </w:r>
      <w:r w:rsidRPr="76DFDB16">
        <w:rPr>
          <w:rFonts w:ascii="Segoe UI Emoji" w:eastAsia="Segoe UI Emoji" w:hAnsi="Segoe UI Emoji" w:cs="Segoe UI Emoji"/>
          <w:color w:val="000000" w:themeColor="text1"/>
          <w:sz w:val="28"/>
          <w:szCs w:val="28"/>
          <w:lang w:val="es-ES"/>
        </w:rPr>
        <w:t>✅</w:t>
      </w:r>
    </w:p>
    <w:p w14:paraId="6F092D13" w14:textId="67216789" w:rsidR="76DFDB16" w:rsidRDefault="76DFDB16" w:rsidP="76DFDB16">
      <w:pPr>
        <w:jc w:val="center"/>
        <w:rPr>
          <w:rFonts w:ascii="Calibri" w:eastAsia="Calibri" w:hAnsi="Calibri" w:cs="Calibri"/>
          <w:color w:val="000000" w:themeColor="text1"/>
          <w:sz w:val="28"/>
          <w:szCs w:val="28"/>
          <w:lang w:val="es-ES"/>
        </w:rPr>
      </w:pPr>
    </w:p>
    <w:p w14:paraId="2A38CA5E" w14:textId="47E064B0" w:rsidR="00B639FD" w:rsidRDefault="592925F0" w:rsidP="76DFDB16">
      <w:pPr>
        <w:spacing w:line="276" w:lineRule="auto"/>
        <w:jc w:val="both"/>
        <w:rPr>
          <w:rFonts w:eastAsiaTheme="minorEastAsia"/>
          <w:color w:val="0D0D0D" w:themeColor="text1" w:themeTint="F2"/>
          <w:sz w:val="24"/>
          <w:szCs w:val="24"/>
        </w:rPr>
      </w:pPr>
      <w:r w:rsidRPr="592925F0">
        <w:rPr>
          <w:b/>
          <w:bCs/>
          <w:color w:val="C45911" w:themeColor="accent2" w:themeShade="BF"/>
          <w:sz w:val="28"/>
          <w:szCs w:val="28"/>
          <w:lang w:val="es-ES"/>
        </w:rPr>
        <w:t>¿En qué consiste?</w:t>
      </w:r>
      <w:bookmarkStart w:id="0" w:name="_Hlk154406265"/>
      <w:r>
        <w:t xml:space="preserve"> </w:t>
      </w:r>
      <w:r w:rsidRPr="592925F0">
        <w:rPr>
          <w:rFonts w:eastAsiaTheme="minorEastAsia"/>
          <w:color w:val="0D0D0D" w:themeColor="text1" w:themeTint="F2"/>
          <w:sz w:val="24"/>
          <w:szCs w:val="24"/>
        </w:rPr>
        <w:t xml:space="preserve">Estos talleres están dirigidos a grupos de parejas con el objetivo de ayudarlos a revisar los vínculos de pareja y transformar los roles de género. Las sesiones de los talleres son guiadas por facilitadores capacitados que promueven la reflexión sobre las actitudes de género y los conflictos derivados, y buscan ayudar a desarrollar habilidades de comunicación. Pueden ser sesiones exclusivas para hombres o mujeres, o bien, encuentros mixtos. </w:t>
      </w:r>
    </w:p>
    <w:p w14:paraId="3AE16482" w14:textId="77777777" w:rsidR="0089400F" w:rsidRDefault="0089400F" w:rsidP="76DFDB16">
      <w:pPr>
        <w:spacing w:line="276" w:lineRule="auto"/>
        <w:jc w:val="both"/>
        <w:rPr>
          <w:rFonts w:eastAsiaTheme="minorEastAsia"/>
          <w:color w:val="0D0D0D" w:themeColor="text1" w:themeTint="F2"/>
          <w:sz w:val="24"/>
          <w:szCs w:val="24"/>
        </w:rPr>
      </w:pPr>
    </w:p>
    <w:p w14:paraId="370F2D39" w14:textId="77777777" w:rsidR="0089400F" w:rsidRPr="0089400F" w:rsidRDefault="0089400F" w:rsidP="0089400F">
      <w:pPr>
        <w:spacing w:line="276" w:lineRule="auto"/>
        <w:jc w:val="both"/>
        <w:rPr>
          <w:rFonts w:ascii="Calibri" w:eastAsia="Calibri" w:hAnsi="Calibri" w:cs="Calibri"/>
          <w:b/>
          <w:bCs/>
          <w:color w:val="C45911" w:themeColor="accent2" w:themeShade="BF"/>
          <w:sz w:val="28"/>
          <w:szCs w:val="28"/>
          <w:lang w:val="es-ES"/>
        </w:rPr>
      </w:pPr>
      <w:r w:rsidRPr="0089400F">
        <w:rPr>
          <w:rFonts w:ascii="Calibri" w:eastAsia="Calibri" w:hAnsi="Calibri" w:cs="Calibri"/>
          <w:b/>
          <w:bCs/>
          <w:color w:val="C45911" w:themeColor="accent2" w:themeShade="BF"/>
          <w:sz w:val="28"/>
          <w:szCs w:val="28"/>
          <w:lang w:val="es-ES"/>
        </w:rPr>
        <w:t xml:space="preserve">Magnitud  </w:t>
      </w:r>
    </w:p>
    <w:p w14:paraId="5C46B1A2" w14:textId="67A67369" w:rsidR="0089400F" w:rsidRPr="004801B2" w:rsidRDefault="0089400F" w:rsidP="0089400F">
      <w:pPr>
        <w:spacing w:line="276" w:lineRule="auto"/>
        <w:jc w:val="both"/>
        <w:rPr>
          <w:rFonts w:ascii="Calibri" w:eastAsia="Calibri" w:hAnsi="Calibri" w:cs="Calibri"/>
          <w:color w:val="2F5496" w:themeColor="accent1" w:themeShade="BF"/>
          <w:sz w:val="28"/>
          <w:szCs w:val="28"/>
          <w:lang w:val="es-ES"/>
        </w:rPr>
      </w:pPr>
      <w:r w:rsidRPr="0089400F">
        <w:rPr>
          <w:rFonts w:ascii="Calibri" w:eastAsia="Calibri" w:hAnsi="Calibri" w:cs="Calibri"/>
          <w:b/>
          <w:bCs/>
          <w:color w:val="2F5496" w:themeColor="accent1" w:themeShade="BF"/>
          <w:sz w:val="24"/>
          <w:szCs w:val="24"/>
          <w:lang w:val="es-ES"/>
        </w:rPr>
        <w:t>Si el programa abarcara la totalidad de las potenciales víctimas de violencia de [MUNICIPIO]</w:t>
      </w:r>
      <w:r w:rsidRPr="0089400F">
        <w:rPr>
          <w:rFonts w:ascii="Calibri" w:eastAsia="Calibri" w:hAnsi="Calibri" w:cs="Calibri"/>
          <w:b/>
          <w:bCs/>
          <w:color w:val="000000" w:themeColor="text1"/>
          <w:lang w:val="es-ES"/>
        </w:rPr>
        <w:t xml:space="preserve"> </w:t>
      </w:r>
      <w:r w:rsidRPr="1B7D3680">
        <w:rPr>
          <w:rFonts w:ascii="Calibri" w:eastAsia="Calibri" w:hAnsi="Calibri" w:cs="Calibri"/>
          <w:color w:val="000000" w:themeColor="text1"/>
          <w:sz w:val="24"/>
          <w:szCs w:val="24"/>
          <w:lang w:val="es-ES"/>
        </w:rPr>
        <w:t xml:space="preserve">y se obtuviera un resultado similar a los registrados en otros contextos </w:t>
      </w:r>
      <w:r>
        <w:rPr>
          <w:color w:val="0D0D0D" w:themeColor="text1" w:themeTint="F2"/>
          <w:sz w:val="24"/>
          <w:szCs w:val="24"/>
        </w:rPr>
        <w:t xml:space="preserve">% </w:t>
      </w:r>
      <w:r w:rsidR="007F50BE" w:rsidRPr="1B7D3680">
        <w:rPr>
          <w:color w:val="0D0D0D" w:themeColor="text1" w:themeTint="F2"/>
          <w:sz w:val="24"/>
          <w:szCs w:val="24"/>
        </w:rPr>
        <w:t>(</w:t>
      </w:r>
      <w:proofErr w:type="spellStart"/>
      <w:r w:rsidR="007F50BE">
        <w:rPr>
          <w:color w:val="0D0D0D" w:themeColor="text1" w:themeTint="F2"/>
          <w:sz w:val="24"/>
          <w:szCs w:val="24"/>
        </w:rPr>
        <w:fldChar w:fldCharType="begin"/>
      </w:r>
      <w:r w:rsidR="007F50BE">
        <w:rPr>
          <w:color w:val="0D0D0D" w:themeColor="text1" w:themeTint="F2"/>
          <w:sz w:val="24"/>
          <w:szCs w:val="24"/>
        </w:rPr>
        <w:instrText>HYPERLINK "https://pubmed.ncbi.nlm.nih.gov/33355268/"</w:instrText>
      </w:r>
      <w:r w:rsidR="007F50BE">
        <w:rPr>
          <w:color w:val="0D0D0D" w:themeColor="text1" w:themeTint="F2"/>
          <w:sz w:val="24"/>
          <w:szCs w:val="24"/>
        </w:rPr>
      </w:r>
      <w:r w:rsidR="007F50BE">
        <w:rPr>
          <w:color w:val="0D0D0D" w:themeColor="text1" w:themeTint="F2"/>
          <w:sz w:val="24"/>
          <w:szCs w:val="24"/>
        </w:rPr>
        <w:fldChar w:fldCharType="separate"/>
      </w:r>
      <w:r w:rsidR="007F50BE" w:rsidRPr="003B3219">
        <w:rPr>
          <w:rStyle w:val="Hipervnculo"/>
          <w:sz w:val="24"/>
          <w:szCs w:val="24"/>
        </w:rPr>
        <w:t>Dunkle</w:t>
      </w:r>
      <w:proofErr w:type="spellEnd"/>
      <w:r w:rsidR="007F50BE" w:rsidRPr="003B3219">
        <w:rPr>
          <w:rStyle w:val="Hipervnculo"/>
          <w:sz w:val="24"/>
          <w:szCs w:val="24"/>
        </w:rPr>
        <w:t xml:space="preserve"> et al.</w:t>
      </w:r>
      <w:r w:rsidR="007F50BE" w:rsidRPr="003B3219">
        <w:rPr>
          <w:rStyle w:val="Hipervnculo"/>
          <w:sz w:val="24"/>
          <w:szCs w:val="24"/>
        </w:rPr>
        <w:t>,</w:t>
      </w:r>
      <w:r w:rsidR="007F50BE" w:rsidRPr="003B3219">
        <w:rPr>
          <w:rStyle w:val="Hipervnculo"/>
          <w:sz w:val="24"/>
          <w:szCs w:val="24"/>
        </w:rPr>
        <w:t xml:space="preserve"> 2020</w:t>
      </w:r>
      <w:r w:rsidR="007F50BE">
        <w:rPr>
          <w:color w:val="0D0D0D" w:themeColor="text1" w:themeTint="F2"/>
          <w:sz w:val="24"/>
          <w:szCs w:val="24"/>
        </w:rPr>
        <w:fldChar w:fldCharType="end"/>
      </w:r>
      <w:r w:rsidR="007F50BE">
        <w:rPr>
          <w:color w:val="0D0D0D" w:themeColor="text1" w:themeTint="F2"/>
          <w:sz w:val="24"/>
          <w:szCs w:val="24"/>
        </w:rPr>
        <w:t xml:space="preserve">; </w:t>
      </w:r>
      <w:hyperlink r:id="rId8" w:history="1">
        <w:r w:rsidR="003850B3">
          <w:rPr>
            <w:rStyle w:val="Hipervnculo"/>
            <w:sz w:val="24"/>
            <w:szCs w:val="24"/>
          </w:rPr>
          <w:t>Doyle et al.</w:t>
        </w:r>
        <w:r w:rsidR="003850B3">
          <w:rPr>
            <w:rStyle w:val="Hipervnculo"/>
            <w:sz w:val="24"/>
            <w:szCs w:val="24"/>
          </w:rPr>
          <w:t>,</w:t>
        </w:r>
        <w:r w:rsidR="003850B3">
          <w:rPr>
            <w:rStyle w:val="Hipervnculo"/>
            <w:sz w:val="24"/>
            <w:szCs w:val="24"/>
          </w:rPr>
          <w:t xml:space="preserve"> 2018;</w:t>
        </w:r>
      </w:hyperlink>
      <w:r w:rsidR="007F50BE">
        <w:rPr>
          <w:color w:val="0D0D0D" w:themeColor="text1" w:themeTint="F2"/>
          <w:sz w:val="24"/>
          <w:szCs w:val="24"/>
        </w:rPr>
        <w:t xml:space="preserve"> </w:t>
      </w:r>
      <w:hyperlink r:id="rId9" w:history="1">
        <w:r w:rsidR="007F50BE">
          <w:rPr>
            <w:rStyle w:val="Hipervnculo"/>
            <w:sz w:val="24"/>
            <w:szCs w:val="24"/>
          </w:rPr>
          <w:t>Murray a</w:t>
        </w:r>
        <w:r w:rsidR="007F50BE">
          <w:rPr>
            <w:rStyle w:val="Hipervnculo"/>
            <w:sz w:val="24"/>
            <w:szCs w:val="24"/>
          </w:rPr>
          <w:t>t</w:t>
        </w:r>
        <w:r w:rsidR="007F50BE">
          <w:rPr>
            <w:rStyle w:val="Hipervnculo"/>
            <w:sz w:val="24"/>
            <w:szCs w:val="24"/>
          </w:rPr>
          <w:t xml:space="preserve"> al., 2020)</w:t>
        </w:r>
      </w:hyperlink>
      <w:r w:rsidR="007F50BE">
        <w:rPr>
          <w:rFonts w:ascii="Calibri" w:eastAsia="Calibri" w:hAnsi="Calibri" w:cs="Calibri"/>
          <w:color w:val="2F5496" w:themeColor="accent1" w:themeShade="BF"/>
          <w:sz w:val="28"/>
          <w:szCs w:val="28"/>
        </w:rPr>
        <w:t xml:space="preserve"> </w:t>
      </w:r>
      <w:r w:rsidRPr="0089400F">
        <w:rPr>
          <w:rFonts w:ascii="Calibri" w:eastAsia="Calibri" w:hAnsi="Calibri" w:cs="Calibri"/>
          <w:b/>
          <w:bCs/>
          <w:color w:val="2F5496" w:themeColor="accent1" w:themeShade="BF"/>
          <w:sz w:val="24"/>
          <w:szCs w:val="24"/>
          <w:lang w:val="es-ES"/>
        </w:rPr>
        <w:t>podría significar una baja de [X] casos de violencia en el año</w:t>
      </w:r>
      <w:r w:rsidRPr="1B7D3680">
        <w:rPr>
          <w:rFonts w:ascii="Calibri" w:eastAsia="Calibri" w:hAnsi="Calibri" w:cs="Calibri"/>
          <w:color w:val="000000" w:themeColor="text1"/>
          <w:sz w:val="24"/>
          <w:szCs w:val="24"/>
          <w:lang w:val="es-ES"/>
        </w:rPr>
        <w:t xml:space="preserve"> (considerando las denuncias del año 2023). </w:t>
      </w:r>
    </w:p>
    <w:p w14:paraId="1F19758F" w14:textId="77777777" w:rsidR="0089400F" w:rsidRDefault="0089400F" w:rsidP="0089400F">
      <w:pPr>
        <w:spacing w:line="276" w:lineRule="auto"/>
        <w:jc w:val="both"/>
      </w:pPr>
      <w:r w:rsidRPr="1B7D3680">
        <w:rPr>
          <w:rFonts w:ascii="Calibri" w:eastAsia="Calibri" w:hAnsi="Calibri" w:cs="Calibri"/>
          <w:color w:val="000000" w:themeColor="text1"/>
          <w:sz w:val="24"/>
          <w:szCs w:val="24"/>
          <w:lang w:val="es-ES"/>
        </w:rPr>
        <w:t>Es importante señalar que estos resultados son estimaciones basadas en estudios previos; los resultados reales en [MUNICIPIO] pueden variar debido a factores locales y contextuales específicos.</w:t>
      </w:r>
      <w:r w:rsidRPr="1B7D3680">
        <w:rPr>
          <w:rFonts w:ascii="Calibri" w:eastAsia="Calibri" w:hAnsi="Calibri" w:cs="Calibri"/>
          <w:sz w:val="24"/>
          <w:szCs w:val="24"/>
          <w:lang w:val="es-ES"/>
        </w:rPr>
        <w:t xml:space="preserve"> </w:t>
      </w:r>
    </w:p>
    <w:p w14:paraId="62BD4F37" w14:textId="38ADB5BE" w:rsidR="00B639FD" w:rsidRPr="00B639FD" w:rsidRDefault="1B7D3680" w:rsidP="76DFDB16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 w:rsidRPr="1B7D3680">
        <w:rPr>
          <w:rFonts w:ascii="Calibri" w:eastAsia="Calibri" w:hAnsi="Calibri" w:cs="Calibri"/>
          <w:b/>
          <w:bCs/>
          <w:color w:val="C45911" w:themeColor="accent2" w:themeShade="BF"/>
          <w:sz w:val="28"/>
          <w:szCs w:val="28"/>
          <w:lang w:val="es-ES"/>
        </w:rPr>
        <w:t xml:space="preserve">¿Qué puede hacer el municipio? </w:t>
      </w:r>
      <w:r w:rsidRPr="1B7D3680">
        <w:rPr>
          <w:rFonts w:ascii="Calibri" w:eastAsia="Calibri" w:hAnsi="Calibri" w:cs="Calibri"/>
          <w:color w:val="000000" w:themeColor="text1"/>
          <w:sz w:val="24"/>
          <w:szCs w:val="24"/>
          <w:lang w:val="es-ES"/>
        </w:rPr>
        <w:t>Los municipios pueden llevar adelante estos programas de manera independiente (con los profesionales adecuados) o junto con organizaciones de la sociedad civil especializadas en el tema, ofreciéndolos y promoviendo la participación de las parejas de la comunidad.</w:t>
      </w:r>
    </w:p>
    <w:p w14:paraId="6A3317F6" w14:textId="7A1BFFE8" w:rsidR="76DFDB16" w:rsidRDefault="76DFDB16" w:rsidP="76DFDB16">
      <w:pPr>
        <w:spacing w:line="276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  <w:highlight w:val="yellow"/>
          <w:lang w:val="es-ES"/>
        </w:rPr>
      </w:pPr>
    </w:p>
    <w:p w14:paraId="4575B2C8" w14:textId="0FD1F1CE" w:rsidR="0026693F" w:rsidRDefault="005814A4" w:rsidP="1B7D3680">
      <w:pPr>
        <w:spacing w:line="276" w:lineRule="auto"/>
        <w:jc w:val="both"/>
        <w:rPr>
          <w:rFonts w:ascii="Calibri" w:eastAsia="Calibri" w:hAnsi="Calibri" w:cs="Calibri"/>
          <w:color w:val="2F5496" w:themeColor="accent1" w:themeShade="BF"/>
          <w:sz w:val="28"/>
          <w:szCs w:val="28"/>
          <w:lang w:val="es-ES"/>
        </w:rPr>
      </w:pPr>
      <w:r w:rsidRPr="00A03B90">
        <w:rPr>
          <w:b/>
          <w:bCs/>
          <w:color w:val="C45911" w:themeColor="accent2" w:themeShade="BF"/>
          <w:sz w:val="28"/>
          <w:szCs w:val="28"/>
          <w:lang w:val="es-ES"/>
        </w:rPr>
        <w:t>¿Cuál es su efectividad?</w:t>
      </w:r>
      <w:r w:rsidRPr="00A03B90">
        <w:rPr>
          <w:color w:val="C45911" w:themeColor="accent2" w:themeShade="BF"/>
          <w:sz w:val="24"/>
          <w:szCs w:val="24"/>
          <w:lang w:val="es-ES"/>
        </w:rPr>
        <w:t xml:space="preserve"> </w:t>
      </w:r>
      <w:bookmarkEnd w:id="0"/>
      <w:r w:rsidR="004F376F" w:rsidRPr="00A03B90">
        <w:rPr>
          <w:sz w:val="24"/>
          <w:szCs w:val="24"/>
          <w:lang w:val="es-ES"/>
        </w:rPr>
        <w:t xml:space="preserve">Los programas </w:t>
      </w:r>
      <w:r w:rsidR="00A03B90">
        <w:rPr>
          <w:sz w:val="24"/>
          <w:szCs w:val="24"/>
          <w:lang w:val="es-ES"/>
        </w:rPr>
        <w:t xml:space="preserve">con parejas han </w:t>
      </w:r>
      <w:r w:rsidR="358A3FC7" w:rsidRPr="1B7D3680">
        <w:rPr>
          <w:rFonts w:ascii="Calibri" w:eastAsia="Calibri" w:hAnsi="Calibri" w:cs="Calibri"/>
          <w:color w:val="000000" w:themeColor="text1"/>
          <w:sz w:val="24"/>
          <w:szCs w:val="24"/>
          <w:lang w:val="es-ES"/>
        </w:rPr>
        <w:t xml:space="preserve">demostrado haber sido </w:t>
      </w:r>
      <w:r w:rsidR="358A3FC7" w:rsidRPr="1B7D3680">
        <w:rPr>
          <w:rFonts w:ascii="Calibri" w:eastAsia="Calibri" w:hAnsi="Calibri" w:cs="Calibri"/>
          <w:b/>
          <w:bCs/>
          <w:color w:val="2F5496" w:themeColor="accent1" w:themeShade="BF"/>
          <w:sz w:val="28"/>
          <w:szCs w:val="28"/>
          <w:u w:val="single"/>
          <w:lang w:val="es-ES"/>
        </w:rPr>
        <w:t>efectivos</w:t>
      </w:r>
      <w:r w:rsidR="358A3FC7" w:rsidRPr="1B7D3680">
        <w:rPr>
          <w:rFonts w:ascii="Calibri" w:eastAsia="Calibri" w:hAnsi="Calibri" w:cs="Calibri"/>
          <w:b/>
          <w:bCs/>
          <w:color w:val="2F5496" w:themeColor="accent1" w:themeShade="BF"/>
          <w:sz w:val="28"/>
          <w:szCs w:val="28"/>
          <w:lang w:val="es-ES"/>
        </w:rPr>
        <w:t xml:space="preserve"> </w:t>
      </w:r>
      <w:r w:rsidR="358A3FC7" w:rsidRPr="1B7D3680">
        <w:rPr>
          <w:rFonts w:ascii="Calibri" w:eastAsia="Calibri" w:hAnsi="Calibri" w:cs="Calibri"/>
          <w:color w:val="000000" w:themeColor="text1"/>
          <w:sz w:val="24"/>
          <w:szCs w:val="24"/>
          <w:lang w:val="es-ES"/>
        </w:rPr>
        <w:t xml:space="preserve">para </w:t>
      </w:r>
      <w:r w:rsidR="358A3FC7" w:rsidRPr="1B7D3680">
        <w:rPr>
          <w:rFonts w:ascii="Calibri" w:eastAsia="Calibri" w:hAnsi="Calibri" w:cs="Calibri"/>
          <w:b/>
          <w:bCs/>
          <w:color w:val="2F5496" w:themeColor="accent1" w:themeShade="BF"/>
          <w:sz w:val="28"/>
          <w:szCs w:val="28"/>
          <w:lang w:val="es-ES"/>
        </w:rPr>
        <w:t>reducir la violencia contra las mujeres</w:t>
      </w:r>
      <w:r w:rsidR="358A3FC7" w:rsidRPr="1B7D3680">
        <w:rPr>
          <w:rFonts w:ascii="Calibri" w:eastAsia="Calibri" w:hAnsi="Calibri" w:cs="Calibri"/>
          <w:color w:val="000000" w:themeColor="text1"/>
          <w:sz w:val="24"/>
          <w:szCs w:val="24"/>
          <w:lang w:val="es-ES"/>
        </w:rPr>
        <w:t>.</w:t>
      </w:r>
      <w:r w:rsidR="358A3FC7" w:rsidRPr="358A3FC7">
        <w:rPr>
          <w:rFonts w:ascii="Calibri" w:eastAsia="Calibri" w:hAnsi="Calibri" w:cs="Calibri"/>
          <w:sz w:val="24"/>
          <w:szCs w:val="24"/>
          <w:lang w:val="es-ES"/>
        </w:rPr>
        <w:t xml:space="preserve"> En lugares donde se han implementado y evaluado, l</w:t>
      </w:r>
      <w:r w:rsidR="1B7D3680" w:rsidRPr="1B7D3680">
        <w:rPr>
          <w:color w:val="0D0D0D" w:themeColor="text1" w:themeTint="F2"/>
          <w:sz w:val="24"/>
          <w:szCs w:val="24"/>
        </w:rPr>
        <w:t>a evidencia señala que programas que trabajan directamente con grupos de pareja han reducido la violencia física y sexual de pareja contra la mujer</w:t>
      </w:r>
      <w:r w:rsidR="000D6F4D">
        <w:rPr>
          <w:color w:val="0D0D0D" w:themeColor="text1" w:themeTint="F2"/>
          <w:sz w:val="24"/>
          <w:szCs w:val="24"/>
        </w:rPr>
        <w:t xml:space="preserve"> entre un 27</w:t>
      </w:r>
      <w:r w:rsidR="1B7D3680" w:rsidRPr="1B7D3680">
        <w:rPr>
          <w:color w:val="0D0D0D" w:themeColor="text1" w:themeTint="F2"/>
          <w:sz w:val="24"/>
          <w:szCs w:val="24"/>
        </w:rPr>
        <w:t>%</w:t>
      </w:r>
      <w:r w:rsidR="000D6F4D">
        <w:rPr>
          <w:color w:val="0D0D0D" w:themeColor="text1" w:themeTint="F2"/>
          <w:sz w:val="24"/>
          <w:szCs w:val="24"/>
        </w:rPr>
        <w:t xml:space="preserve"> a un 48%</w:t>
      </w:r>
      <w:r w:rsidR="00CD4202">
        <w:rPr>
          <w:color w:val="0D0D0D" w:themeColor="text1" w:themeTint="F2"/>
          <w:sz w:val="24"/>
          <w:szCs w:val="24"/>
        </w:rPr>
        <w:t xml:space="preserve"> </w:t>
      </w:r>
      <w:r w:rsidR="1B7D3680" w:rsidRPr="1B7D3680">
        <w:rPr>
          <w:color w:val="0D0D0D" w:themeColor="text1" w:themeTint="F2"/>
          <w:sz w:val="24"/>
          <w:szCs w:val="24"/>
        </w:rPr>
        <w:t>(</w:t>
      </w:r>
      <w:proofErr w:type="spellStart"/>
      <w:r w:rsidR="003B3219">
        <w:rPr>
          <w:color w:val="0D0D0D" w:themeColor="text1" w:themeTint="F2"/>
          <w:sz w:val="24"/>
          <w:szCs w:val="24"/>
        </w:rPr>
        <w:fldChar w:fldCharType="begin"/>
      </w:r>
      <w:r w:rsidR="003B3219">
        <w:rPr>
          <w:color w:val="0D0D0D" w:themeColor="text1" w:themeTint="F2"/>
          <w:sz w:val="24"/>
          <w:szCs w:val="24"/>
        </w:rPr>
        <w:instrText>HYPERLINK "https://pubmed.ncbi.nlm.nih.gov/33355268/"</w:instrText>
      </w:r>
      <w:r w:rsidR="003B3219">
        <w:rPr>
          <w:color w:val="0D0D0D" w:themeColor="text1" w:themeTint="F2"/>
          <w:sz w:val="24"/>
          <w:szCs w:val="24"/>
        </w:rPr>
      </w:r>
      <w:r w:rsidR="003B3219">
        <w:rPr>
          <w:color w:val="0D0D0D" w:themeColor="text1" w:themeTint="F2"/>
          <w:sz w:val="24"/>
          <w:szCs w:val="24"/>
        </w:rPr>
        <w:fldChar w:fldCharType="separate"/>
      </w:r>
      <w:r w:rsidR="00C24BCA" w:rsidRPr="003B3219">
        <w:rPr>
          <w:rStyle w:val="Hipervnculo"/>
          <w:sz w:val="24"/>
          <w:szCs w:val="24"/>
        </w:rPr>
        <w:t>Dunkle</w:t>
      </w:r>
      <w:proofErr w:type="spellEnd"/>
      <w:r w:rsidR="003B3219" w:rsidRPr="003B3219">
        <w:rPr>
          <w:rStyle w:val="Hipervnculo"/>
          <w:sz w:val="24"/>
          <w:szCs w:val="24"/>
        </w:rPr>
        <w:t xml:space="preserve"> et al., 2020</w:t>
      </w:r>
      <w:r w:rsidR="003B3219">
        <w:rPr>
          <w:color w:val="0D0D0D" w:themeColor="text1" w:themeTint="F2"/>
          <w:sz w:val="24"/>
          <w:szCs w:val="24"/>
        </w:rPr>
        <w:fldChar w:fldCharType="end"/>
      </w:r>
      <w:r w:rsidR="003B3219">
        <w:rPr>
          <w:color w:val="0D0D0D" w:themeColor="text1" w:themeTint="F2"/>
          <w:sz w:val="24"/>
          <w:szCs w:val="24"/>
        </w:rPr>
        <w:t xml:space="preserve">; </w:t>
      </w:r>
      <w:hyperlink r:id="rId10" w:history="1">
        <w:r w:rsidR="00DE3124" w:rsidRPr="00D7771C">
          <w:rPr>
            <w:rStyle w:val="Hipervnculo"/>
            <w:sz w:val="24"/>
            <w:szCs w:val="24"/>
          </w:rPr>
          <w:t xml:space="preserve">Doyle et al., </w:t>
        </w:r>
        <w:r w:rsidR="00317767" w:rsidRPr="00D7771C">
          <w:rPr>
            <w:rStyle w:val="Hipervnculo"/>
            <w:sz w:val="24"/>
            <w:szCs w:val="24"/>
          </w:rPr>
          <w:t>2018</w:t>
        </w:r>
      </w:hyperlink>
      <w:r w:rsidR="00317767">
        <w:rPr>
          <w:color w:val="0D0D0D" w:themeColor="text1" w:themeTint="F2"/>
          <w:sz w:val="24"/>
          <w:szCs w:val="24"/>
        </w:rPr>
        <w:t xml:space="preserve">; </w:t>
      </w:r>
      <w:hyperlink r:id="rId11" w:history="1">
        <w:r w:rsidR="004801B2">
          <w:rPr>
            <w:rStyle w:val="Hipervnculo"/>
            <w:sz w:val="24"/>
            <w:szCs w:val="24"/>
          </w:rPr>
          <w:t>Murray at al., 2020)</w:t>
        </w:r>
      </w:hyperlink>
    </w:p>
    <w:p w14:paraId="5E4D6D51" w14:textId="25BC9EFE" w:rsidR="00C07984" w:rsidRPr="003E6343" w:rsidRDefault="1B7D3680" w:rsidP="00C07984">
      <w:pPr>
        <w:rPr>
          <w:b/>
          <w:bCs/>
          <w:color w:val="C45911" w:themeColor="accent2" w:themeShade="BF"/>
          <w:sz w:val="28"/>
          <w:szCs w:val="28"/>
          <w:lang w:val="es-ES"/>
        </w:rPr>
      </w:pPr>
      <w:r w:rsidRPr="1B7D3680">
        <w:rPr>
          <w:b/>
          <w:bCs/>
          <w:color w:val="C45911" w:themeColor="accent2" w:themeShade="BF"/>
          <w:sz w:val="28"/>
          <w:szCs w:val="28"/>
          <w:lang w:val="es-ES"/>
        </w:rPr>
        <w:t>¿Cómo los talleres para parejas podrían reducir la violencia de pareja contra las mujeres?</w:t>
      </w:r>
    </w:p>
    <w:p w14:paraId="59EC0898" w14:textId="0EE6D4C9" w:rsidR="00C07984" w:rsidRPr="00C07984" w:rsidRDefault="1B7D3680" w:rsidP="1B7D3680">
      <w:pPr>
        <w:pStyle w:val="Prrafodelista"/>
        <w:numPr>
          <w:ilvl w:val="0"/>
          <w:numId w:val="1"/>
        </w:numPr>
        <w:spacing w:line="276" w:lineRule="auto"/>
        <w:jc w:val="both"/>
        <w:rPr>
          <w:color w:val="0D0D0D" w:themeColor="text1" w:themeTint="F2"/>
          <w:sz w:val="24"/>
          <w:szCs w:val="24"/>
        </w:rPr>
      </w:pPr>
      <w:r w:rsidRPr="1B7D3680">
        <w:rPr>
          <w:rFonts w:eastAsiaTheme="minorEastAsia"/>
          <w:color w:val="0D0D0D" w:themeColor="text1" w:themeTint="F2"/>
          <w:sz w:val="24"/>
          <w:szCs w:val="24"/>
        </w:rPr>
        <w:t>Los talleres pueden incrementar la comprensión sobre los derechos de las mujeres y los beneficios de la igualdad de género, lo que es fundamental para disminuir la violencia de género.</w:t>
      </w:r>
    </w:p>
    <w:p w14:paraId="136B3BC1" w14:textId="3B2F8F80" w:rsidR="00C07984" w:rsidRPr="00C07984" w:rsidRDefault="1B7D3680" w:rsidP="1B7D3680">
      <w:pPr>
        <w:pStyle w:val="Prrafodelista"/>
        <w:numPr>
          <w:ilvl w:val="0"/>
          <w:numId w:val="1"/>
        </w:numPr>
        <w:shd w:val="clear" w:color="auto" w:fill="FFFFFF" w:themeFill="background1"/>
        <w:spacing w:after="0" w:line="276" w:lineRule="auto"/>
        <w:ind w:right="-20"/>
        <w:rPr>
          <w:color w:val="0D0D0D" w:themeColor="text1" w:themeTint="F2"/>
          <w:sz w:val="24"/>
          <w:szCs w:val="24"/>
        </w:rPr>
      </w:pPr>
      <w:r w:rsidRPr="1B7D3680">
        <w:rPr>
          <w:rFonts w:eastAsiaTheme="minorEastAsia"/>
          <w:color w:val="0D0D0D" w:themeColor="text1" w:themeTint="F2"/>
          <w:sz w:val="24"/>
          <w:szCs w:val="24"/>
        </w:rPr>
        <w:lastRenderedPageBreak/>
        <w:t>Mediante la adquisición de técnicas para resolver desacuerdos sin violencia, se puede reducir la tensión en las relaciones, abordando así uno de los factores críticos que pueden llevar a la violencia.</w:t>
      </w:r>
    </w:p>
    <w:p w14:paraId="0EDD05AC" w14:textId="1EFBEB79" w:rsidR="00C07984" w:rsidRPr="00C07984" w:rsidRDefault="1B7D3680" w:rsidP="1B7D3680">
      <w:pPr>
        <w:pStyle w:val="Prrafodelista"/>
        <w:numPr>
          <w:ilvl w:val="0"/>
          <w:numId w:val="1"/>
        </w:numPr>
        <w:shd w:val="clear" w:color="auto" w:fill="FFFFFF" w:themeFill="background1"/>
        <w:spacing w:after="0" w:line="276" w:lineRule="auto"/>
        <w:ind w:right="-20"/>
        <w:rPr>
          <w:color w:val="0D0D0D" w:themeColor="text1" w:themeTint="F2"/>
          <w:sz w:val="24"/>
          <w:szCs w:val="24"/>
        </w:rPr>
      </w:pPr>
      <w:r w:rsidRPr="1B7D3680">
        <w:rPr>
          <w:rFonts w:eastAsiaTheme="minorEastAsia"/>
          <w:color w:val="0D0D0D" w:themeColor="text1" w:themeTint="F2"/>
          <w:sz w:val="24"/>
          <w:szCs w:val="24"/>
        </w:rPr>
        <w:t>El fortalecimiento de las habilidades comunicativas puede ayudar a que las parejas aborden sus problemas de forma respetuosa y comprendan mejor las perspectivas del otro, evitando escaladas que puedan resultar en violencia.</w:t>
      </w:r>
    </w:p>
    <w:sectPr w:rsidR="00C07984" w:rsidRPr="00C0798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030FC7" w14:textId="77777777" w:rsidR="00BE2344" w:rsidRDefault="00BE2344" w:rsidP="002A722F">
      <w:pPr>
        <w:spacing w:after="0" w:line="240" w:lineRule="auto"/>
      </w:pPr>
      <w:r>
        <w:separator/>
      </w:r>
    </w:p>
  </w:endnote>
  <w:endnote w:type="continuationSeparator" w:id="0">
    <w:p w14:paraId="04D5C786" w14:textId="77777777" w:rsidR="00BE2344" w:rsidRDefault="00BE2344" w:rsidP="002A722F">
      <w:pPr>
        <w:spacing w:after="0" w:line="240" w:lineRule="auto"/>
      </w:pPr>
      <w:r>
        <w:continuationSeparator/>
      </w:r>
    </w:p>
  </w:endnote>
  <w:endnote w:type="continuationNotice" w:id="1">
    <w:p w14:paraId="6B7E4210" w14:textId="77777777" w:rsidR="00BE2344" w:rsidRDefault="00BE234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F1F99C" w14:textId="77777777" w:rsidR="00BE2344" w:rsidRDefault="00BE2344" w:rsidP="002A722F">
      <w:pPr>
        <w:spacing w:after="0" w:line="240" w:lineRule="auto"/>
      </w:pPr>
      <w:r>
        <w:separator/>
      </w:r>
    </w:p>
  </w:footnote>
  <w:footnote w:type="continuationSeparator" w:id="0">
    <w:p w14:paraId="0A36DCA8" w14:textId="77777777" w:rsidR="00BE2344" w:rsidRDefault="00BE2344" w:rsidP="002A722F">
      <w:pPr>
        <w:spacing w:after="0" w:line="240" w:lineRule="auto"/>
      </w:pPr>
      <w:r>
        <w:continuationSeparator/>
      </w:r>
    </w:p>
  </w:footnote>
  <w:footnote w:type="continuationNotice" w:id="1">
    <w:p w14:paraId="3F2BB9B6" w14:textId="77777777" w:rsidR="00BE2344" w:rsidRDefault="00BE234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D672A"/>
    <w:multiLevelType w:val="multilevel"/>
    <w:tmpl w:val="23003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8E613EB"/>
    <w:multiLevelType w:val="hybridMultilevel"/>
    <w:tmpl w:val="C84C96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87BD3"/>
    <w:multiLevelType w:val="hybridMultilevel"/>
    <w:tmpl w:val="BB5EAA8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047F40"/>
    <w:multiLevelType w:val="hybridMultilevel"/>
    <w:tmpl w:val="33AE2A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AF316D"/>
    <w:multiLevelType w:val="hybridMultilevel"/>
    <w:tmpl w:val="DC18080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164511"/>
    <w:multiLevelType w:val="hybridMultilevel"/>
    <w:tmpl w:val="AC6E8F1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584574"/>
    <w:multiLevelType w:val="hybridMultilevel"/>
    <w:tmpl w:val="7EF872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D5470E"/>
    <w:multiLevelType w:val="hybridMultilevel"/>
    <w:tmpl w:val="6BDAFF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F3587E"/>
    <w:multiLevelType w:val="hybridMultilevel"/>
    <w:tmpl w:val="CBA2AF70"/>
    <w:lvl w:ilvl="0" w:tplc="48E04AC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9724D8"/>
    <w:multiLevelType w:val="hybridMultilevel"/>
    <w:tmpl w:val="383CC8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D57083"/>
    <w:multiLevelType w:val="hybridMultilevel"/>
    <w:tmpl w:val="4C6E81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805E84"/>
    <w:multiLevelType w:val="hybridMultilevel"/>
    <w:tmpl w:val="639CE5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E741FA"/>
    <w:multiLevelType w:val="hybridMultilevel"/>
    <w:tmpl w:val="02141998"/>
    <w:lvl w:ilvl="0" w:tplc="330816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08E709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1B20031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F497E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E32B6B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F58FDE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CDCDCB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A1AD4D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112FA6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73786889">
    <w:abstractNumId w:val="12"/>
  </w:num>
  <w:num w:numId="2" w16cid:durableId="400687464">
    <w:abstractNumId w:val="8"/>
  </w:num>
  <w:num w:numId="3" w16cid:durableId="1005090215">
    <w:abstractNumId w:val="10"/>
  </w:num>
  <w:num w:numId="4" w16cid:durableId="431317805">
    <w:abstractNumId w:val="0"/>
  </w:num>
  <w:num w:numId="5" w16cid:durableId="1359047688">
    <w:abstractNumId w:val="6"/>
  </w:num>
  <w:num w:numId="6" w16cid:durableId="751588409">
    <w:abstractNumId w:val="9"/>
  </w:num>
  <w:num w:numId="7" w16cid:durableId="1272324736">
    <w:abstractNumId w:val="7"/>
  </w:num>
  <w:num w:numId="8" w16cid:durableId="1860774619">
    <w:abstractNumId w:val="5"/>
  </w:num>
  <w:num w:numId="9" w16cid:durableId="2021465620">
    <w:abstractNumId w:val="4"/>
  </w:num>
  <w:num w:numId="10" w16cid:durableId="1668707976">
    <w:abstractNumId w:val="3"/>
  </w:num>
  <w:num w:numId="11" w16cid:durableId="1119032076">
    <w:abstractNumId w:val="11"/>
  </w:num>
  <w:num w:numId="12" w16cid:durableId="1517381732">
    <w:abstractNumId w:val="1"/>
  </w:num>
  <w:num w:numId="13" w16cid:durableId="2210191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2B2"/>
    <w:rsid w:val="00007D37"/>
    <w:rsid w:val="000355E4"/>
    <w:rsid w:val="000501F0"/>
    <w:rsid w:val="000524A3"/>
    <w:rsid w:val="000604CA"/>
    <w:rsid w:val="000B6CD9"/>
    <w:rsid w:val="000D6F4D"/>
    <w:rsid w:val="000E3E36"/>
    <w:rsid w:val="000F4996"/>
    <w:rsid w:val="00103F37"/>
    <w:rsid w:val="001061F4"/>
    <w:rsid w:val="00120E33"/>
    <w:rsid w:val="0013159E"/>
    <w:rsid w:val="001504CB"/>
    <w:rsid w:val="001A0A70"/>
    <w:rsid w:val="001F4E96"/>
    <w:rsid w:val="002315DA"/>
    <w:rsid w:val="00251266"/>
    <w:rsid w:val="00253DFF"/>
    <w:rsid w:val="0026693F"/>
    <w:rsid w:val="002771E2"/>
    <w:rsid w:val="002A722F"/>
    <w:rsid w:val="002B6DF1"/>
    <w:rsid w:val="002D2083"/>
    <w:rsid w:val="002D211E"/>
    <w:rsid w:val="002E6872"/>
    <w:rsid w:val="00300805"/>
    <w:rsid w:val="00317767"/>
    <w:rsid w:val="00365B77"/>
    <w:rsid w:val="00382D78"/>
    <w:rsid w:val="003850B3"/>
    <w:rsid w:val="003864EF"/>
    <w:rsid w:val="003A259D"/>
    <w:rsid w:val="003B3219"/>
    <w:rsid w:val="003B73E4"/>
    <w:rsid w:val="003D28B9"/>
    <w:rsid w:val="003E6343"/>
    <w:rsid w:val="00406A20"/>
    <w:rsid w:val="0044498C"/>
    <w:rsid w:val="00461DCC"/>
    <w:rsid w:val="004674DA"/>
    <w:rsid w:val="0047591B"/>
    <w:rsid w:val="004801B2"/>
    <w:rsid w:val="00492DF0"/>
    <w:rsid w:val="004F376F"/>
    <w:rsid w:val="00522BB3"/>
    <w:rsid w:val="005241B3"/>
    <w:rsid w:val="0052559C"/>
    <w:rsid w:val="00563EFE"/>
    <w:rsid w:val="005814A4"/>
    <w:rsid w:val="00597B68"/>
    <w:rsid w:val="005A7F2D"/>
    <w:rsid w:val="005B415A"/>
    <w:rsid w:val="005C35BE"/>
    <w:rsid w:val="005E7F0F"/>
    <w:rsid w:val="006019F6"/>
    <w:rsid w:val="006507F8"/>
    <w:rsid w:val="00677AB8"/>
    <w:rsid w:val="006D073B"/>
    <w:rsid w:val="006D1A7C"/>
    <w:rsid w:val="006D6BE6"/>
    <w:rsid w:val="00714877"/>
    <w:rsid w:val="007900D4"/>
    <w:rsid w:val="007966FA"/>
    <w:rsid w:val="007F3C5E"/>
    <w:rsid w:val="007F50BE"/>
    <w:rsid w:val="008160ED"/>
    <w:rsid w:val="00822D02"/>
    <w:rsid w:val="00870674"/>
    <w:rsid w:val="008749A6"/>
    <w:rsid w:val="00875C88"/>
    <w:rsid w:val="0089400F"/>
    <w:rsid w:val="008B293E"/>
    <w:rsid w:val="00902DB8"/>
    <w:rsid w:val="00924523"/>
    <w:rsid w:val="0094018B"/>
    <w:rsid w:val="00966C2C"/>
    <w:rsid w:val="009B3C5E"/>
    <w:rsid w:val="009C04EA"/>
    <w:rsid w:val="009E4CAD"/>
    <w:rsid w:val="009E7936"/>
    <w:rsid w:val="00A032AD"/>
    <w:rsid w:val="00A0338E"/>
    <w:rsid w:val="00A03B90"/>
    <w:rsid w:val="00A07E4F"/>
    <w:rsid w:val="00A24E8B"/>
    <w:rsid w:val="00A2525D"/>
    <w:rsid w:val="00A54F7E"/>
    <w:rsid w:val="00A93E95"/>
    <w:rsid w:val="00AA6575"/>
    <w:rsid w:val="00AC7A88"/>
    <w:rsid w:val="00AD2216"/>
    <w:rsid w:val="00AE540C"/>
    <w:rsid w:val="00B4369D"/>
    <w:rsid w:val="00B639FD"/>
    <w:rsid w:val="00B66D1E"/>
    <w:rsid w:val="00B8688E"/>
    <w:rsid w:val="00BE04D8"/>
    <w:rsid w:val="00BE2344"/>
    <w:rsid w:val="00C07984"/>
    <w:rsid w:val="00C12A2D"/>
    <w:rsid w:val="00C24BCA"/>
    <w:rsid w:val="00C31145"/>
    <w:rsid w:val="00C35E47"/>
    <w:rsid w:val="00C40F4F"/>
    <w:rsid w:val="00C70E2A"/>
    <w:rsid w:val="00C72388"/>
    <w:rsid w:val="00CC6BF6"/>
    <w:rsid w:val="00CD4202"/>
    <w:rsid w:val="00D0218B"/>
    <w:rsid w:val="00D232B2"/>
    <w:rsid w:val="00D67EAE"/>
    <w:rsid w:val="00D73DC5"/>
    <w:rsid w:val="00D7771C"/>
    <w:rsid w:val="00D93657"/>
    <w:rsid w:val="00DE3124"/>
    <w:rsid w:val="00E058CA"/>
    <w:rsid w:val="00E17D57"/>
    <w:rsid w:val="00E3744E"/>
    <w:rsid w:val="00E45484"/>
    <w:rsid w:val="00E5591C"/>
    <w:rsid w:val="00E5770C"/>
    <w:rsid w:val="00E65241"/>
    <w:rsid w:val="00E80E0F"/>
    <w:rsid w:val="00EF346D"/>
    <w:rsid w:val="00F22B13"/>
    <w:rsid w:val="00F41EA9"/>
    <w:rsid w:val="00F45470"/>
    <w:rsid w:val="00F50742"/>
    <w:rsid w:val="00F54FFE"/>
    <w:rsid w:val="00F60840"/>
    <w:rsid w:val="00FA6DD1"/>
    <w:rsid w:val="00FB2999"/>
    <w:rsid w:val="0DFD2F31"/>
    <w:rsid w:val="1B7D3680"/>
    <w:rsid w:val="358A3FC7"/>
    <w:rsid w:val="537C2A0D"/>
    <w:rsid w:val="592925F0"/>
    <w:rsid w:val="6E397EC3"/>
    <w:rsid w:val="76DFD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D8F1A"/>
  <w15:chartTrackingRefBased/>
  <w15:docId w15:val="{2F859EDF-0671-4AE5-AC6B-BBE30C4CE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70E2A"/>
    <w:pPr>
      <w:ind w:left="720"/>
      <w:contextualSpacing/>
    </w:p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F54FF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val="es-ES" w:eastAsia="es-ES"/>
      <w14:ligatures w14:val="none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F54FFE"/>
    <w:rPr>
      <w:rFonts w:ascii="Arial" w:eastAsia="Times New Roman" w:hAnsi="Arial" w:cs="Arial"/>
      <w:vanish/>
      <w:kern w:val="0"/>
      <w:sz w:val="16"/>
      <w:szCs w:val="16"/>
      <w:lang w:eastAsia="es-ES"/>
      <w14:ligatures w14:val="non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A722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A722F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A722F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5A7F2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A7F2D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A7F2D"/>
    <w:rPr>
      <w:color w:val="954F72" w:themeColor="followedHyperlink"/>
      <w:u w:val="single"/>
    </w:rPr>
  </w:style>
  <w:style w:type="paragraph" w:styleId="Sinespaciado">
    <w:name w:val="No Spacing"/>
    <w:uiPriority w:val="1"/>
    <w:qFormat/>
    <w:rsid w:val="001061F4"/>
    <w:pPr>
      <w:spacing w:after="0" w:line="240" w:lineRule="auto"/>
    </w:pPr>
    <w:rPr>
      <w:lang w:val="es-CO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sz w:val="20"/>
      <w:szCs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Encabezado">
    <w:name w:val="header"/>
    <w:basedOn w:val="Normal"/>
    <w:link w:val="EncabezadoCar"/>
    <w:uiPriority w:val="99"/>
    <w:semiHidden/>
    <w:unhideWhenUsed/>
    <w:rsid w:val="00902D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02DB8"/>
    <w:rPr>
      <w:lang w:val="es-CO"/>
    </w:rPr>
  </w:style>
  <w:style w:type="paragraph" w:styleId="Piedepgina">
    <w:name w:val="footer"/>
    <w:basedOn w:val="Normal"/>
    <w:link w:val="PiedepginaCar"/>
    <w:uiPriority w:val="99"/>
    <w:semiHidden/>
    <w:unhideWhenUsed/>
    <w:rsid w:val="00902D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02DB8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5771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17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7152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08934977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84220584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21076485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959679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80029975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852840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85507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986011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466315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51068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2140103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56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ubmed.ncbi.nlm.nih.gov/29617375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ubmed.ncbi.nlm.nih.gov/32302308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ubmed.ncbi.nlm.nih.gov/29617375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ubmed.ncbi.nlm.nih.gov/32302308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3D471B-6268-47F8-A8DC-9B9F745FA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435</Words>
  <Characters>2398</Characters>
  <Application>Microsoft Office Word</Application>
  <DocSecurity>0</DocSecurity>
  <Lines>19</Lines>
  <Paragraphs>5</Paragraphs>
  <ScaleCrop>false</ScaleCrop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Hoyos Barba</dc:creator>
  <cp:keywords/>
  <dc:description/>
  <cp:lastModifiedBy>Manuela Hoyos Barba</cp:lastModifiedBy>
  <cp:revision>76</cp:revision>
  <dcterms:created xsi:type="dcterms:W3CDTF">2023-12-05T17:28:00Z</dcterms:created>
  <dcterms:modified xsi:type="dcterms:W3CDTF">2024-04-29T16:00:00Z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7th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</Properties>
</file>