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A1124B" w14:textId="77777777" w:rsidR="00334337" w:rsidRPr="00334337" w:rsidRDefault="00DD3BA0" w:rsidP="00334337">
      <w:pPr>
        <w:shd w:val="clear" w:color="auto" w:fill="FFFFFF"/>
        <w:spacing w:after="0" w:line="240" w:lineRule="auto"/>
        <w:jc w:val="center"/>
        <w:outlineLvl w:val="4"/>
        <w:rPr>
          <w:rFonts w:eastAsia="Times New Roman" w:cstheme="minorHAnsi"/>
          <w:b/>
          <w:bCs/>
          <w:kern w:val="0"/>
          <w:sz w:val="28"/>
          <w:szCs w:val="28"/>
          <w14:ligatures w14:val="none"/>
        </w:rPr>
      </w:pPr>
      <w:hyperlink r:id="rId8" w:history="1">
        <w:r w:rsidR="00334337" w:rsidRPr="00334337">
          <w:rPr>
            <w:rFonts w:eastAsia="Times New Roman" w:cstheme="minorHAnsi"/>
            <w:b/>
            <w:bCs/>
            <w:kern w:val="0"/>
            <w:sz w:val="28"/>
            <w:szCs w:val="28"/>
            <w14:ligatures w14:val="none"/>
          </w:rPr>
          <w:t>RCT of Farmer-Herder Conflict Resolution Mechanisms in Upper West, Ghana</w:t>
        </w:r>
      </w:hyperlink>
    </w:p>
    <w:p w14:paraId="103334E8" w14:textId="77777777" w:rsidR="00DD12A9" w:rsidRPr="005E3B7E" w:rsidRDefault="00DD12A9">
      <w:pPr>
        <w:rPr>
          <w:rFonts w:cstheme="minorHAnsi"/>
        </w:rPr>
      </w:pPr>
    </w:p>
    <w:p w14:paraId="016E24E4" w14:textId="77777777" w:rsidR="00334337" w:rsidRPr="005E3B7E" w:rsidRDefault="00334337" w:rsidP="00334337">
      <w:pPr>
        <w:jc w:val="center"/>
        <w:rPr>
          <w:rFonts w:cstheme="minorHAnsi"/>
          <w:b/>
          <w:bCs/>
        </w:rPr>
      </w:pPr>
      <w:r w:rsidRPr="005E3B7E">
        <w:rPr>
          <w:rFonts w:cstheme="minorHAnsi"/>
          <w:b/>
          <w:bCs/>
        </w:rPr>
        <w:t xml:space="preserve">Pre-Analysis Plan </w:t>
      </w:r>
    </w:p>
    <w:p w14:paraId="4CEA7D1E" w14:textId="165BB40A" w:rsidR="00334337" w:rsidRPr="005E3B7E" w:rsidRDefault="00334337" w:rsidP="00334337">
      <w:pPr>
        <w:jc w:val="center"/>
        <w:rPr>
          <w:rFonts w:cstheme="minorHAnsi"/>
        </w:rPr>
      </w:pPr>
      <w:r w:rsidRPr="005E3B7E">
        <w:rPr>
          <w:rFonts w:cstheme="minorHAnsi"/>
        </w:rPr>
        <w:t xml:space="preserve">Gregory L. Haugan, Alejandro Ome, and </w:t>
      </w:r>
      <w:bookmarkStart w:id="0" w:name="OLE_LINK1"/>
      <w:r w:rsidRPr="005E3B7E">
        <w:rPr>
          <w:rFonts w:cstheme="minorHAnsi"/>
        </w:rPr>
        <w:t xml:space="preserve">Kaderi Noagah Bukari </w:t>
      </w:r>
      <w:bookmarkEnd w:id="0"/>
    </w:p>
    <w:p w14:paraId="1579660A" w14:textId="05BE8622" w:rsidR="00334337" w:rsidRPr="005E3B7E" w:rsidRDefault="00517F1F" w:rsidP="00334337">
      <w:pPr>
        <w:jc w:val="center"/>
        <w:rPr>
          <w:rFonts w:cstheme="minorHAnsi"/>
        </w:rPr>
      </w:pPr>
      <w:r>
        <w:rPr>
          <w:rFonts w:cstheme="minorHAnsi"/>
        </w:rPr>
        <w:t>July</w:t>
      </w:r>
      <w:r w:rsidR="00334337" w:rsidRPr="005E3B7E">
        <w:rPr>
          <w:rFonts w:cstheme="minorHAnsi"/>
        </w:rPr>
        <w:t xml:space="preserve"> </w:t>
      </w:r>
      <w:r>
        <w:rPr>
          <w:rFonts w:cstheme="minorHAnsi"/>
        </w:rPr>
        <w:t>25</w:t>
      </w:r>
      <w:r w:rsidR="00334337" w:rsidRPr="005E3B7E">
        <w:rPr>
          <w:rFonts w:cstheme="minorHAnsi"/>
        </w:rPr>
        <w:t>, 2024</w:t>
      </w:r>
    </w:p>
    <w:p w14:paraId="2D1516C1" w14:textId="77777777" w:rsidR="00334337" w:rsidRDefault="00334337" w:rsidP="00334337"/>
    <w:p w14:paraId="1ABE0B65" w14:textId="07C7D027" w:rsidR="00334337" w:rsidRPr="00782B31" w:rsidRDefault="00334337" w:rsidP="00334337">
      <w:pPr>
        <w:pStyle w:val="ListParagraph"/>
        <w:numPr>
          <w:ilvl w:val="0"/>
          <w:numId w:val="1"/>
        </w:numPr>
        <w:rPr>
          <w:b/>
          <w:bCs/>
        </w:rPr>
      </w:pPr>
      <w:r w:rsidRPr="00782B31">
        <w:rPr>
          <w:b/>
          <w:bCs/>
        </w:rPr>
        <w:t xml:space="preserve">Introduction </w:t>
      </w:r>
    </w:p>
    <w:p w14:paraId="5EF50479" w14:textId="77B65217" w:rsidR="00334337" w:rsidRDefault="00334337" w:rsidP="005D5BE2">
      <w:pPr>
        <w:spacing w:after="120"/>
      </w:pPr>
      <w:r>
        <w:t xml:space="preserve">This document describes the hypotheses to be tested and econometric models to be used in the impact evaluation of the Littorals Regional Initiative’s </w:t>
      </w:r>
      <w:r w:rsidR="00151B43">
        <w:t xml:space="preserve">(LRI) </w:t>
      </w:r>
      <w:r>
        <w:t>three-pronged strategy in Upper West, Ghana. The plan was written after collection of baseline data, but before endline data collected and analysis. The purpose is to document the primary outcomes of interest, how those outcome measures are constructed, and econometric strategy prior to any data analysis, providing assurance when evaluating the final results of the study.</w:t>
      </w:r>
    </w:p>
    <w:p w14:paraId="3F7A3D09" w14:textId="5EA41224" w:rsidR="00151B43" w:rsidRDefault="004F3015" w:rsidP="005D5BE2">
      <w:pPr>
        <w:spacing w:after="120"/>
      </w:pPr>
      <w:r>
        <w:t>The remainder of this document</w:t>
      </w:r>
      <w:r w:rsidR="00334337">
        <w:t xml:space="preserve"> is organized as follows: Section 2 </w:t>
      </w:r>
      <w:r w:rsidR="00817061">
        <w:t xml:space="preserve">provides a summary of the context and intervention; Section 3 </w:t>
      </w:r>
      <w:r w:rsidR="00334337">
        <w:t xml:space="preserve">describes our data sources and sampling plan; Section </w:t>
      </w:r>
      <w:r w:rsidR="00817061">
        <w:t>4</w:t>
      </w:r>
      <w:r w:rsidR="00334337">
        <w:t xml:space="preserve"> details the hypotheses we will test; Section </w:t>
      </w:r>
      <w:r w:rsidR="00817061">
        <w:t>5</w:t>
      </w:r>
      <w:r w:rsidR="00334337">
        <w:t xml:space="preserve"> describes the specifications to analyze the data and test the hypothes</w:t>
      </w:r>
      <w:r w:rsidR="004A7490">
        <w:t>e</w:t>
      </w:r>
      <w:r w:rsidR="00334337">
        <w:t>s</w:t>
      </w:r>
      <w:r w:rsidR="00151B43">
        <w:t>, as well as additional decisions with respect to statistical approach (e.g., standard error clustering)</w:t>
      </w:r>
      <w:r w:rsidR="00334337">
        <w:t xml:space="preserve">. </w:t>
      </w:r>
    </w:p>
    <w:p w14:paraId="68EC2A0B" w14:textId="6991B403" w:rsidR="0084004D" w:rsidRDefault="0084004D" w:rsidP="00151B43">
      <w:pPr>
        <w:pStyle w:val="ListParagraph"/>
        <w:numPr>
          <w:ilvl w:val="0"/>
          <w:numId w:val="1"/>
        </w:numPr>
        <w:rPr>
          <w:b/>
          <w:bCs/>
        </w:rPr>
      </w:pPr>
      <w:bookmarkStart w:id="1" w:name="OLE_LINK327"/>
      <w:r>
        <w:rPr>
          <w:b/>
          <w:bCs/>
        </w:rPr>
        <w:t>Context and Intervention Summary</w:t>
      </w:r>
    </w:p>
    <w:p w14:paraId="35236847" w14:textId="31F16F0B" w:rsidR="005E3514" w:rsidRDefault="005E3514" w:rsidP="00627531">
      <w:pPr>
        <w:spacing w:after="120"/>
      </w:pPr>
      <w:bookmarkStart w:id="2" w:name="OLE_LINK14"/>
      <w:r w:rsidRPr="005E3514">
        <w:t xml:space="preserve">Hostile interactions between </w:t>
      </w:r>
      <w:r>
        <w:t>Fulbe</w:t>
      </w:r>
      <w:r w:rsidRPr="005E3514">
        <w:t xml:space="preserve"> </w:t>
      </w:r>
      <w:r w:rsidR="00517F1F">
        <w:t xml:space="preserve">(also known as Fulani) </w:t>
      </w:r>
      <w:r w:rsidRPr="005E3514">
        <w:t xml:space="preserve">pastoral herders and settled farming communities in Northern Ghana and the wider Sahel are not new; however, conflicts between the two groups have grown more frequent and violent in recent years. While these conflicts are due in part to competition for scarce resources, exacerbated by climate change and increased migration from the Sahel, complex social forces are also at play. Within this context, the USAID/OTI Littorals Regional Initiative (LRI) will implement a range of interventions to address tensions between </w:t>
      </w:r>
      <w:bookmarkStart w:id="3" w:name="OLE_LINK15"/>
      <w:bookmarkStart w:id="4" w:name="OLE_LINK43"/>
      <w:r>
        <w:t>Fulbe</w:t>
      </w:r>
      <w:r w:rsidRPr="005E3514">
        <w:t xml:space="preserve"> </w:t>
      </w:r>
      <w:bookmarkEnd w:id="3"/>
      <w:r w:rsidRPr="005E3514">
        <w:t>herders and non-</w:t>
      </w:r>
      <w:r w:rsidRPr="005E3514">
        <w:rPr>
          <w:kern w:val="0"/>
          <w14:ligatures w14:val="none"/>
        </w:rPr>
        <w:t xml:space="preserve"> </w:t>
      </w:r>
      <w:r>
        <w:rPr>
          <w:kern w:val="0"/>
          <w14:ligatures w14:val="none"/>
        </w:rPr>
        <w:t xml:space="preserve">Fulbe </w:t>
      </w:r>
      <w:r w:rsidRPr="005E3514">
        <w:t>farming communities</w:t>
      </w:r>
      <w:bookmarkEnd w:id="4"/>
      <w:r w:rsidR="00BA3E0E">
        <w:t>, comprising a “three-pronged approach”</w:t>
      </w:r>
      <w:r w:rsidRPr="005E3514">
        <w:t>.</w:t>
      </w:r>
      <w:bookmarkEnd w:id="2"/>
    </w:p>
    <w:p w14:paraId="4BBF72D2" w14:textId="3A23F61E" w:rsidR="00627531" w:rsidRDefault="00627531" w:rsidP="00627531">
      <w:pPr>
        <w:spacing w:after="120"/>
      </w:pPr>
      <w:r>
        <w:t xml:space="preserve">LRI’s three-pronged approach in Upper West comprises three separate interventions: </w:t>
      </w:r>
      <w:r w:rsidRPr="00627531">
        <w:t>facilitated dialogue</w:t>
      </w:r>
      <w:r>
        <w:t xml:space="preserve"> sessions</w:t>
      </w:r>
      <w:r w:rsidRPr="00627531">
        <w:t xml:space="preserve">, setting up inter-ethnic mediation committees, and </w:t>
      </w:r>
      <w:r>
        <w:t xml:space="preserve">integrated </w:t>
      </w:r>
      <w:r w:rsidRPr="00627531">
        <w:t>Village Savings and Loans Associations (VSLAs)</w:t>
      </w:r>
      <w:r>
        <w:t>.</w:t>
      </w:r>
      <w:r w:rsidR="00BA3E0E">
        <w:t xml:space="preserve"> The approach is </w:t>
      </w:r>
      <w:r w:rsidR="00BA3E0E">
        <w:rPr>
          <w:kern w:val="0"/>
          <w14:ligatures w14:val="none"/>
        </w:rPr>
        <w:t>implemented by the Center for Conflict Transformation and Peace Studies (CECOTAPS), a local NGO.</w:t>
      </w:r>
    </w:p>
    <w:p w14:paraId="19C3FA89" w14:textId="393A9BB2" w:rsidR="00447CE6" w:rsidRDefault="00627531" w:rsidP="00627531">
      <w:pPr>
        <w:spacing w:after="120"/>
      </w:pPr>
      <w:r>
        <w:t>Facilitated dialogue sessions consist of a two-day dialogue in each intervention community, brin</w:t>
      </w:r>
      <w:r w:rsidR="00D45131">
        <w:t>g</w:t>
      </w:r>
      <w:r>
        <w:t>ing Fulbe and non-Fulbe together to express their views, share their feelings about life in their communities and across the region</w:t>
      </w:r>
      <w:r w:rsidR="00447CE6">
        <w:t xml:space="preserve">, and engage in a discussion of prejudice and stereotyping. </w:t>
      </w:r>
      <w:r>
        <w:t xml:space="preserve">Each dialogue session aims to </w:t>
      </w:r>
      <w:r w:rsidR="00447CE6">
        <w:t xml:space="preserve">bring together a total of 30 participants, including 15 non-Fulbe community members and 15 Fulbe herders. Each session will be accompanied by a facilitator, notetaker, and Fulbe translator provided by CECOTAPS. The sessions </w:t>
      </w:r>
      <w:bookmarkStart w:id="5" w:name="OLE_LINK424"/>
      <w:r w:rsidR="00447CE6">
        <w:t>seek to engage the participants in a discussion of prejudice and stereotyping.</w:t>
      </w:r>
    </w:p>
    <w:p w14:paraId="08359756" w14:textId="3D4A3D4E" w:rsidR="00627531" w:rsidRDefault="00447CE6" w:rsidP="00627531">
      <w:pPr>
        <w:spacing w:after="120"/>
      </w:pPr>
      <w:r>
        <w:t>At the end of the dialogue session in each community, participants will select eight representatives to form a conflict mediation committee. The committee will be inter-ethnic, including four Fulbe and 4 non-</w:t>
      </w:r>
      <w:r>
        <w:lastRenderedPageBreak/>
        <w:t>Fulbe representatives, and include men, women, youth, and traditional leaders. The mediation committee members will receive a three-day training on dialogue and mediation</w:t>
      </w:r>
      <w:r w:rsidR="003D22AD">
        <w:t xml:space="preserve">. Once formed, the committees </w:t>
      </w:r>
      <w:r>
        <w:t xml:space="preserve">will be expected to mediate conflicts </w:t>
      </w:r>
      <w:r w:rsidR="003D22AD">
        <w:t xml:space="preserve">in their communities </w:t>
      </w:r>
      <w:r>
        <w:t xml:space="preserve">arising out of farmer-herder disputes, as well as other inter-ethnic conflicts. </w:t>
      </w:r>
    </w:p>
    <w:p w14:paraId="2AE73D4F" w14:textId="45E5137A" w:rsidR="00AB2CCF" w:rsidRPr="00627531" w:rsidRDefault="00AB2CCF" w:rsidP="00627531">
      <w:pPr>
        <w:spacing w:after="120"/>
      </w:pPr>
      <w:r>
        <w:t xml:space="preserve">Although VSLAs are common throughout Upper West, few include Fulbe members. Because they tend to live in dispersed settlements on the periphery of communities, and are generally not considered to be full community members, </w:t>
      </w:r>
      <w:r w:rsidR="003B680C">
        <w:t>Fulbe</w:t>
      </w:r>
      <w:r>
        <w:t xml:space="preserve"> are frequently left out of NGO programs that may come to communities, and </w:t>
      </w:r>
      <w:r w:rsidR="003B680C">
        <w:t xml:space="preserve">they are frequently </w:t>
      </w:r>
      <w:r>
        <w:t xml:space="preserve">excluded from community groups and </w:t>
      </w:r>
      <w:r w:rsidR="003B680C">
        <w:t>decision-making</w:t>
      </w:r>
      <w:r>
        <w:t xml:space="preserve">. Thus, CECOTAPS will aim to establish a mixed-ethnic VSLA in each community, each with a total of 20-30 members, including Fulbe and non-Fulbe and open to men and women. CECOTAPS staff will facilitate the formation of the VSLAs, election of leaders, and conduct training on </w:t>
      </w:r>
      <w:r w:rsidR="003D22AD">
        <w:t>financial literacy for group members.</w:t>
      </w:r>
    </w:p>
    <w:bookmarkEnd w:id="5"/>
    <w:p w14:paraId="0C00E97B" w14:textId="37D7B29E" w:rsidR="00334337" w:rsidRPr="00782B31" w:rsidRDefault="00151B43" w:rsidP="00151B43">
      <w:pPr>
        <w:pStyle w:val="ListParagraph"/>
        <w:numPr>
          <w:ilvl w:val="0"/>
          <w:numId w:val="1"/>
        </w:numPr>
        <w:rPr>
          <w:b/>
          <w:bCs/>
        </w:rPr>
      </w:pPr>
      <w:r w:rsidRPr="00782B31">
        <w:rPr>
          <w:b/>
          <w:bCs/>
        </w:rPr>
        <w:t>Data Sources and Sampling Plan</w:t>
      </w:r>
    </w:p>
    <w:bookmarkEnd w:id="1"/>
    <w:p w14:paraId="44235A5F" w14:textId="1F71FF38" w:rsidR="00151B43" w:rsidRDefault="00151B43" w:rsidP="005D5BE2">
      <w:pPr>
        <w:spacing w:after="120"/>
      </w:pPr>
      <w:r>
        <w:t>Our data come from three primary data sources: (1) a survey of households; (2) a survey of community leaders; (3) qualitative data collection from focus group discussions with community members and dispute resolution committee members.</w:t>
      </w:r>
    </w:p>
    <w:p w14:paraId="55042F09" w14:textId="6C57969F" w:rsidR="00782B31" w:rsidRDefault="00782B31" w:rsidP="005D5BE2">
      <w:pPr>
        <w:spacing w:after="120"/>
      </w:pPr>
      <w:r>
        <w:t xml:space="preserve">Baseline data collection occurred over three weeks between November and December, 2023. </w:t>
      </w:r>
      <w:r w:rsidR="009B1945">
        <w:t xml:space="preserve">Once baseline data had been collected, treatment status was randomly assigned. </w:t>
      </w:r>
      <w:r>
        <w:rPr>
          <w:kern w:val="0"/>
          <w:lang w:val="en-GB"/>
          <w14:ligatures w14:val="none"/>
        </w:rPr>
        <w:t>Endline data collection is planned for October-November 2024, which will allow for six months of implementation, and five months for the effects of the interventions to develop</w:t>
      </w:r>
      <w:r w:rsidR="004A7490">
        <w:rPr>
          <w:kern w:val="0"/>
          <w:lang w:val="en-GB"/>
          <w14:ligatures w14:val="none"/>
        </w:rPr>
        <w:t xml:space="preserve"> before endline data is collected</w:t>
      </w:r>
      <w:r>
        <w:rPr>
          <w:kern w:val="0"/>
          <w:lang w:val="en-GB"/>
          <w14:ligatures w14:val="none"/>
        </w:rPr>
        <w:t xml:space="preserve">. Most conflicts between Fulbe herders and non-Fulbe farmers occur during the rainy season, and this timeline will allow for one rainy season to elapse after program implementation before endline data collection occurs. </w:t>
      </w:r>
    </w:p>
    <w:p w14:paraId="33310058" w14:textId="272BAE62" w:rsidR="00151B43" w:rsidRPr="00782B31" w:rsidRDefault="00151B43" w:rsidP="00151B43">
      <w:pPr>
        <w:pStyle w:val="ListParagraph"/>
        <w:numPr>
          <w:ilvl w:val="1"/>
          <w:numId w:val="1"/>
        </w:numPr>
        <w:rPr>
          <w:i/>
          <w:iCs/>
        </w:rPr>
      </w:pPr>
      <w:r w:rsidRPr="00782B31">
        <w:rPr>
          <w:i/>
          <w:iCs/>
        </w:rPr>
        <w:t>Selection of Communities</w:t>
      </w:r>
    </w:p>
    <w:p w14:paraId="5C93A4F2" w14:textId="65295E9F" w:rsidR="00151B43" w:rsidRDefault="008C5676" w:rsidP="005D5BE2">
      <w:pPr>
        <w:spacing w:after="120"/>
      </w:pPr>
      <w:r>
        <w:t>A</w:t>
      </w:r>
      <w:r w:rsidR="003B680C">
        <w:t>t the request of LRI, a</w:t>
      </w:r>
      <w:r>
        <w:t xml:space="preserve"> local NGO called Save Ghana provided a list of 86 communities to </w:t>
      </w:r>
      <w:r w:rsidR="00151B43">
        <w:t>NORC</w:t>
      </w:r>
      <w:r>
        <w:t>, distributed across five districts of Upper West</w:t>
      </w:r>
      <w:r w:rsidR="00151B43">
        <w:t xml:space="preserve">. </w:t>
      </w:r>
      <w:r>
        <w:t>In</w:t>
      </w:r>
      <w:r w:rsidR="00151B43">
        <w:t xml:space="preserve"> Save Ghana</w:t>
      </w:r>
      <w:r>
        <w:t xml:space="preserve">’s prior work in the region for LRI, they had identified these communities as having tensions between the Fulbe and non-Fulbe populations. LRI contracted Save Ghana to collect additional data on the 86 communities, which was then provided to NORC. This data was collected via Save Ghana interviews with community leaders and included details about </w:t>
      </w:r>
      <w:r w:rsidR="003B680C">
        <w:t xml:space="preserve">any </w:t>
      </w:r>
      <w:r>
        <w:t xml:space="preserve">programming similar to LRI’s </w:t>
      </w:r>
      <w:r w:rsidR="003B680C">
        <w:t xml:space="preserve">planned interventions </w:t>
      </w:r>
      <w:r>
        <w:t xml:space="preserve">that may have already taken place in the community, </w:t>
      </w:r>
      <w:r w:rsidR="003B680C">
        <w:t xml:space="preserve">the </w:t>
      </w:r>
      <w:r>
        <w:t>size of the local Fulbe population, a</w:t>
      </w:r>
      <w:r w:rsidR="003B680C">
        <w:t>nd</w:t>
      </w:r>
      <w:r>
        <w:t xml:space="preserve"> number of recent violent conflicts in the community.</w:t>
      </w:r>
      <w:r w:rsidR="00151B43">
        <w:t xml:space="preserve"> </w:t>
      </w:r>
    </w:p>
    <w:p w14:paraId="0909F839" w14:textId="4296C384" w:rsidR="008C5676" w:rsidRDefault="008C5676" w:rsidP="005D5BE2">
      <w:pPr>
        <w:spacing w:after="120"/>
      </w:pPr>
      <w:r>
        <w:t>The implementer for LRI’s approach in Upper West, a</w:t>
      </w:r>
      <w:r w:rsidR="003B680C">
        <w:t>nother</w:t>
      </w:r>
      <w:r>
        <w:t xml:space="preserve"> local NGO called CECOTAPS, agreed with LRI that they could </w:t>
      </w:r>
      <w:r w:rsidR="003B680C">
        <w:t>conduct the intervention</w:t>
      </w:r>
      <w:r>
        <w:t xml:space="preserve"> in 23 communities, and NORC agreed that its budget would accommodate data collection in 46 communities</w:t>
      </w:r>
      <w:r w:rsidR="00FD37AE">
        <w:t xml:space="preserve"> (23 treatment and 23 control)</w:t>
      </w:r>
      <w:r>
        <w:t>. NORC therefore select</w:t>
      </w:r>
      <w:r w:rsidR="003B680C">
        <w:t>ed</w:t>
      </w:r>
      <w:r>
        <w:t xml:space="preserve"> 46 communities from the original list of 86. Together with LRI and CECOTAPS, </w:t>
      </w:r>
      <w:r w:rsidR="003B680C">
        <w:t xml:space="preserve">NORC established </w:t>
      </w:r>
      <w:r>
        <w:t xml:space="preserve">the criteria for selecting these 46 communities: (1) no existing programming similar to LRI’s interventions; (2) a least 10 Fulbe households; (3) </w:t>
      </w:r>
      <w:r w:rsidR="00A57BA3">
        <w:t>prioritize communities with the highest number of recent violent incidents.</w:t>
      </w:r>
    </w:p>
    <w:p w14:paraId="24F5C012" w14:textId="33158776" w:rsidR="00A57BA3" w:rsidRDefault="00A57BA3" w:rsidP="005D5BE2">
      <w:pPr>
        <w:spacing w:after="120"/>
      </w:pPr>
      <w:r>
        <w:t xml:space="preserve">Applying selection criteria (1) and (2) left NORC with a list of 60 remaining communities, distributed across three districts of Upper West. NORC then dropped an additional 14 communities by examining </w:t>
      </w:r>
      <w:bookmarkStart w:id="6" w:name="OLE_LINK426"/>
      <w:r w:rsidR="003B680C">
        <w:t>the</w:t>
      </w:r>
      <w:r>
        <w:t xml:space="preserve"> </w:t>
      </w:r>
      <w:bookmarkEnd w:id="6"/>
      <w:r>
        <w:t>number of recent violent incidents, requiring that the final selection</w:t>
      </w:r>
      <w:r w:rsidR="005D5BE2">
        <w:t xml:space="preserve"> include an even number of communities in each of the three districts (to ensure treatment-control community matching could be </w:t>
      </w:r>
      <w:r w:rsidR="005D5BE2">
        <w:lastRenderedPageBreak/>
        <w:t>conducted within districts)</w:t>
      </w:r>
      <w:r w:rsidR="003B680C">
        <w:t xml:space="preserve">, and examining </w:t>
      </w:r>
      <w:r w:rsidR="003B680C">
        <w:rPr>
          <w:kern w:val="0"/>
          <w14:ligatures w14:val="none"/>
        </w:rPr>
        <w:t>each community’s distance to the nearest remaining community (with a preference for more dispersed communities)</w:t>
      </w:r>
      <w:r>
        <w:t xml:space="preserve">. The 14 communities that were dropped were assigned to a replacement condition, where they would be activated and included in the main sample if any issues arose with collecting data from the selected 46 communities. </w:t>
      </w:r>
    </w:p>
    <w:p w14:paraId="64A66876" w14:textId="5BFA7E6D" w:rsidR="005D5BE2" w:rsidRDefault="005D5BE2" w:rsidP="005D5BE2">
      <w:pPr>
        <w:spacing w:after="120"/>
      </w:pPr>
      <w:r>
        <w:t xml:space="preserve">During data collection, enumerator teams made phone calls to community leaders prior to visiting each community to confirm community details. In total, three communities had to be replaced at this stage due to issues such as having an insufficient number of Fulbe households or not being located in the district denoted in the data provided by Save Ghana. </w:t>
      </w:r>
    </w:p>
    <w:p w14:paraId="26FAA2F6" w14:textId="47773908" w:rsidR="005D5BE2" w:rsidRDefault="005D5BE2" w:rsidP="005D5BE2">
      <w:pPr>
        <w:spacing w:after="120"/>
        <w:rPr>
          <w:lang w:val="en-GB"/>
        </w:rPr>
      </w:pPr>
      <w:r>
        <w:rPr>
          <w:lang w:val="en-GB"/>
        </w:rPr>
        <w:t>There were additional challenges in locating and visiting some communities in the sample. Some community names did not appear to have standardizing spelling, other communities did not appear on Google Maps or appeared in an incorrect location, and a small set of communities had coordinates provided</w:t>
      </w:r>
      <w:r w:rsidR="00D97323">
        <w:rPr>
          <w:lang w:val="en-GB"/>
        </w:rPr>
        <w:t xml:space="preserve"> </w:t>
      </w:r>
      <w:r>
        <w:rPr>
          <w:lang w:val="en-GB"/>
        </w:rPr>
        <w:t>that did not clearly correspond to any community. In most cases, these issues were resolved through the pre-visit calls to community leaders. However, confusion around community locations created problems in some cases.</w:t>
      </w:r>
      <w:r w:rsidRPr="002E3BA9">
        <w:rPr>
          <w:lang w:val="en-GB"/>
        </w:rPr>
        <w:t xml:space="preserve"> </w:t>
      </w:r>
      <w:r>
        <w:rPr>
          <w:lang w:val="en-GB"/>
        </w:rPr>
        <w:t xml:space="preserve">At this stage, one </w:t>
      </w:r>
      <w:r w:rsidR="003B680C">
        <w:rPr>
          <w:lang w:val="en-GB"/>
        </w:rPr>
        <w:t xml:space="preserve">additional </w:t>
      </w:r>
      <w:r>
        <w:rPr>
          <w:lang w:val="en-GB"/>
        </w:rPr>
        <w:t xml:space="preserve">community simply </w:t>
      </w:r>
      <w:r w:rsidR="003B680C">
        <w:rPr>
          <w:lang w:val="en-GB"/>
        </w:rPr>
        <w:t xml:space="preserve">could </w:t>
      </w:r>
      <w:r>
        <w:rPr>
          <w:lang w:val="en-GB"/>
        </w:rPr>
        <w:t xml:space="preserve">not be found and was replaced. </w:t>
      </w:r>
      <w:r w:rsidRPr="00642D1A">
        <w:rPr>
          <w:lang w:val="en-GB"/>
        </w:rPr>
        <w:t xml:space="preserve">For </w:t>
      </w:r>
      <w:r>
        <w:rPr>
          <w:lang w:val="en-GB"/>
        </w:rPr>
        <w:t xml:space="preserve">an additional </w:t>
      </w:r>
      <w:r w:rsidRPr="00642D1A">
        <w:rPr>
          <w:lang w:val="en-GB"/>
        </w:rPr>
        <w:t xml:space="preserve">three communities, enumerators </w:t>
      </w:r>
      <w:r>
        <w:rPr>
          <w:lang w:val="en-GB"/>
        </w:rPr>
        <w:t>believed they had found the community, but upon NORC’s inspection of the data it turned out they had collected data from</w:t>
      </w:r>
      <w:r w:rsidRPr="00642D1A">
        <w:rPr>
          <w:lang w:val="en-GB"/>
        </w:rPr>
        <w:t xml:space="preserve"> different communities than planned.</w:t>
      </w:r>
      <w:r w:rsidR="00D14AFF">
        <w:rPr>
          <w:lang w:val="en-GB"/>
        </w:rPr>
        <w:t xml:space="preserve"> NORC reviewed the data for these </w:t>
      </w:r>
      <w:r w:rsidR="00D97323">
        <w:rPr>
          <w:lang w:val="en-GB"/>
        </w:rPr>
        <w:t xml:space="preserve">three </w:t>
      </w:r>
      <w:r w:rsidR="00D14AFF">
        <w:rPr>
          <w:lang w:val="en-GB"/>
        </w:rPr>
        <w:t>communities and determined that they met the criteria for inclusion (i.e., had at least 10 Fulbe households</w:t>
      </w:r>
      <w:r w:rsidR="00E75C5F">
        <w:rPr>
          <w:lang w:val="en-GB"/>
        </w:rPr>
        <w:t>, no existing similar programming, and recent violent confrontations</w:t>
      </w:r>
      <w:r w:rsidR="00D14AFF">
        <w:rPr>
          <w:lang w:val="en-GB"/>
        </w:rPr>
        <w:t>)</w:t>
      </w:r>
      <w:r w:rsidR="00E75C5F">
        <w:rPr>
          <w:lang w:val="en-GB"/>
        </w:rPr>
        <w:t>; they were accepted into the sample</w:t>
      </w:r>
      <w:r w:rsidR="00D97323">
        <w:rPr>
          <w:lang w:val="en-GB"/>
        </w:rPr>
        <w:t>, replacing the three intended communities</w:t>
      </w:r>
      <w:r w:rsidR="00E75C5F">
        <w:rPr>
          <w:lang w:val="en-GB"/>
        </w:rPr>
        <w:t>.</w:t>
      </w:r>
    </w:p>
    <w:p w14:paraId="2C8D3D8A" w14:textId="07F96005" w:rsidR="00E75C5F" w:rsidRPr="00782B31" w:rsidRDefault="00E75C5F" w:rsidP="00E75C5F">
      <w:pPr>
        <w:pStyle w:val="ListParagraph"/>
        <w:numPr>
          <w:ilvl w:val="1"/>
          <w:numId w:val="1"/>
        </w:numPr>
        <w:rPr>
          <w:i/>
          <w:iCs/>
        </w:rPr>
      </w:pPr>
      <w:r w:rsidRPr="00782B31">
        <w:rPr>
          <w:i/>
          <w:iCs/>
        </w:rPr>
        <w:t>Household Sample</w:t>
      </w:r>
    </w:p>
    <w:p w14:paraId="2EC7E37D" w14:textId="6D1DC334" w:rsidR="00E75C5F" w:rsidRDefault="00E75C5F" w:rsidP="005D5BE2">
      <w:pPr>
        <w:spacing w:after="120"/>
        <w:rPr>
          <w:lang w:val="en-GB"/>
        </w:rPr>
      </w:pPr>
      <w:r>
        <w:rPr>
          <w:lang w:val="en-GB"/>
        </w:rPr>
        <w:t>During baseline data collection, enumerators randomly selected 10 Fulbe and 10 non-Fulbe households for household interviews in each community. This equates to a final sample of 460 Fulbe and 460 non-Fulbe households (920 total households). Non-Fulbe households were selected from what</w:t>
      </w:r>
      <w:r w:rsidR="005010A0">
        <w:rPr>
          <w:lang w:val="en-GB"/>
        </w:rPr>
        <w:t xml:space="preserve"> we</w:t>
      </w:r>
      <w:r>
        <w:rPr>
          <w:lang w:val="en-GB"/>
        </w:rPr>
        <w:t xml:space="preserve"> refer to as the “main community”</w:t>
      </w:r>
      <w:r>
        <w:rPr>
          <w:rStyle w:val="FootnoteReference"/>
          <w:lang w:val="en-GB"/>
        </w:rPr>
        <w:footnoteReference w:id="1"/>
      </w:r>
      <w:r>
        <w:rPr>
          <w:lang w:val="en-GB"/>
        </w:rPr>
        <w:t xml:space="preserve"> via random walk. Given the more dispersed nature of Fulbe households, generally located on the periphery of the community, a random walk was not possible for the Fulbe sample. Instead, the enumerator team first approach the local Fulbe chief and elders</w:t>
      </w:r>
      <w:r w:rsidR="005E194F">
        <w:rPr>
          <w:lang w:val="en-GB"/>
        </w:rPr>
        <w:t>, and together made a list of Fulbe households in the community, and then randomly selected households from the list. Once selected, households had to pass a screener to ensure they were engaged in either farming or cattle herding activities and permanently settled in the community in order to be included in the study; households that did not pass the screener or did not provide consent were replaced.</w:t>
      </w:r>
    </w:p>
    <w:p w14:paraId="12113C36" w14:textId="649E5D2B" w:rsidR="00335A0E" w:rsidRDefault="00335A0E" w:rsidP="005D5BE2">
      <w:pPr>
        <w:spacing w:after="120"/>
        <w:rPr>
          <w:lang w:val="en-GB"/>
        </w:rPr>
      </w:pPr>
      <w:r>
        <w:rPr>
          <w:lang w:val="en-GB"/>
        </w:rPr>
        <w:t xml:space="preserve">In each surveyed household, enumerators attempted to interview two respondents: (1) </w:t>
      </w:r>
      <w:r w:rsidR="006F7834">
        <w:rPr>
          <w:lang w:val="en-GB"/>
        </w:rPr>
        <w:t xml:space="preserve">the </w:t>
      </w:r>
      <w:r>
        <w:rPr>
          <w:lang w:val="en-GB"/>
        </w:rPr>
        <w:t>primary person responsible for crop or cattle decisions</w:t>
      </w:r>
      <w:bookmarkStart w:id="7" w:name="OLE_LINK427"/>
      <w:r w:rsidR="006F7834">
        <w:rPr>
          <w:rStyle w:val="FootnoteReference"/>
          <w:lang w:val="en-GB"/>
        </w:rPr>
        <w:footnoteReference w:id="2"/>
      </w:r>
      <w:r>
        <w:rPr>
          <w:lang w:val="en-GB"/>
        </w:rPr>
        <w:t xml:space="preserve">, </w:t>
      </w:r>
      <w:bookmarkEnd w:id="7"/>
      <w:r>
        <w:rPr>
          <w:lang w:val="en-GB"/>
        </w:rPr>
        <w:t>and (2) the primary female decision</w:t>
      </w:r>
      <w:r w:rsidR="009B1945">
        <w:rPr>
          <w:lang w:val="en-GB"/>
        </w:rPr>
        <w:t>-</w:t>
      </w:r>
      <w:r>
        <w:rPr>
          <w:lang w:val="en-GB"/>
        </w:rPr>
        <w:t>maker, if the household had an adult female and this person was different from (1).</w:t>
      </w:r>
    </w:p>
    <w:p w14:paraId="1F88219A" w14:textId="25F9798A" w:rsidR="005E194F" w:rsidRDefault="005E194F" w:rsidP="005D5BE2">
      <w:pPr>
        <w:spacing w:after="120"/>
        <w:rPr>
          <w:lang w:val="en-GB"/>
        </w:rPr>
      </w:pPr>
      <w:bookmarkStart w:id="8" w:name="OLE_LINK5"/>
      <w:r>
        <w:rPr>
          <w:lang w:val="en-GB"/>
        </w:rPr>
        <w:t xml:space="preserve">At endline, we will attempt to locate and interview the same </w:t>
      </w:r>
      <w:r w:rsidR="00D97323">
        <w:rPr>
          <w:lang w:val="en-GB"/>
        </w:rPr>
        <w:t>respondents</w:t>
      </w:r>
      <w:r>
        <w:rPr>
          <w:lang w:val="en-GB"/>
        </w:rPr>
        <w:t xml:space="preserve"> from baseline.</w:t>
      </w:r>
      <w:r w:rsidR="00782B31">
        <w:rPr>
          <w:lang w:val="en-GB"/>
        </w:rPr>
        <w:t xml:space="preserve"> </w:t>
      </w:r>
      <w:r w:rsidR="004F4031">
        <w:rPr>
          <w:lang w:val="en-GB"/>
        </w:rPr>
        <w:t>Households that cannot be located at endline will be replaced with a randomly selected household of the same type (i.e., Fulbe or non-Fulbe).</w:t>
      </w:r>
    </w:p>
    <w:bookmarkEnd w:id="8"/>
    <w:p w14:paraId="06AC0BBB" w14:textId="3652CCB3" w:rsidR="005E194F" w:rsidRPr="00782B31" w:rsidRDefault="005E194F" w:rsidP="005E194F">
      <w:pPr>
        <w:pStyle w:val="ListParagraph"/>
        <w:numPr>
          <w:ilvl w:val="1"/>
          <w:numId w:val="1"/>
        </w:numPr>
        <w:rPr>
          <w:i/>
          <w:iCs/>
        </w:rPr>
      </w:pPr>
      <w:r w:rsidRPr="00782B31">
        <w:rPr>
          <w:i/>
          <w:iCs/>
        </w:rPr>
        <w:lastRenderedPageBreak/>
        <w:t>Community Leader Sample</w:t>
      </w:r>
    </w:p>
    <w:p w14:paraId="41BC299E" w14:textId="1C010E52" w:rsidR="005E194F" w:rsidRDefault="005E194F" w:rsidP="005E194F">
      <w:r>
        <w:t xml:space="preserve">During baseline data collection, enumerators interviewed one Fulbe and one non-Fulbe community leader in each community. This equates to a final sample of 46 Fulbe and 46 non-Fulbe community leaders (92 total community leaders). Enumerators were instructed to prioritize interviewing the Fulbe chief as the Fulbe community leader, and the Unit Committee Chair or Community Chief (whoever was more knowledgeable, depending on the community context) for the non-Fulbe leader. </w:t>
      </w:r>
    </w:p>
    <w:p w14:paraId="611EEFA3" w14:textId="45373060" w:rsidR="005E194F" w:rsidRDefault="005E194F" w:rsidP="005E194F">
      <w:r>
        <w:t xml:space="preserve">We will follow up with the same community leaders by phone in April </w:t>
      </w:r>
      <w:r w:rsidR="009B1945">
        <w:t xml:space="preserve">2024 </w:t>
      </w:r>
      <w:r>
        <w:t xml:space="preserve">and </w:t>
      </w:r>
      <w:r w:rsidR="009B1945">
        <w:t xml:space="preserve">in </w:t>
      </w:r>
      <w:r>
        <w:t>July 2024 to conduct monitoring surveys, and again at endline for in-person surveys.</w:t>
      </w:r>
    </w:p>
    <w:p w14:paraId="6DF2A1E1" w14:textId="7F05162E" w:rsidR="005E194F" w:rsidRPr="00782B31" w:rsidRDefault="005E194F" w:rsidP="005E194F">
      <w:pPr>
        <w:pStyle w:val="ListParagraph"/>
        <w:numPr>
          <w:ilvl w:val="1"/>
          <w:numId w:val="1"/>
        </w:numPr>
        <w:rPr>
          <w:i/>
          <w:iCs/>
        </w:rPr>
      </w:pPr>
      <w:r w:rsidRPr="00782B31">
        <w:rPr>
          <w:i/>
          <w:iCs/>
        </w:rPr>
        <w:t>Focus Group Discussions</w:t>
      </w:r>
    </w:p>
    <w:p w14:paraId="4C1B8455" w14:textId="77777777" w:rsidR="002D3307" w:rsidRDefault="005E194F" w:rsidP="005E194F">
      <w:r>
        <w:t xml:space="preserve">Focus group discussions </w:t>
      </w:r>
      <w:r w:rsidR="002D3307">
        <w:t xml:space="preserve">(FGDs) </w:t>
      </w:r>
      <w:r>
        <w:t>will be held at endline only.</w:t>
      </w:r>
      <w:r w:rsidR="002D3307">
        <w:t xml:space="preserve"> This will include a total of 12 FGDs – four held in each of three treatment communities. One FGD will be held with Fulbe men, one with Fulbe women, one with non-Fulbe community members (mixed gender), and one with members of the newly-established inter-ethnic dispute resolution committee set up by LRI. Each FGD is expected to include six to nine participants, and participants will be selected with the help of local leaders.</w:t>
      </w:r>
    </w:p>
    <w:p w14:paraId="4C80B11D" w14:textId="27D1C61C" w:rsidR="005E194F" w:rsidRPr="00782B31" w:rsidRDefault="002D3307" w:rsidP="002D3307">
      <w:pPr>
        <w:pStyle w:val="ListParagraph"/>
        <w:numPr>
          <w:ilvl w:val="1"/>
          <w:numId w:val="1"/>
        </w:numPr>
        <w:rPr>
          <w:i/>
          <w:iCs/>
        </w:rPr>
      </w:pPr>
      <w:bookmarkStart w:id="9" w:name="OLE_LINK343"/>
      <w:r w:rsidRPr="00782B31">
        <w:rPr>
          <w:i/>
          <w:iCs/>
        </w:rPr>
        <w:t xml:space="preserve">Assignment of Treatment </w:t>
      </w:r>
    </w:p>
    <w:bookmarkEnd w:id="9"/>
    <w:p w14:paraId="228DB4A7" w14:textId="187C89C5" w:rsidR="002D3307" w:rsidRDefault="002D3307" w:rsidP="002D3307">
      <w:r>
        <w:t xml:space="preserve">NORC assigned communities to treatment after the baseline data collection using data from the household </w:t>
      </w:r>
      <w:r w:rsidR="000637CC">
        <w:t xml:space="preserve">survey, the community leader survey, </w:t>
      </w:r>
      <w:r w:rsidR="00116D99">
        <w:t xml:space="preserve">2022 </w:t>
      </w:r>
      <w:r w:rsidRPr="002D3307">
        <w:t xml:space="preserve">MODIS Land Cover Type </w:t>
      </w:r>
      <w:r>
        <w:t>raster data</w:t>
      </w:r>
      <w:r w:rsidR="00116D99">
        <w:t xml:space="preserve"> collected from NASA satellites and classified by the University of Maryland (Hansen et al., 2000)</w:t>
      </w:r>
      <w:r w:rsidR="000637CC">
        <w:t>, and population estimates for 2020 from WorldPop.org</w:t>
      </w:r>
      <w:r>
        <w:t xml:space="preserve">.  </w:t>
      </w:r>
    </w:p>
    <w:p w14:paraId="747ABB0F" w14:textId="2D3B09FE" w:rsidR="00116D99" w:rsidRDefault="00116D99" w:rsidP="002D3307">
      <w:r>
        <w:t>Communities were matched to another community within the same district using the non-bipartite matching package in R, nbpMatching (Lu et al., 2011).</w:t>
      </w:r>
      <w:r w:rsidR="000637CC">
        <w:t xml:space="preserve"> Specifically, the following variables were used for matching:</w:t>
      </w:r>
    </w:p>
    <w:p w14:paraId="5A4E4896" w14:textId="7E102DA4" w:rsidR="000637CC" w:rsidRDefault="000637CC" w:rsidP="000637CC">
      <w:pPr>
        <w:pStyle w:val="ListParagraph"/>
        <w:numPr>
          <w:ilvl w:val="0"/>
          <w:numId w:val="2"/>
        </w:numPr>
      </w:pPr>
      <w:bookmarkStart w:id="10" w:name="OLE_LINK7"/>
      <w:r>
        <w:t>Percentage of land within 5 km of the community centroid classified as grassland;</w:t>
      </w:r>
    </w:p>
    <w:bookmarkEnd w:id="10"/>
    <w:p w14:paraId="30165850" w14:textId="69D849B8" w:rsidR="000637CC" w:rsidRDefault="000637CC" w:rsidP="000637CC">
      <w:pPr>
        <w:pStyle w:val="ListParagraph"/>
        <w:numPr>
          <w:ilvl w:val="0"/>
          <w:numId w:val="2"/>
        </w:numPr>
        <w:spacing w:line="256" w:lineRule="auto"/>
      </w:pPr>
      <w:r>
        <w:t>Percentage of land within 5 km of the community centroid classified as cropland;</w:t>
      </w:r>
    </w:p>
    <w:p w14:paraId="0B9ADA4E" w14:textId="2138F19C" w:rsidR="000637CC" w:rsidRDefault="006F7834" w:rsidP="000637CC">
      <w:pPr>
        <w:pStyle w:val="ListParagraph"/>
        <w:numPr>
          <w:ilvl w:val="0"/>
          <w:numId w:val="2"/>
        </w:numPr>
      </w:pPr>
      <w:r>
        <w:t>P</w:t>
      </w:r>
      <w:r w:rsidR="000637CC">
        <w:t>opulation estimate within 5 km of the community centroid;</w:t>
      </w:r>
    </w:p>
    <w:p w14:paraId="448C05A1" w14:textId="258DFF1F" w:rsidR="000637CC" w:rsidRDefault="000637CC" w:rsidP="000637CC">
      <w:pPr>
        <w:pStyle w:val="ListParagraph"/>
        <w:numPr>
          <w:ilvl w:val="0"/>
          <w:numId w:val="2"/>
        </w:numPr>
      </w:pPr>
      <w:r>
        <w:t>A binary variable for whether the non-Fulbe community leader reported competing chiefs in the community;</w:t>
      </w:r>
    </w:p>
    <w:p w14:paraId="40926FF4" w14:textId="04243348" w:rsidR="000637CC" w:rsidRDefault="000637CC" w:rsidP="000637CC">
      <w:pPr>
        <w:pStyle w:val="ListParagraph"/>
        <w:numPr>
          <w:ilvl w:val="0"/>
          <w:numId w:val="2"/>
        </w:numPr>
      </w:pPr>
      <w:r>
        <w:t>A binary variable for whether the non-Fulbe community leader reported “Sissala” as the community’s majority ethnic group;</w:t>
      </w:r>
    </w:p>
    <w:p w14:paraId="76572C22" w14:textId="0FE11FAC" w:rsidR="000637CC" w:rsidRDefault="000637CC" w:rsidP="000637CC">
      <w:pPr>
        <w:pStyle w:val="ListParagraph"/>
        <w:numPr>
          <w:ilvl w:val="0"/>
          <w:numId w:val="2"/>
        </w:numPr>
      </w:pPr>
      <w:r>
        <w:t>Size of the community’s Fulbe population, as reported by the Fulbe leader;</w:t>
      </w:r>
    </w:p>
    <w:p w14:paraId="4CDDB1A4" w14:textId="3DD7FF92" w:rsidR="000637CC" w:rsidRDefault="00335A0E" w:rsidP="000637CC">
      <w:pPr>
        <w:pStyle w:val="ListParagraph"/>
        <w:numPr>
          <w:ilvl w:val="0"/>
          <w:numId w:val="2"/>
        </w:numPr>
      </w:pPr>
      <w:r>
        <w:t>A binary variable for whether either the Fulbe or non-Fulbe leader reported recent incidents of cattle theft or killing;</w:t>
      </w:r>
    </w:p>
    <w:p w14:paraId="7E15F4E2" w14:textId="3773FCC9" w:rsidR="000637CC" w:rsidRDefault="000637CC" w:rsidP="000637CC">
      <w:pPr>
        <w:pStyle w:val="ListParagraph"/>
        <w:numPr>
          <w:ilvl w:val="0"/>
          <w:numId w:val="2"/>
        </w:numPr>
      </w:pPr>
      <w:r>
        <w:t>A binary variable for whether the Fulbe leader reported any Fulbe serve on the community’s Unit Committee;</w:t>
      </w:r>
    </w:p>
    <w:p w14:paraId="78628EBA" w14:textId="3A91936F" w:rsidR="000637CC" w:rsidRDefault="00335A0E" w:rsidP="000637CC">
      <w:pPr>
        <w:pStyle w:val="ListParagraph"/>
        <w:numPr>
          <w:ilvl w:val="0"/>
          <w:numId w:val="2"/>
        </w:numPr>
      </w:pPr>
      <w:bookmarkStart w:id="11" w:name="OLE_LINK13"/>
      <w:r>
        <w:t>A binary variable for whether any Fulbe currently participate in Village Savings and Loan Associations together with non-Fulbe in the community, as reported by the Fulbe leader;</w:t>
      </w:r>
    </w:p>
    <w:p w14:paraId="79D1870A" w14:textId="0AF03B7B" w:rsidR="000637CC" w:rsidRDefault="000637CC" w:rsidP="000637CC">
      <w:pPr>
        <w:pStyle w:val="ListParagraph"/>
        <w:numPr>
          <w:ilvl w:val="0"/>
          <w:numId w:val="2"/>
        </w:numPr>
      </w:pPr>
      <w:bookmarkStart w:id="12" w:name="OLE_LINK11"/>
      <w:bookmarkEnd w:id="11"/>
      <w:r>
        <w:t>Average age of the primary Fulbe respondents to the household survey;</w:t>
      </w:r>
    </w:p>
    <w:p w14:paraId="451AA2EE" w14:textId="0C997842" w:rsidR="000637CC" w:rsidRDefault="000637CC" w:rsidP="000637CC">
      <w:pPr>
        <w:pStyle w:val="ListParagraph"/>
        <w:numPr>
          <w:ilvl w:val="0"/>
          <w:numId w:val="2"/>
        </w:numPr>
        <w:spacing w:line="256" w:lineRule="auto"/>
      </w:pPr>
      <w:r>
        <w:t>Average age of the primary non-Fulbe respondents to the household survey;</w:t>
      </w:r>
    </w:p>
    <w:p w14:paraId="5D5E65B8" w14:textId="34B7912F" w:rsidR="000637CC" w:rsidRDefault="000637CC" w:rsidP="000637CC">
      <w:pPr>
        <w:pStyle w:val="ListParagraph"/>
        <w:numPr>
          <w:ilvl w:val="0"/>
          <w:numId w:val="2"/>
        </w:numPr>
      </w:pPr>
      <w:bookmarkStart w:id="13" w:name="OLE_LINK12"/>
      <w:r>
        <w:t>Percentage of primary Fulbe respondents to the household survey who are literate;</w:t>
      </w:r>
    </w:p>
    <w:p w14:paraId="658A8EE5" w14:textId="77777777" w:rsidR="000637CC" w:rsidRDefault="000637CC" w:rsidP="000637CC">
      <w:pPr>
        <w:pStyle w:val="ListParagraph"/>
        <w:numPr>
          <w:ilvl w:val="0"/>
          <w:numId w:val="2"/>
        </w:numPr>
        <w:spacing w:line="256" w:lineRule="auto"/>
      </w:pPr>
      <w:r>
        <w:lastRenderedPageBreak/>
        <w:t>Percentage of primary non-Fulbe respondents to the household survey who are literate;</w:t>
      </w:r>
    </w:p>
    <w:p w14:paraId="026D1960" w14:textId="0A1BD318" w:rsidR="00BF2669" w:rsidRDefault="00BF2669" w:rsidP="000637CC">
      <w:pPr>
        <w:pStyle w:val="ListParagraph"/>
        <w:numPr>
          <w:ilvl w:val="0"/>
          <w:numId w:val="2"/>
        </w:numPr>
        <w:spacing w:line="256" w:lineRule="auto"/>
      </w:pPr>
      <w:r>
        <w:t>Percentage of primary Fulbe respondents born in the district where they currently live;</w:t>
      </w:r>
    </w:p>
    <w:bookmarkEnd w:id="12"/>
    <w:bookmarkEnd w:id="13"/>
    <w:p w14:paraId="5F46F833" w14:textId="574417B6" w:rsidR="000637CC" w:rsidRDefault="00335A0E" w:rsidP="000637CC">
      <w:pPr>
        <w:pStyle w:val="ListParagraph"/>
        <w:numPr>
          <w:ilvl w:val="0"/>
          <w:numId w:val="2"/>
        </w:numPr>
      </w:pPr>
      <w:r>
        <w:t>Percentage of non-Fulbe households who own any cattle;</w:t>
      </w:r>
    </w:p>
    <w:p w14:paraId="5FD2BA8B" w14:textId="42CDA6C6" w:rsidR="00335A0E" w:rsidRDefault="00335A0E" w:rsidP="000637CC">
      <w:pPr>
        <w:pStyle w:val="ListParagraph"/>
        <w:numPr>
          <w:ilvl w:val="0"/>
          <w:numId w:val="2"/>
        </w:numPr>
      </w:pPr>
      <w:r>
        <w:t>Percentage of Fulbe households in each of five bins, according to total number of cattle owned;</w:t>
      </w:r>
    </w:p>
    <w:p w14:paraId="67B6D3E4" w14:textId="58D3B970" w:rsidR="00335A0E" w:rsidRDefault="00335A0E" w:rsidP="000637CC">
      <w:pPr>
        <w:pStyle w:val="ListParagraph"/>
        <w:numPr>
          <w:ilvl w:val="0"/>
          <w:numId w:val="2"/>
        </w:numPr>
      </w:pPr>
      <w:r>
        <w:t>Percentage of Fulbe households who raise cattle owned by other households;</w:t>
      </w:r>
    </w:p>
    <w:p w14:paraId="40AC99E3" w14:textId="6ACC8B66" w:rsidR="000637CC" w:rsidRDefault="00BF2669" w:rsidP="000637CC">
      <w:pPr>
        <w:pStyle w:val="ListParagraph"/>
        <w:numPr>
          <w:ilvl w:val="0"/>
          <w:numId w:val="2"/>
        </w:numPr>
      </w:pPr>
      <w:bookmarkStart w:id="14" w:name="OLE_LINK17"/>
      <w:bookmarkStart w:id="15" w:name="OLE_LINK16"/>
      <w:bookmarkStart w:id="16" w:name="OLE_LINK305"/>
      <w:r>
        <w:t xml:space="preserve">Average response of primary non-Fulbe respondents to the question: </w:t>
      </w:r>
      <w:bookmarkStart w:id="17" w:name="OLE_LINK19"/>
      <w:bookmarkEnd w:id="14"/>
      <w:r>
        <w:t>“</w:t>
      </w:r>
      <w:r w:rsidRPr="00BF2669">
        <w:t>The way this community makes decisions includes the opinions of people like me</w:t>
      </w:r>
      <w:r>
        <w:t>”</w:t>
      </w:r>
      <w:bookmarkEnd w:id="15"/>
      <w:bookmarkEnd w:id="17"/>
      <w:r>
        <w:t>;</w:t>
      </w:r>
    </w:p>
    <w:p w14:paraId="5268892D" w14:textId="533B34BF" w:rsidR="00BF2669" w:rsidRDefault="00BF2669" w:rsidP="00BF2669">
      <w:pPr>
        <w:pStyle w:val="ListParagraph"/>
        <w:numPr>
          <w:ilvl w:val="0"/>
          <w:numId w:val="2"/>
        </w:numPr>
        <w:spacing w:line="256" w:lineRule="auto"/>
      </w:pPr>
      <w:r>
        <w:t>Average response of primary Fulbe respondents to the question: “The way this community makes decisions includes the opinions of people like me”;</w:t>
      </w:r>
    </w:p>
    <w:p w14:paraId="38987FBE" w14:textId="3B3540BC" w:rsidR="000637CC" w:rsidRPr="005E3B7E" w:rsidRDefault="00BF2669" w:rsidP="000637CC">
      <w:pPr>
        <w:pStyle w:val="ListParagraph"/>
        <w:numPr>
          <w:ilvl w:val="0"/>
          <w:numId w:val="2"/>
        </w:numPr>
      </w:pPr>
      <w:bookmarkStart w:id="18" w:name="OLE_LINK321"/>
      <w:bookmarkStart w:id="19" w:name="OLE_LINK318"/>
      <w:bookmarkEnd w:id="16"/>
      <w:r w:rsidRPr="005E3B7E">
        <w:rPr>
          <w:kern w:val="0"/>
          <w14:ligatures w14:val="none"/>
        </w:rPr>
        <w:t>Average response of primary non-Fulbe respondents to the question:</w:t>
      </w:r>
      <w:bookmarkEnd w:id="18"/>
      <w:r w:rsidRPr="005E3B7E">
        <w:rPr>
          <w:kern w:val="0"/>
          <w14:ligatures w14:val="none"/>
        </w:rPr>
        <w:t xml:space="preserve"> </w:t>
      </w:r>
      <w:r w:rsidRPr="005E3B7E">
        <w:t>“If there was a water supply problem in this community, how likely is it that people from your ethnic group and ${other_ethnic_group} would cooperate to try to solve the problem?”;</w:t>
      </w:r>
    </w:p>
    <w:p w14:paraId="5497F379" w14:textId="104579EB" w:rsidR="00BF2669" w:rsidRDefault="00BF2669" w:rsidP="00BF2669">
      <w:pPr>
        <w:pStyle w:val="ListParagraph"/>
        <w:numPr>
          <w:ilvl w:val="0"/>
          <w:numId w:val="2"/>
        </w:numPr>
        <w:spacing w:line="256" w:lineRule="auto"/>
        <w:rPr>
          <w:kern w:val="0"/>
          <w14:ligatures w14:val="none"/>
        </w:rPr>
      </w:pPr>
      <w:r w:rsidRPr="005E3B7E">
        <w:rPr>
          <w:kern w:val="0"/>
          <w14:ligatures w14:val="none"/>
        </w:rPr>
        <w:t>Average response of primary Fulbe respondents to the question: “If there was a water supply problem in this community, how likely is it that people from your ethnic group and ${other_ethnic_group} would</w:t>
      </w:r>
      <w:r>
        <w:rPr>
          <w:kern w:val="0"/>
          <w14:ligatures w14:val="none"/>
        </w:rPr>
        <w:t xml:space="preserve"> cooperate to try to solve the problem?”;</w:t>
      </w:r>
    </w:p>
    <w:p w14:paraId="030AED71" w14:textId="78897123" w:rsidR="00BF2669" w:rsidRDefault="00BF2669" w:rsidP="000637CC">
      <w:pPr>
        <w:pStyle w:val="ListParagraph"/>
        <w:numPr>
          <w:ilvl w:val="0"/>
          <w:numId w:val="2"/>
        </w:numPr>
        <w:rPr>
          <w:kern w:val="0"/>
          <w14:ligatures w14:val="none"/>
        </w:rPr>
      </w:pPr>
      <w:r>
        <w:rPr>
          <w:kern w:val="0"/>
          <w14:ligatures w14:val="none"/>
        </w:rPr>
        <w:t>Average response of primary non-Fulbe respondents to the question:</w:t>
      </w:r>
      <w:r w:rsidRPr="00BF2669">
        <w:rPr>
          <w:kern w:val="0"/>
          <w14:ligatures w14:val="none"/>
        </w:rPr>
        <w:t xml:space="preserve"> “During the past rainy season (2023), were any of your household’s crops destroyed by neighbors, other ethnic groups, or their livestock?”</w:t>
      </w:r>
      <w:r>
        <w:rPr>
          <w:kern w:val="0"/>
          <w14:ligatures w14:val="none"/>
        </w:rPr>
        <w:t>;</w:t>
      </w:r>
    </w:p>
    <w:p w14:paraId="26DBEEEF" w14:textId="7AF856D9" w:rsidR="00BF2669" w:rsidRPr="00BF2669" w:rsidRDefault="00BF2669" w:rsidP="00BF2669">
      <w:pPr>
        <w:pStyle w:val="ListParagraph"/>
        <w:numPr>
          <w:ilvl w:val="0"/>
          <w:numId w:val="2"/>
        </w:numPr>
        <w:spacing w:line="256" w:lineRule="auto"/>
        <w:rPr>
          <w:kern w:val="0"/>
          <w14:ligatures w14:val="none"/>
        </w:rPr>
      </w:pPr>
      <w:bookmarkStart w:id="20" w:name="OLE_LINK18"/>
      <w:bookmarkEnd w:id="19"/>
      <w:r>
        <w:rPr>
          <w:kern w:val="0"/>
          <w14:ligatures w14:val="none"/>
        </w:rPr>
        <w:t xml:space="preserve">Average response of primary Fulbe respondents to the question: “During the past </w:t>
      </w:r>
      <w:bookmarkStart w:id="21" w:name="OLE_LINK39"/>
      <w:r>
        <w:rPr>
          <w:kern w:val="0"/>
          <w14:ligatures w14:val="none"/>
        </w:rPr>
        <w:t xml:space="preserve">rainy season (2023), </w:t>
      </w:r>
      <w:bookmarkEnd w:id="21"/>
      <w:r>
        <w:rPr>
          <w:kern w:val="0"/>
          <w14:ligatures w14:val="none"/>
        </w:rPr>
        <w:t>were any of the cattle that your household raise involved in a crop destruction incident?”;</w:t>
      </w:r>
    </w:p>
    <w:p w14:paraId="42D9377C" w14:textId="2428B3AD" w:rsidR="00BF2669" w:rsidRPr="00BF2669" w:rsidRDefault="00BF2669" w:rsidP="000637CC">
      <w:pPr>
        <w:pStyle w:val="ListParagraph"/>
        <w:numPr>
          <w:ilvl w:val="0"/>
          <w:numId w:val="2"/>
        </w:numPr>
      </w:pPr>
      <w:r>
        <w:rPr>
          <w:kern w:val="0"/>
          <w14:ligatures w14:val="none"/>
        </w:rPr>
        <w:t xml:space="preserve">Average response of primary Fulbe respondents to the question: </w:t>
      </w:r>
      <w:bookmarkEnd w:id="20"/>
      <w:r>
        <w:rPr>
          <w:kern w:val="0"/>
          <w14:ligatures w14:val="none"/>
        </w:rPr>
        <w:t>“</w:t>
      </w:r>
      <w:r w:rsidRPr="00BF2669">
        <w:rPr>
          <w:kern w:val="0"/>
          <w14:ligatures w14:val="none"/>
        </w:rPr>
        <w:t>How worried are you that you could lose the rights to the land you use in this community, or lose the right to some of the land you use, against your will in the next 3 years?</w:t>
      </w:r>
      <w:r>
        <w:rPr>
          <w:kern w:val="0"/>
          <w14:ligatures w14:val="none"/>
        </w:rPr>
        <w:t>”</w:t>
      </w:r>
    </w:p>
    <w:p w14:paraId="018051D0" w14:textId="0E24C920" w:rsidR="00BF2669" w:rsidRPr="00BF2669" w:rsidRDefault="00BF2669" w:rsidP="002D3307">
      <w:r>
        <w:t xml:space="preserve">This resulted in a set of 26 matched pairs. Within each matched pair, NORC randomly assigned one community to a treatment condition and one to control. This was done </w:t>
      </w:r>
      <w:r w:rsidR="00782B31">
        <w:t xml:space="preserve">from an office </w:t>
      </w:r>
      <w:r>
        <w:t>using a random number generator</w:t>
      </w:r>
      <w:r w:rsidR="00782B31">
        <w:t xml:space="preserve"> in R. NORC then communicated the list of communities selected for treatment, along with corresponding information, to LRI and CECOTAPS to begin preparations for implementation.</w:t>
      </w:r>
    </w:p>
    <w:p w14:paraId="735131D2" w14:textId="60E54305" w:rsidR="00782B31" w:rsidRDefault="00782B31" w:rsidP="004077D2">
      <w:pPr>
        <w:pStyle w:val="ListParagraph"/>
        <w:numPr>
          <w:ilvl w:val="0"/>
          <w:numId w:val="1"/>
        </w:numPr>
        <w:spacing w:after="240"/>
        <w:rPr>
          <w:b/>
          <w:bCs/>
        </w:rPr>
      </w:pPr>
      <w:bookmarkStart w:id="22" w:name="OLE_LINK328"/>
      <w:r>
        <w:rPr>
          <w:b/>
          <w:bCs/>
        </w:rPr>
        <w:t>Hypotheses</w:t>
      </w:r>
    </w:p>
    <w:p w14:paraId="729C5168" w14:textId="77777777" w:rsidR="004077D2" w:rsidRDefault="004077D2" w:rsidP="004077D2">
      <w:pPr>
        <w:pStyle w:val="ListParagraph"/>
        <w:spacing w:after="240"/>
        <w:rPr>
          <w:b/>
          <w:bCs/>
        </w:rPr>
      </w:pPr>
    </w:p>
    <w:p w14:paraId="1ED7B629" w14:textId="2C20C411" w:rsidR="0063256F" w:rsidRPr="00393774" w:rsidRDefault="0063256F" w:rsidP="004077D2">
      <w:pPr>
        <w:pStyle w:val="ListParagraph"/>
        <w:numPr>
          <w:ilvl w:val="1"/>
          <w:numId w:val="1"/>
        </w:numPr>
        <w:spacing w:before="240"/>
        <w:rPr>
          <w:rFonts w:cstheme="minorHAnsi"/>
          <w:i/>
          <w:iCs/>
        </w:rPr>
      </w:pPr>
      <w:bookmarkStart w:id="23" w:name="OLE_LINK412"/>
      <w:r w:rsidRPr="00393774">
        <w:rPr>
          <w:rFonts w:cstheme="minorHAnsi"/>
          <w:i/>
          <w:iCs/>
        </w:rPr>
        <w:t>Primary outcomes</w:t>
      </w:r>
    </w:p>
    <w:p w14:paraId="49C76DAE" w14:textId="603F78FE" w:rsidR="0063256F" w:rsidRPr="00393774" w:rsidRDefault="0063256F" w:rsidP="00D54E10">
      <w:pPr>
        <w:rPr>
          <w:rFonts w:cstheme="minorHAnsi"/>
        </w:rPr>
      </w:pPr>
      <w:bookmarkStart w:id="24" w:name="OLE_LINK365"/>
      <w:bookmarkEnd w:id="23"/>
      <w:r w:rsidRPr="00393774">
        <w:rPr>
          <w:rFonts w:cstheme="minorHAnsi"/>
        </w:rPr>
        <w:t xml:space="preserve">Our primary outcomes are grouped into </w:t>
      </w:r>
      <w:r w:rsidR="00517F1F">
        <w:rPr>
          <w:rFonts w:cstheme="minorHAnsi"/>
        </w:rPr>
        <w:t>three</w:t>
      </w:r>
      <w:r w:rsidRPr="00393774">
        <w:rPr>
          <w:rFonts w:cstheme="minorHAnsi"/>
        </w:rPr>
        <w:t xml:space="preserve"> “families”: (1) Disputes and Conflict Resolution</w:t>
      </w:r>
      <w:r w:rsidR="00CE6562">
        <w:rPr>
          <w:rFonts w:cstheme="minorHAnsi"/>
        </w:rPr>
        <w:t>,</w:t>
      </w:r>
      <w:r w:rsidRPr="00393774">
        <w:rPr>
          <w:rFonts w:cstheme="minorHAnsi"/>
        </w:rPr>
        <w:t xml:space="preserve"> (</w:t>
      </w:r>
      <w:r w:rsidR="00CE6562">
        <w:rPr>
          <w:rFonts w:cstheme="minorHAnsi"/>
        </w:rPr>
        <w:t>2</w:t>
      </w:r>
      <w:r w:rsidRPr="00393774">
        <w:rPr>
          <w:rFonts w:cstheme="minorHAnsi"/>
        </w:rPr>
        <w:t xml:space="preserve">) </w:t>
      </w:r>
      <w:r w:rsidR="00517F1F">
        <w:rPr>
          <w:rFonts w:cstheme="minorHAnsi"/>
        </w:rPr>
        <w:t>Violence; and (3) Tenure Security</w:t>
      </w:r>
      <w:r w:rsidRPr="00393774">
        <w:rPr>
          <w:rFonts w:cstheme="minorHAnsi"/>
        </w:rPr>
        <w:t xml:space="preserve">. </w:t>
      </w:r>
      <w:r w:rsidR="00F327A9" w:rsidRPr="00393774">
        <w:rPr>
          <w:rFonts w:cstheme="minorHAnsi"/>
        </w:rPr>
        <w:t>Below we describe how we construct the outcomes in each outcome family and the expected effect of treatment with respect to each outcome.</w:t>
      </w:r>
      <w:r w:rsidR="004077D2">
        <w:rPr>
          <w:rFonts w:cstheme="minorHAnsi"/>
        </w:rPr>
        <w:t xml:space="preserve"> </w:t>
      </w:r>
    </w:p>
    <w:p w14:paraId="51EEDC12" w14:textId="24D94E65" w:rsidR="0004720E" w:rsidRPr="00393774" w:rsidRDefault="00880965" w:rsidP="00D54E10">
      <w:pPr>
        <w:rPr>
          <w:rFonts w:cstheme="minorHAnsi"/>
          <w:b/>
          <w:bCs/>
          <w:kern w:val="0"/>
          <w14:ligatures w14:val="none"/>
        </w:rPr>
      </w:pPr>
      <w:bookmarkStart w:id="25" w:name="OLE_LINK415"/>
      <w:bookmarkEnd w:id="24"/>
      <w:r w:rsidRPr="00393774">
        <w:rPr>
          <w:rFonts w:cstheme="minorHAnsi"/>
          <w:b/>
          <w:bCs/>
          <w:kern w:val="0"/>
          <w14:ligatures w14:val="none"/>
        </w:rPr>
        <w:t>Disputes and Conflict Resolution</w:t>
      </w:r>
    </w:p>
    <w:p w14:paraId="5C6EA53A" w14:textId="06D5C9DD" w:rsidR="00A120D1" w:rsidRPr="00393774" w:rsidRDefault="003105C6" w:rsidP="00A120D1">
      <w:pPr>
        <w:pStyle w:val="ListParagraph"/>
        <w:numPr>
          <w:ilvl w:val="0"/>
          <w:numId w:val="9"/>
        </w:numPr>
        <w:spacing w:line="256" w:lineRule="auto"/>
        <w:rPr>
          <w:rFonts w:cstheme="minorHAnsi"/>
          <w:b/>
          <w:bCs/>
        </w:rPr>
      </w:pPr>
      <w:bookmarkStart w:id="26" w:name="OLE_LINK402"/>
      <w:bookmarkStart w:id="27" w:name="OLE_LINK401"/>
      <w:r>
        <w:rPr>
          <w:rFonts w:cstheme="minorHAnsi"/>
          <w:i/>
          <w:iCs/>
        </w:rPr>
        <w:t>Fair</w:t>
      </w:r>
      <w:r w:rsidR="00396538" w:rsidRPr="00393774">
        <w:rPr>
          <w:rFonts w:cstheme="minorHAnsi"/>
          <w:i/>
          <w:iCs/>
        </w:rPr>
        <w:t xml:space="preserve"> </w:t>
      </w:r>
      <w:r w:rsidR="000A1EA2">
        <w:rPr>
          <w:rFonts w:cstheme="minorHAnsi"/>
          <w:i/>
          <w:iCs/>
        </w:rPr>
        <w:t>Dispute Resolution</w:t>
      </w:r>
      <w:r w:rsidR="00396538" w:rsidRPr="00393774">
        <w:rPr>
          <w:rFonts w:cstheme="minorHAnsi"/>
          <w:i/>
          <w:iCs/>
        </w:rPr>
        <w:t>:</w:t>
      </w:r>
      <w:bookmarkEnd w:id="26"/>
      <w:r w:rsidR="00396538" w:rsidRPr="00393774">
        <w:rPr>
          <w:rFonts w:cstheme="minorHAnsi"/>
          <w:i/>
          <w:iCs/>
        </w:rPr>
        <w:t xml:space="preserve"> </w:t>
      </w:r>
      <w:bookmarkStart w:id="28" w:name="OLE_LINK407"/>
      <w:bookmarkEnd w:id="27"/>
      <w:r w:rsidR="001254F0" w:rsidRPr="00393774">
        <w:rPr>
          <w:rFonts w:eastAsia="Times New Roman" w:cstheme="minorHAnsi"/>
          <w:kern w:val="0"/>
          <w14:ligatures w14:val="none"/>
        </w:rPr>
        <w:t>We generate a binary variable</w:t>
      </w:r>
      <w:r w:rsidR="001254F0" w:rsidRPr="00393774">
        <w:rPr>
          <w:rFonts w:cstheme="minorHAnsi"/>
        </w:rPr>
        <w:t xml:space="preserve"> for whether the respondent </w:t>
      </w:r>
      <w:bookmarkEnd w:id="28"/>
      <w:r w:rsidR="000A1EA2">
        <w:rPr>
          <w:rFonts w:cstheme="minorHAnsi"/>
        </w:rPr>
        <w:t xml:space="preserve">believes crop destruction incidents in the community are resolved </w:t>
      </w:r>
      <w:r>
        <w:rPr>
          <w:rFonts w:cstheme="minorHAnsi"/>
        </w:rPr>
        <w:t>fairly</w:t>
      </w:r>
      <w:r w:rsidR="000A1EA2">
        <w:rPr>
          <w:rFonts w:cstheme="minorHAnsi"/>
        </w:rPr>
        <w:t>.</w:t>
      </w:r>
      <w:r w:rsidR="00C21F8B" w:rsidRPr="00393774">
        <w:rPr>
          <w:rFonts w:cstheme="minorHAnsi"/>
        </w:rPr>
        <w:t xml:space="preserve"> </w:t>
      </w:r>
      <w:bookmarkStart w:id="29" w:name="OLE_LINK408"/>
      <w:r w:rsidR="000A1EA2">
        <w:rPr>
          <w:rFonts w:cstheme="minorHAnsi"/>
        </w:rPr>
        <w:t>The indicator is generated from two questions in the household questionnaire, pasture_disputes and pasture_disputes_</w:t>
      </w:r>
      <w:r>
        <w:rPr>
          <w:rFonts w:cstheme="minorHAnsi"/>
        </w:rPr>
        <w:t>sat1</w:t>
      </w:r>
      <w:r w:rsidR="000A1EA2">
        <w:rPr>
          <w:rFonts w:cstheme="minorHAnsi"/>
        </w:rPr>
        <w:t>. First, we recode pasture_disputes_</w:t>
      </w:r>
      <w:r>
        <w:rPr>
          <w:rFonts w:cstheme="minorHAnsi"/>
        </w:rPr>
        <w:t>sat1</w:t>
      </w:r>
      <w:r w:rsidR="000A1EA2">
        <w:rPr>
          <w:rFonts w:cstheme="minorHAnsi"/>
        </w:rPr>
        <w:t xml:space="preserve"> to 1 if the response is </w:t>
      </w:r>
      <w:r w:rsidR="00386776">
        <w:rPr>
          <w:rFonts w:cstheme="minorHAnsi"/>
        </w:rPr>
        <w:t>“Always” or “Usually” and 0 otherwise. Because this question is only asked if the respondent previously indicated there are crop destruction incidents in the community, we then also recode missing values to 1</w:t>
      </w:r>
      <w:r w:rsidR="000A1EA2">
        <w:rPr>
          <w:rFonts w:cstheme="minorHAnsi"/>
        </w:rPr>
        <w:t xml:space="preserve"> </w:t>
      </w:r>
      <w:r w:rsidR="00386776">
        <w:rPr>
          <w:rFonts w:cstheme="minorHAnsi"/>
        </w:rPr>
        <w:t xml:space="preserve">if the </w:t>
      </w:r>
      <w:r w:rsidR="00386776">
        <w:rPr>
          <w:rFonts w:cstheme="minorHAnsi"/>
        </w:rPr>
        <w:lastRenderedPageBreak/>
        <w:t xml:space="preserve">respondent indicated the community does not have crop destruction incidents. </w:t>
      </w:r>
      <w:bookmarkEnd w:id="29"/>
      <w:r w:rsidR="00C21F8B" w:rsidRPr="00393774">
        <w:rPr>
          <w:rFonts w:eastAsia="Times New Roman" w:cstheme="minorHAnsi"/>
          <w:kern w:val="0"/>
          <w14:ligatures w14:val="none"/>
        </w:rPr>
        <w:t>We expect to see a positive effect for both the Fulbe and non-Fulbe sample.</w:t>
      </w:r>
    </w:p>
    <w:p w14:paraId="441CB1AD" w14:textId="56B135A4" w:rsidR="000961F1" w:rsidRPr="00393774" w:rsidRDefault="003105C6" w:rsidP="000961F1">
      <w:pPr>
        <w:rPr>
          <w:rFonts w:cstheme="minorHAnsi"/>
          <w:b/>
          <w:bCs/>
        </w:rPr>
      </w:pPr>
      <w:bookmarkStart w:id="30" w:name="OLE_LINK2"/>
      <w:r>
        <w:rPr>
          <w:rFonts w:cstheme="minorHAnsi"/>
          <w:b/>
          <w:bCs/>
        </w:rPr>
        <w:t>Violence</w:t>
      </w:r>
    </w:p>
    <w:p w14:paraId="3EAE5EE0" w14:textId="5D3BE4CA" w:rsidR="0063256F" w:rsidRPr="003105C6" w:rsidRDefault="00F327A9" w:rsidP="00396538">
      <w:pPr>
        <w:pStyle w:val="ListParagraph"/>
        <w:numPr>
          <w:ilvl w:val="0"/>
          <w:numId w:val="7"/>
        </w:numPr>
        <w:spacing w:line="254" w:lineRule="auto"/>
        <w:rPr>
          <w:rFonts w:eastAsia="SimSun" w:cstheme="minorHAnsi"/>
          <w:bCs/>
          <w:lang w:eastAsia="zh-CN"/>
        </w:rPr>
      </w:pPr>
      <w:bookmarkStart w:id="31" w:name="OLE_LINK382"/>
      <w:bookmarkEnd w:id="30"/>
      <w:r w:rsidRPr="00204069">
        <w:rPr>
          <w:rFonts w:eastAsia="SimSun" w:cstheme="minorHAnsi"/>
          <w:bCs/>
          <w:i/>
          <w:iCs/>
          <w:lang w:eastAsia="zh-CN"/>
        </w:rPr>
        <w:t xml:space="preserve">Violent Clashes: </w:t>
      </w:r>
      <w:r w:rsidRPr="00204069">
        <w:rPr>
          <w:rFonts w:eastAsia="SimSun" w:cstheme="minorHAnsi"/>
          <w:bCs/>
          <w:lang w:eastAsia="zh-CN"/>
        </w:rPr>
        <w:t xml:space="preserve">We measure violent clashes through the </w:t>
      </w:r>
      <w:r w:rsidR="003E4ECE" w:rsidRPr="00204069">
        <w:rPr>
          <w:rFonts w:eastAsia="Times New Roman" w:cstheme="minorHAnsi"/>
          <w:kern w:val="0"/>
          <w14:ligatures w14:val="none"/>
        </w:rPr>
        <w:t xml:space="preserve">binary response </w:t>
      </w:r>
      <w:r w:rsidRPr="00204069">
        <w:rPr>
          <w:rFonts w:eastAsia="SimSun" w:cstheme="minorHAnsi"/>
          <w:bCs/>
          <w:lang w:eastAsia="zh-CN"/>
        </w:rPr>
        <w:t xml:space="preserve">survey question, </w:t>
      </w:r>
      <w:r w:rsidR="00396538" w:rsidRPr="00204069">
        <w:rPr>
          <w:rFonts w:eastAsia="SimSun" w:cstheme="minorHAnsi"/>
          <w:bCs/>
          <w:lang w:eastAsia="zh-CN"/>
        </w:rPr>
        <w:t>“</w:t>
      </w:r>
      <w:r w:rsidR="0063256F" w:rsidRPr="00204069">
        <w:rPr>
          <w:rFonts w:eastAsia="SimSun" w:cstheme="minorHAnsi"/>
          <w:bCs/>
          <w:lang w:eastAsia="zh-CN"/>
        </w:rPr>
        <w:t>To your knowledge, during the past rainy season were there any violent clashes or disputes in your community?</w:t>
      </w:r>
      <w:bookmarkEnd w:id="31"/>
      <w:r w:rsidR="00396538" w:rsidRPr="00204069">
        <w:rPr>
          <w:rFonts w:eastAsia="SimSun" w:cstheme="minorHAnsi"/>
          <w:bCs/>
          <w:lang w:eastAsia="zh-CN"/>
        </w:rPr>
        <w:t xml:space="preserve">” </w:t>
      </w:r>
      <w:r w:rsidR="00396538" w:rsidRPr="00204069">
        <w:rPr>
          <w:rFonts w:eastAsia="Times New Roman" w:cstheme="minorHAnsi"/>
          <w:kern w:val="0"/>
          <w14:ligatures w14:val="none"/>
        </w:rPr>
        <w:t>We expect to see a negative effect for both the Fulbe and non-Fulbe sample.</w:t>
      </w:r>
    </w:p>
    <w:p w14:paraId="34779375" w14:textId="7009E945" w:rsidR="003105C6" w:rsidRPr="003105C6" w:rsidRDefault="003105C6" w:rsidP="003105C6">
      <w:pPr>
        <w:rPr>
          <w:rFonts w:cstheme="minorHAnsi"/>
          <w:b/>
          <w:bCs/>
        </w:rPr>
      </w:pPr>
      <w:r>
        <w:rPr>
          <w:rFonts w:cstheme="minorHAnsi"/>
          <w:b/>
          <w:bCs/>
        </w:rPr>
        <w:t xml:space="preserve">Tenure </w:t>
      </w:r>
      <w:r w:rsidRPr="003105C6">
        <w:rPr>
          <w:rFonts w:cstheme="minorHAnsi"/>
          <w:b/>
          <w:bCs/>
        </w:rPr>
        <w:t>Security</w:t>
      </w:r>
    </w:p>
    <w:p w14:paraId="644D8C13" w14:textId="78185A2B" w:rsidR="00204069" w:rsidRPr="00204069" w:rsidRDefault="00204069" w:rsidP="00204069">
      <w:pPr>
        <w:pStyle w:val="ListParagraph"/>
        <w:numPr>
          <w:ilvl w:val="0"/>
          <w:numId w:val="7"/>
        </w:numPr>
        <w:spacing w:line="254" w:lineRule="auto"/>
        <w:rPr>
          <w:rFonts w:eastAsia="SimSun" w:cstheme="minorHAnsi"/>
          <w:bCs/>
          <w:lang w:eastAsia="zh-CN"/>
        </w:rPr>
      </w:pPr>
      <w:r w:rsidRPr="00204069">
        <w:rPr>
          <w:rFonts w:cstheme="minorHAnsi"/>
          <w:i/>
          <w:iCs/>
          <w:kern w:val="0"/>
          <w14:ligatures w14:val="none"/>
        </w:rPr>
        <w:t xml:space="preserve">Crop Security: </w:t>
      </w:r>
      <w:r w:rsidRPr="00204069">
        <w:rPr>
          <w:rFonts w:eastAsia="Times New Roman" w:cstheme="minorHAnsi"/>
          <w:kern w:val="0"/>
          <w14:ligatures w14:val="none"/>
        </w:rPr>
        <w:t>We generate a binary variable</w:t>
      </w:r>
      <w:r w:rsidRPr="00204069">
        <w:rPr>
          <w:rFonts w:cstheme="minorHAnsi"/>
          <w:kern w:val="0"/>
          <w14:ligatures w14:val="none"/>
        </w:rPr>
        <w:t xml:space="preserve"> from the survey question, </w:t>
      </w:r>
      <w:r w:rsidRPr="00204069">
        <w:rPr>
          <w:rFonts w:eastAsia="SimSun" w:cstheme="minorHAnsi"/>
          <w:bCs/>
          <w:lang w:eastAsia="zh-CN"/>
        </w:rPr>
        <w:t xml:space="preserve">“In the next 3 years, how likely do you think it is that someone could destroy the crops on your farm without compensating you appropriately?” </w:t>
      </w:r>
      <w:r w:rsidRPr="00204069">
        <w:rPr>
          <w:rFonts w:eastAsia="Times New Roman" w:cstheme="minorHAnsi"/>
          <w:kern w:val="0"/>
          <w14:ligatures w14:val="none"/>
        </w:rPr>
        <w:t>Responses will be recoded to a binary indicator taking a value of 1 if the response is “Impossible/Would never happen” or “Unlikely” and 0 otherwise. We expect to see a positive effect for the Fulbe sample.</w:t>
      </w:r>
    </w:p>
    <w:p w14:paraId="6A639A19" w14:textId="4EAD71D6" w:rsidR="004077D2" w:rsidRPr="00204069" w:rsidRDefault="003E4ECE" w:rsidP="007B102D">
      <w:pPr>
        <w:pStyle w:val="ListParagraph"/>
        <w:numPr>
          <w:ilvl w:val="0"/>
          <w:numId w:val="7"/>
        </w:numPr>
        <w:spacing w:line="254" w:lineRule="auto"/>
        <w:rPr>
          <w:rFonts w:eastAsia="SimSun" w:cstheme="minorHAnsi"/>
          <w:bCs/>
          <w:lang w:eastAsia="zh-CN"/>
        </w:rPr>
      </w:pPr>
      <w:r w:rsidRPr="00204069">
        <w:rPr>
          <w:rFonts w:eastAsia="SimSun" w:cstheme="minorHAnsi"/>
          <w:bCs/>
          <w:i/>
          <w:iCs/>
          <w:lang w:eastAsia="zh-CN"/>
        </w:rPr>
        <w:t xml:space="preserve">Tenure Security: </w:t>
      </w:r>
      <w:r w:rsidRPr="00204069">
        <w:rPr>
          <w:rFonts w:eastAsia="SimSun" w:cstheme="minorHAnsi"/>
          <w:bCs/>
          <w:lang w:eastAsia="zh-CN"/>
        </w:rPr>
        <w:t xml:space="preserve">We measure tenure security through the survey question, </w:t>
      </w:r>
      <w:r w:rsidR="00396538" w:rsidRPr="00204069">
        <w:rPr>
          <w:rFonts w:eastAsia="SimSun" w:cstheme="minorHAnsi"/>
          <w:bCs/>
          <w:lang w:eastAsia="zh-CN"/>
        </w:rPr>
        <w:t>“</w:t>
      </w:r>
      <w:r w:rsidR="000961F1" w:rsidRPr="00204069">
        <w:rPr>
          <w:rFonts w:eastAsia="SimSun" w:cstheme="minorHAnsi"/>
          <w:bCs/>
          <w:lang w:eastAsia="zh-CN"/>
        </w:rPr>
        <w:t>How worried are you that you could lose the rights to the land you use in this community, or lose the right to some of the land you use, against your will in the next 3 years?</w:t>
      </w:r>
      <w:r w:rsidR="00396538" w:rsidRPr="00204069">
        <w:rPr>
          <w:rFonts w:eastAsia="SimSun" w:cstheme="minorHAnsi"/>
          <w:bCs/>
          <w:lang w:eastAsia="zh-CN"/>
        </w:rPr>
        <w:t>”</w:t>
      </w:r>
      <w:r w:rsidR="00C21F8B" w:rsidRPr="00204069">
        <w:rPr>
          <w:rFonts w:eastAsia="SimSun" w:cstheme="minorHAnsi"/>
          <w:bCs/>
          <w:lang w:eastAsia="zh-CN"/>
        </w:rPr>
        <w:t xml:space="preserve"> </w:t>
      </w:r>
      <w:r w:rsidRPr="00204069">
        <w:rPr>
          <w:rFonts w:eastAsia="Times New Roman" w:cstheme="minorHAnsi"/>
          <w:kern w:val="0"/>
          <w14:ligatures w14:val="none"/>
        </w:rPr>
        <w:t xml:space="preserve">Responses will be recoded to a binary indicator taking a value of 1 if the response is “Not worried at all” or “Not worried” and 0 otherwise. </w:t>
      </w:r>
      <w:r w:rsidR="00C21F8B" w:rsidRPr="00204069">
        <w:rPr>
          <w:rFonts w:eastAsia="Times New Roman" w:cstheme="minorHAnsi"/>
          <w:kern w:val="0"/>
          <w14:ligatures w14:val="none"/>
        </w:rPr>
        <w:t xml:space="preserve">We expect to see a </w:t>
      </w:r>
      <w:r w:rsidR="00396538" w:rsidRPr="00204069">
        <w:rPr>
          <w:rFonts w:eastAsia="Times New Roman" w:cstheme="minorHAnsi"/>
          <w:kern w:val="0"/>
          <w14:ligatures w14:val="none"/>
        </w:rPr>
        <w:t>negative</w:t>
      </w:r>
      <w:r w:rsidR="00C21F8B" w:rsidRPr="00204069">
        <w:rPr>
          <w:rFonts w:eastAsia="Times New Roman" w:cstheme="minorHAnsi"/>
          <w:kern w:val="0"/>
          <w14:ligatures w14:val="none"/>
        </w:rPr>
        <w:t xml:space="preserve"> effect for the Fulbe sample only.</w:t>
      </w:r>
      <w:bookmarkEnd w:id="25"/>
    </w:p>
    <w:p w14:paraId="46B200A5" w14:textId="77777777" w:rsidR="007B102D" w:rsidRPr="007B102D" w:rsidRDefault="007B102D" w:rsidP="007B102D">
      <w:pPr>
        <w:pStyle w:val="ListParagraph"/>
        <w:spacing w:line="254" w:lineRule="auto"/>
        <w:rPr>
          <w:rFonts w:eastAsia="SimSun" w:cstheme="minorHAnsi"/>
          <w:bCs/>
          <w:lang w:eastAsia="zh-CN"/>
        </w:rPr>
      </w:pPr>
    </w:p>
    <w:p w14:paraId="0E8F1774" w14:textId="58FC1A5F" w:rsidR="004077D2" w:rsidRDefault="004077D2" w:rsidP="004077D2">
      <w:pPr>
        <w:pStyle w:val="ListParagraph"/>
        <w:numPr>
          <w:ilvl w:val="1"/>
          <w:numId w:val="1"/>
        </w:numPr>
        <w:spacing w:before="240" w:line="256" w:lineRule="auto"/>
        <w:rPr>
          <w:rFonts w:cstheme="minorHAnsi"/>
          <w:i/>
          <w:iCs/>
        </w:rPr>
      </w:pPr>
      <w:bookmarkStart w:id="32" w:name="OLE_LINK414"/>
      <w:r>
        <w:rPr>
          <w:rFonts w:cstheme="minorHAnsi"/>
          <w:i/>
          <w:iCs/>
        </w:rPr>
        <w:t>Mechanisms</w:t>
      </w:r>
    </w:p>
    <w:bookmarkEnd w:id="32"/>
    <w:p w14:paraId="118AC0F4" w14:textId="1BA1E1A2" w:rsidR="00496D34" w:rsidRDefault="00496D34" w:rsidP="00D54E10">
      <w:r>
        <w:t>Assignment to the treatment condition implies the community receiving three distinct interventions, which work to achieve their effects through separate causal chains.</w:t>
      </w:r>
      <w:r w:rsidR="00517F1F">
        <w:t xml:space="preserve"> We will employ both quantitative and qualitative data to descriptively explore these mechanisms and casual chains at endline.</w:t>
      </w:r>
    </w:p>
    <w:p w14:paraId="0E8B1E91" w14:textId="7D871F8E" w:rsidR="00496D34" w:rsidRDefault="00496D34" w:rsidP="00D54E10">
      <w:pPr>
        <w:rPr>
          <w:b/>
          <w:bCs/>
        </w:rPr>
      </w:pPr>
      <w:r>
        <w:rPr>
          <w:b/>
          <w:bCs/>
        </w:rPr>
        <w:t>Integrated Village Savings and Loan Associations (VSLAs)</w:t>
      </w:r>
    </w:p>
    <w:p w14:paraId="41E1F22B" w14:textId="4868905E" w:rsidR="00496D34" w:rsidRDefault="00496D34" w:rsidP="00496D34">
      <w:pPr>
        <w:pStyle w:val="ListParagraph"/>
        <w:numPr>
          <w:ilvl w:val="0"/>
          <w:numId w:val="12"/>
        </w:numPr>
      </w:pPr>
      <w:bookmarkStart w:id="33" w:name="OLE_LINK429"/>
      <w:r>
        <w:t>Individuals from both Fulbe and non-Fulbe households sign up to participate in the VSLA;</w:t>
      </w:r>
    </w:p>
    <w:bookmarkEnd w:id="33"/>
    <w:p w14:paraId="6D691AE7" w14:textId="01ED1556" w:rsidR="00496D34" w:rsidRDefault="00496D34" w:rsidP="00496D34">
      <w:pPr>
        <w:pStyle w:val="ListParagraph"/>
        <w:numPr>
          <w:ilvl w:val="0"/>
          <w:numId w:val="12"/>
        </w:numPr>
      </w:pPr>
      <w:r>
        <w:t>Individuals attend VSLA meetings and participate in VSLA activities (e.g., saving with the group or taking out loans);</w:t>
      </w:r>
    </w:p>
    <w:p w14:paraId="7B39C296" w14:textId="77777777" w:rsidR="00D16963" w:rsidRDefault="00D16963" w:rsidP="00496D34">
      <w:pPr>
        <w:pStyle w:val="ListParagraph"/>
        <w:numPr>
          <w:ilvl w:val="0"/>
          <w:numId w:val="12"/>
        </w:numPr>
      </w:pPr>
      <w:r>
        <w:t>I</w:t>
      </w:r>
      <w:r w:rsidR="00496D34">
        <w:t xml:space="preserve">nterpersonal contact between Fulbe and non-Fulbe </w:t>
      </w:r>
      <w:r>
        <w:t>increases;</w:t>
      </w:r>
    </w:p>
    <w:p w14:paraId="2A00F25F" w14:textId="02070443" w:rsidR="00496D34" w:rsidRDefault="00D16963" w:rsidP="00496D34">
      <w:pPr>
        <w:pStyle w:val="ListParagraph"/>
        <w:numPr>
          <w:ilvl w:val="0"/>
          <w:numId w:val="12"/>
        </w:numPr>
      </w:pPr>
      <w:r>
        <w:t xml:space="preserve">Increased contact </w:t>
      </w:r>
      <w:r>
        <w:rPr>
          <w:kern w:val="0"/>
          <w14:ligatures w14:val="none"/>
        </w:rPr>
        <w:t>reduces stereotypes and prejudices, and builds trust</w:t>
      </w:r>
      <w:r w:rsidR="00BD61C2">
        <w:t>;</w:t>
      </w:r>
    </w:p>
    <w:p w14:paraId="2E43E03E" w14:textId="3F36AED9" w:rsidR="00BD61C2" w:rsidRDefault="00BD61C2" w:rsidP="00496D34">
      <w:pPr>
        <w:pStyle w:val="ListParagraph"/>
        <w:numPr>
          <w:ilvl w:val="0"/>
          <w:numId w:val="12"/>
        </w:numPr>
      </w:pPr>
      <w:r>
        <w:t>Fulbe become more integrated into the community.</w:t>
      </w:r>
    </w:p>
    <w:p w14:paraId="14E8C7D8" w14:textId="37B52ACB" w:rsidR="00496D34" w:rsidRDefault="00496D34" w:rsidP="00496D34">
      <w:pPr>
        <w:rPr>
          <w:b/>
          <w:bCs/>
        </w:rPr>
      </w:pPr>
      <w:bookmarkStart w:id="34" w:name="OLE_LINK421"/>
      <w:r w:rsidRPr="00496D34">
        <w:rPr>
          <w:b/>
          <w:bCs/>
        </w:rPr>
        <w:t>Interethnic Dialogue</w:t>
      </w:r>
    </w:p>
    <w:bookmarkEnd w:id="34"/>
    <w:p w14:paraId="557F3B2C" w14:textId="4E7ABF5A" w:rsidR="0088251C" w:rsidRDefault="0088251C" w:rsidP="0088251C">
      <w:pPr>
        <w:pStyle w:val="ListParagraph"/>
        <w:numPr>
          <w:ilvl w:val="0"/>
          <w:numId w:val="15"/>
        </w:numPr>
        <w:spacing w:line="256" w:lineRule="auto"/>
      </w:pPr>
      <w:r>
        <w:t>Individuals from both Fulbe and non-Fulbe households come together to discuss their differences;</w:t>
      </w:r>
    </w:p>
    <w:p w14:paraId="326D5B95" w14:textId="0333CEF2" w:rsidR="00275EC6" w:rsidRDefault="0088251C" w:rsidP="0088251C">
      <w:pPr>
        <w:pStyle w:val="ListParagraph"/>
        <w:numPr>
          <w:ilvl w:val="0"/>
          <w:numId w:val="15"/>
        </w:numPr>
      </w:pPr>
      <w:r>
        <w:t>Dialogue increases interethnic understanding, reduces resentments, and builds trust;</w:t>
      </w:r>
    </w:p>
    <w:p w14:paraId="5CB7F7BC" w14:textId="5074E2E0" w:rsidR="0088251C" w:rsidRPr="00275EC6" w:rsidRDefault="0088251C" w:rsidP="0088251C">
      <w:pPr>
        <w:pStyle w:val="ListParagraph"/>
        <w:numPr>
          <w:ilvl w:val="0"/>
          <w:numId w:val="15"/>
        </w:numPr>
      </w:pPr>
      <w:r>
        <w:t>Discussion translates into observable changes in the community that are more inclusive of the Fulbe.</w:t>
      </w:r>
    </w:p>
    <w:p w14:paraId="43DBDEA9" w14:textId="2A379C21" w:rsidR="00496D34" w:rsidRDefault="00496D34" w:rsidP="00496D34">
      <w:pPr>
        <w:rPr>
          <w:b/>
          <w:bCs/>
        </w:rPr>
      </w:pPr>
      <w:r>
        <w:rPr>
          <w:b/>
          <w:bCs/>
        </w:rPr>
        <w:t xml:space="preserve">Conflict </w:t>
      </w:r>
      <w:r w:rsidR="00DC77FA">
        <w:rPr>
          <w:b/>
          <w:bCs/>
        </w:rPr>
        <w:t>Mediation</w:t>
      </w:r>
      <w:r>
        <w:rPr>
          <w:b/>
          <w:bCs/>
        </w:rPr>
        <w:t xml:space="preserve"> Committees</w:t>
      </w:r>
    </w:p>
    <w:p w14:paraId="23B53B37" w14:textId="77777777" w:rsidR="00D16963" w:rsidRDefault="00275EC6" w:rsidP="00275EC6">
      <w:pPr>
        <w:pStyle w:val="ListParagraph"/>
        <w:numPr>
          <w:ilvl w:val="0"/>
          <w:numId w:val="14"/>
        </w:numPr>
        <w:spacing w:line="256" w:lineRule="auto"/>
      </w:pPr>
      <w:r>
        <w:t xml:space="preserve">Interethnic conflict mediation committees </w:t>
      </w:r>
      <w:r w:rsidR="00D16963">
        <w:t>are established with representation from key ethnic groups and provided with training to effectively resolve conflicts;</w:t>
      </w:r>
    </w:p>
    <w:p w14:paraId="45E81E03" w14:textId="05871CD4" w:rsidR="00275EC6" w:rsidRDefault="00D16963" w:rsidP="00275EC6">
      <w:pPr>
        <w:pStyle w:val="ListParagraph"/>
        <w:numPr>
          <w:ilvl w:val="0"/>
          <w:numId w:val="14"/>
        </w:numPr>
        <w:spacing w:line="256" w:lineRule="auto"/>
      </w:pPr>
      <w:r>
        <w:lastRenderedPageBreak/>
        <w:t>Newly-established committees are</w:t>
      </w:r>
      <w:r w:rsidR="00275EC6">
        <w:t xml:space="preserve"> perceive</w:t>
      </w:r>
      <w:r>
        <w:t>d by communities</w:t>
      </w:r>
      <w:r w:rsidR="00275EC6">
        <w:t xml:space="preserve"> as being fair</w:t>
      </w:r>
      <w:r>
        <w:t xml:space="preserve">, </w:t>
      </w:r>
      <w:r w:rsidR="00275EC6">
        <w:t>impartial</w:t>
      </w:r>
      <w:r>
        <w:t>, and effective</w:t>
      </w:r>
      <w:r w:rsidR="00275EC6">
        <w:t>;</w:t>
      </w:r>
    </w:p>
    <w:p w14:paraId="2255A506" w14:textId="63B600D8" w:rsidR="00275EC6" w:rsidRDefault="00D16963" w:rsidP="00275EC6">
      <w:pPr>
        <w:pStyle w:val="ListParagraph"/>
        <w:numPr>
          <w:ilvl w:val="0"/>
          <w:numId w:val="14"/>
        </w:numPr>
        <w:spacing w:line="256" w:lineRule="auto"/>
      </w:pPr>
      <w:r>
        <w:t>Parties to complaints seek mediation from committees to resolve disputes;</w:t>
      </w:r>
    </w:p>
    <w:p w14:paraId="7EEC4892" w14:textId="77777777" w:rsidR="00D16963" w:rsidRPr="00D16963" w:rsidRDefault="00D16963" w:rsidP="00275EC6">
      <w:pPr>
        <w:pStyle w:val="ListParagraph"/>
        <w:numPr>
          <w:ilvl w:val="0"/>
          <w:numId w:val="14"/>
        </w:numPr>
        <w:spacing w:line="256" w:lineRule="auto"/>
      </w:pPr>
      <w:r>
        <w:rPr>
          <w:kern w:val="0"/>
          <w14:ligatures w14:val="none"/>
        </w:rPr>
        <w:t xml:space="preserve">Mediation committees effectively resolve disputes; </w:t>
      </w:r>
    </w:p>
    <w:p w14:paraId="58DB9EF3" w14:textId="396C2459" w:rsidR="00D16963" w:rsidRDefault="00D16963" w:rsidP="00275EC6">
      <w:pPr>
        <w:pStyle w:val="ListParagraph"/>
        <w:numPr>
          <w:ilvl w:val="0"/>
          <w:numId w:val="14"/>
        </w:numPr>
        <w:spacing w:line="256" w:lineRule="auto"/>
      </w:pPr>
      <w:r>
        <w:rPr>
          <w:kern w:val="0"/>
          <w14:ligatures w14:val="none"/>
        </w:rPr>
        <w:t>Interethnic resentments and retaliatory incidents of violence and property damage decrease.</w:t>
      </w:r>
    </w:p>
    <w:p w14:paraId="5D15F37A" w14:textId="77777777" w:rsidR="007B102D" w:rsidRDefault="007B102D" w:rsidP="007B102D">
      <w:pPr>
        <w:pStyle w:val="ListParagraph"/>
        <w:keepNext/>
        <w:spacing w:before="240" w:line="254" w:lineRule="auto"/>
        <w:rPr>
          <w:rFonts w:cstheme="minorHAnsi"/>
          <w:i/>
          <w:iCs/>
        </w:rPr>
      </w:pPr>
    </w:p>
    <w:p w14:paraId="2B762EB9" w14:textId="2000E320" w:rsidR="004077D2" w:rsidRDefault="004077D2" w:rsidP="00C662E6">
      <w:pPr>
        <w:pStyle w:val="ListParagraph"/>
        <w:keepNext/>
        <w:numPr>
          <w:ilvl w:val="1"/>
          <w:numId w:val="1"/>
        </w:numPr>
        <w:spacing w:before="240" w:line="254" w:lineRule="auto"/>
        <w:rPr>
          <w:rFonts w:cstheme="minorHAnsi"/>
          <w:i/>
          <w:iCs/>
        </w:rPr>
      </w:pPr>
      <w:r>
        <w:rPr>
          <w:rFonts w:cstheme="minorHAnsi"/>
          <w:i/>
          <w:iCs/>
        </w:rPr>
        <w:t>Heterogenous effects</w:t>
      </w:r>
    </w:p>
    <w:p w14:paraId="27F6596A" w14:textId="0D6FCB2D" w:rsidR="004077D2" w:rsidRDefault="009D0FD7" w:rsidP="00D54E10">
      <w:r>
        <w:t xml:space="preserve">We will test for heterogenous effects by gender. </w:t>
      </w:r>
      <w:r w:rsidR="00DE6137">
        <w:t xml:space="preserve">In general, </w:t>
      </w:r>
      <w:r w:rsidR="00DE6137">
        <w:rPr>
          <w:rFonts w:eastAsia="Times New Roman" w:cstheme="minorHAnsi"/>
          <w:kern w:val="0"/>
          <w14:ligatures w14:val="none"/>
        </w:rPr>
        <w:t>it is not clear ex ante which gender would see greater impacts for any given outcome. Finding differential effects – for example, greater effects for either male or female Fulbe – could be interpreted as evidence that cultural attitudes and gender norms made the intervention less effective for either women or men, or that the program was less successful at including either men or women in intervention activities.</w:t>
      </w:r>
    </w:p>
    <w:p w14:paraId="052FBD2B" w14:textId="5AD9B265" w:rsidR="00E90D04" w:rsidRPr="00E90D04" w:rsidRDefault="00E011D0" w:rsidP="00DE6137">
      <w:pPr>
        <w:spacing w:line="254" w:lineRule="auto"/>
        <w:rPr>
          <w:rFonts w:eastAsia="Times New Roman" w:cstheme="minorHAnsi"/>
          <w:i/>
          <w:iCs/>
          <w:kern w:val="0"/>
          <w14:ligatures w14:val="none"/>
        </w:rPr>
      </w:pPr>
      <w:r>
        <w:rPr>
          <w:rFonts w:eastAsia="Times New Roman" w:cstheme="minorHAnsi"/>
          <w:kern w:val="0"/>
          <w14:ligatures w14:val="none"/>
        </w:rPr>
        <w:t>Since we do not have ex-ante hypotheses for these heterogenous effects, we consider this analysis to be exploratory and will characterize it as such in our reporting</w:t>
      </w:r>
      <w:r w:rsidR="00DE6137">
        <w:rPr>
          <w:rFonts w:eastAsia="Times New Roman" w:cstheme="minorHAnsi"/>
          <w:i/>
          <w:iCs/>
          <w:kern w:val="0"/>
          <w14:ligatures w14:val="none"/>
        </w:rPr>
        <w:t>.</w:t>
      </w:r>
    </w:p>
    <w:bookmarkEnd w:id="22"/>
    <w:p w14:paraId="54F8D2DA" w14:textId="4A4681D7" w:rsidR="00782B31" w:rsidRDefault="00782B31" w:rsidP="00C662E6">
      <w:pPr>
        <w:pStyle w:val="ListParagraph"/>
        <w:keepNext/>
        <w:numPr>
          <w:ilvl w:val="0"/>
          <w:numId w:val="1"/>
        </w:numPr>
        <w:spacing w:line="257" w:lineRule="auto"/>
        <w:rPr>
          <w:b/>
          <w:bCs/>
        </w:rPr>
      </w:pPr>
      <w:r>
        <w:rPr>
          <w:b/>
          <w:bCs/>
        </w:rPr>
        <w:t>Identification Strategy</w:t>
      </w:r>
    </w:p>
    <w:p w14:paraId="4BB538C5" w14:textId="2FCAE0A7" w:rsidR="00782B31" w:rsidRPr="000E1391" w:rsidRDefault="00A953C6" w:rsidP="00782B31">
      <w:pPr>
        <w:spacing w:line="256" w:lineRule="auto"/>
      </w:pPr>
      <w:bookmarkStart w:id="35" w:name="OLE_LINK413"/>
      <w:r w:rsidRPr="000E1391">
        <w:t xml:space="preserve">Our primary outcomes of interests come from questions asked in both the baseline and endline </w:t>
      </w:r>
      <w:r w:rsidR="001018A4">
        <w:t xml:space="preserve">household </w:t>
      </w:r>
      <w:r w:rsidRPr="000E1391">
        <w:t>surveys</w:t>
      </w:r>
      <w:r w:rsidR="0051109E">
        <w:t>, detailed in Section 4.1</w:t>
      </w:r>
      <w:r w:rsidRPr="000E1391">
        <w:t>. We rely on the following ANCOVA specification to test for treatment effects on these outcomes:</w:t>
      </w:r>
    </w:p>
    <w:bookmarkStart w:id="36" w:name="OLE_LINK331"/>
    <w:bookmarkStart w:id="37" w:name="OLE_LINK337"/>
    <w:bookmarkEnd w:id="35"/>
    <w:p w14:paraId="6768C468" w14:textId="5A73A1D4" w:rsidR="00A953C6" w:rsidRPr="000E1391" w:rsidRDefault="00DD3BA0" w:rsidP="00782B31">
      <w:pPr>
        <w:spacing w:line="256" w:lineRule="auto"/>
      </w:pPr>
      <m:oMathPara>
        <m:oMath>
          <m:sSub>
            <m:sSubPr>
              <m:ctrlPr>
                <w:rPr>
                  <w:rFonts w:ascii="Cambria Math" w:hAnsi="Cambria Math"/>
                  <w:i/>
                </w:rPr>
              </m:ctrlPr>
            </m:sSubPr>
            <m:e>
              <m:r>
                <w:rPr>
                  <w:rFonts w:ascii="Cambria Math" w:hAnsi="Cambria Math"/>
                </w:rPr>
                <m:t>Y</m:t>
              </m:r>
            </m:e>
            <m:sub>
              <m:r>
                <w:rPr>
                  <w:rFonts w:ascii="Cambria Math" w:hAnsi="Cambria Math"/>
                </w:rPr>
                <m:t>i</m:t>
              </m:r>
              <m:r>
                <w:rPr>
                  <w:rFonts w:ascii="Cambria Math" w:hAnsi="Cambria Math"/>
                </w:rPr>
                <m:t>,</m:t>
              </m:r>
              <m:r>
                <w:rPr>
                  <w:rFonts w:ascii="Cambria Math" w:hAnsi="Cambria Math"/>
                </w:rPr>
                <m:t>c</m:t>
              </m:r>
              <m:r>
                <w:rPr>
                  <w:rFonts w:ascii="Cambria Math" w:hAnsi="Cambria Math"/>
                </w:rPr>
                <m:t>,</m:t>
              </m:r>
              <m:r>
                <w:rPr>
                  <w:rFonts w:ascii="Cambria Math" w:hAnsi="Cambria Math"/>
                </w:rPr>
                <m:t>t</m:t>
              </m:r>
              <m:r>
                <w:rPr>
                  <w:rFonts w:ascii="Cambria Math" w:hAnsi="Cambria Math"/>
                </w:rPr>
                <m:t>=1</m:t>
              </m:r>
            </m:sub>
          </m:sSub>
          <w:bookmarkEnd w:id="36"/>
          <m:r>
            <w:rPr>
              <w:rFonts w:ascii="Cambria Math" w:hAnsi="Cambria Math"/>
            </w:rPr>
            <m:t>=</m:t>
          </m:r>
          <w:bookmarkStart w:id="38" w:name="OLE_LINK329"/>
          <m:sSub>
            <m:sSubPr>
              <m:ctrlPr>
                <w:rPr>
                  <w:rFonts w:ascii="Cambria Math" w:hAnsi="Cambria Math"/>
                  <w:i/>
                </w:rPr>
              </m:ctrlPr>
            </m:sSubPr>
            <m:e>
              <m:r>
                <w:rPr>
                  <w:rFonts w:ascii="Cambria Math" w:hAnsi="Cambria Math"/>
                </w:rPr>
                <m:t>β</m:t>
              </m:r>
            </m:e>
            <m:sub>
              <m:r>
                <w:rPr>
                  <w:rFonts w:ascii="Cambria Math" w:hAnsi="Cambria Math"/>
                </w:rPr>
                <m:t>0</m:t>
              </m:r>
            </m:sub>
          </m:sSub>
          <w:bookmarkEnd w:id="38"/>
          <m:r>
            <w:rPr>
              <w:rFonts w:ascii="Cambria Math" w:hAnsi="Cambria Math"/>
            </w:rPr>
            <m:t>+</m:t>
          </m:r>
          <w:bookmarkStart w:id="39" w:name="OLE_LINK330"/>
          <m:sSub>
            <m:sSubPr>
              <m:ctrlPr>
                <w:rPr>
                  <w:rFonts w:ascii="Cambria Math" w:hAnsi="Cambria Math" w:cs="Times New Roman"/>
                  <w:i/>
                </w:rPr>
              </m:ctrlPr>
            </m:sSubPr>
            <m:e>
              <m:r>
                <w:rPr>
                  <w:rFonts w:ascii="Cambria Math" w:hAnsi="Cambria Math"/>
                  <w:kern w:val="0"/>
                  <w14:ligatures w14:val="none"/>
                </w:rPr>
                <m:t>β</m:t>
              </m:r>
            </m:e>
            <m:sub>
              <m:r>
                <w:rPr>
                  <w:rFonts w:ascii="Cambria Math" w:hAnsi="Cambria Math"/>
                  <w:kern w:val="0"/>
                  <w14:ligatures w14:val="none"/>
                </w:rPr>
                <m:t>1</m:t>
              </m:r>
            </m:sub>
          </m:sSub>
          <w:bookmarkStart w:id="40" w:name="OLE_LINK333"/>
          <w:bookmarkEnd w:id="39"/>
          <m:sSub>
            <m:sSubPr>
              <m:ctrlPr>
                <w:rPr>
                  <w:rFonts w:ascii="Cambria Math" w:hAnsi="Cambria Math" w:cs="Times New Roman"/>
                  <w:i/>
                </w:rPr>
              </m:ctrlPr>
            </m:sSubPr>
            <m:e>
              <m:r>
                <w:rPr>
                  <w:rFonts w:ascii="Cambria Math" w:hAnsi="Cambria Math"/>
                  <w:kern w:val="0"/>
                  <w14:ligatures w14:val="none"/>
                </w:rPr>
                <m:t>T</m:t>
              </m:r>
            </m:e>
            <m:sub>
              <m:r>
                <w:rPr>
                  <w:rFonts w:ascii="Cambria Math" w:hAnsi="Cambria Math"/>
                  <w:kern w:val="0"/>
                  <w14:ligatures w14:val="none"/>
                </w:rPr>
                <m:t>i</m:t>
              </m:r>
              <m:r>
                <w:rPr>
                  <w:rFonts w:ascii="Cambria Math" w:hAnsi="Cambria Math"/>
                  <w:kern w:val="0"/>
                  <w14:ligatures w14:val="none"/>
                </w:rPr>
                <m:t>,</m:t>
              </m:r>
              <m:r>
                <w:rPr>
                  <w:rFonts w:ascii="Cambria Math" w:hAnsi="Cambria Math"/>
                  <w:kern w:val="0"/>
                  <w14:ligatures w14:val="none"/>
                </w:rPr>
                <m:t>c</m:t>
              </m:r>
            </m:sub>
          </m:sSub>
          <w:bookmarkEnd w:id="40"/>
          <m:r>
            <w:rPr>
              <w:rFonts w:ascii="Cambria Math" w:hAnsi="Cambria Math" w:cs="Times New Roman"/>
            </w:rPr>
            <m:t>+</m:t>
          </m:r>
          <w:bookmarkStart w:id="41" w:name="OLE_LINK332"/>
          <m:r>
            <w:rPr>
              <w:rFonts w:ascii="Cambria Math" w:hAnsi="Cambria Math" w:cs="Times New Roman"/>
            </w:rPr>
            <m:t>π</m:t>
          </m:r>
          <m:sSub>
            <m:sSubPr>
              <m:ctrlPr>
                <w:rPr>
                  <w:rFonts w:ascii="Cambria Math" w:hAnsi="Cambria Math" w:cs="Times New Roman"/>
                  <w:i/>
                </w:rPr>
              </m:ctrlPr>
            </m:sSubPr>
            <m:e>
              <m:r>
                <w:rPr>
                  <w:rFonts w:ascii="Cambria Math" w:hAnsi="Cambria Math"/>
                  <w:kern w:val="0"/>
                  <w14:ligatures w14:val="none"/>
                </w:rPr>
                <m:t>Y</m:t>
              </m:r>
            </m:e>
            <m:sub>
              <m:r>
                <w:rPr>
                  <w:rFonts w:ascii="Cambria Math" w:hAnsi="Cambria Math"/>
                  <w:kern w:val="0"/>
                  <w14:ligatures w14:val="none"/>
                </w:rPr>
                <m:t>i</m:t>
              </m:r>
              <m:r>
                <w:rPr>
                  <w:rFonts w:ascii="Cambria Math" w:hAnsi="Cambria Math"/>
                  <w:kern w:val="0"/>
                  <w14:ligatures w14:val="none"/>
                </w:rPr>
                <m:t>,</m:t>
              </m:r>
              <m:r>
                <w:rPr>
                  <w:rFonts w:ascii="Cambria Math" w:hAnsi="Cambria Math"/>
                  <w:kern w:val="0"/>
                  <w14:ligatures w14:val="none"/>
                </w:rPr>
                <m:t>c</m:t>
              </m:r>
              <m:r>
                <w:rPr>
                  <w:rFonts w:ascii="Cambria Math" w:hAnsi="Cambria Math"/>
                  <w:kern w:val="0"/>
                  <w14:ligatures w14:val="none"/>
                </w:rPr>
                <m:t>,</m:t>
              </m:r>
              <m:r>
                <w:rPr>
                  <w:rFonts w:ascii="Cambria Math" w:hAnsi="Cambria Math"/>
                  <w:kern w:val="0"/>
                  <w14:ligatures w14:val="none"/>
                </w:rPr>
                <m:t>t</m:t>
              </m:r>
              <m:r>
                <w:rPr>
                  <w:rFonts w:ascii="Cambria Math" w:hAnsi="Cambria Math"/>
                  <w:kern w:val="0"/>
                  <w14:ligatures w14:val="none"/>
                </w:rPr>
                <m:t>=0</m:t>
              </m:r>
            </m:sub>
          </m:sSub>
          <w:bookmarkEnd w:id="41"/>
          <m:r>
            <w:rPr>
              <w:rFonts w:ascii="Cambria Math" w:hAnsi="Cambria Math" w:cs="Times New Roman"/>
            </w:rPr>
            <m:t>+</m:t>
          </m:r>
          <m:r>
            <w:rPr>
              <w:rFonts w:ascii="Cambria Math" w:hAnsi="Cambria Math" w:cs="Times New Roman"/>
            </w:rPr>
            <m:t>α</m:t>
          </m:r>
          <m:r>
            <w:rPr>
              <w:rFonts w:ascii="Cambria Math" w:hAnsi="Cambria Math" w:cs="Times New Roman"/>
            </w:rPr>
            <m:t>'</m:t>
          </m:r>
          <w:bookmarkStart w:id="42" w:name="OLE_LINK335"/>
          <m:sSub>
            <m:sSubPr>
              <m:ctrlPr>
                <w:rPr>
                  <w:rFonts w:ascii="Cambria Math" w:hAnsi="Cambria Math" w:cs="Times New Roman"/>
                  <w:i/>
                </w:rPr>
              </m:ctrlPr>
            </m:sSubPr>
            <m:e>
              <m:r>
                <w:rPr>
                  <w:rFonts w:ascii="Cambria Math" w:hAnsi="Cambria Math"/>
                  <w:kern w:val="0"/>
                  <w14:ligatures w14:val="none"/>
                </w:rPr>
                <m:t>X</m:t>
              </m:r>
            </m:e>
            <m:sub>
              <m:r>
                <w:rPr>
                  <w:rFonts w:ascii="Cambria Math" w:hAnsi="Cambria Math"/>
                  <w:kern w:val="0"/>
                  <w14:ligatures w14:val="none"/>
                </w:rPr>
                <m:t>i</m:t>
              </m:r>
              <m:r>
                <w:rPr>
                  <w:rFonts w:ascii="Cambria Math" w:hAnsi="Cambria Math"/>
                  <w:kern w:val="0"/>
                  <w14:ligatures w14:val="none"/>
                </w:rPr>
                <m:t>,</m:t>
              </m:r>
              <m:r>
                <w:rPr>
                  <w:rFonts w:ascii="Cambria Math" w:hAnsi="Cambria Math"/>
                  <w:kern w:val="0"/>
                  <w14:ligatures w14:val="none"/>
                </w:rPr>
                <m:t>c</m:t>
              </m:r>
              <m:r>
                <w:rPr>
                  <w:rFonts w:ascii="Cambria Math" w:hAnsi="Cambria Math"/>
                  <w:kern w:val="0"/>
                  <w14:ligatures w14:val="none"/>
                </w:rPr>
                <m:t>,</m:t>
              </m:r>
              <m:r>
                <w:rPr>
                  <w:rFonts w:ascii="Cambria Math" w:hAnsi="Cambria Math"/>
                  <w:kern w:val="0"/>
                  <w14:ligatures w14:val="none"/>
                </w:rPr>
                <m:t>t</m:t>
              </m:r>
              <m:r>
                <w:rPr>
                  <w:rFonts w:ascii="Cambria Math" w:hAnsi="Cambria Math"/>
                  <w:kern w:val="0"/>
                  <w14:ligatures w14:val="none"/>
                </w:rPr>
                <m:t>=0</m:t>
              </m:r>
            </m:sub>
          </m:sSub>
          <w:bookmarkEnd w:id="42"/>
          <m:r>
            <w:rPr>
              <w:rFonts w:ascii="Cambria Math" w:hAnsi="Cambria Math" w:cs="Times New Roman"/>
            </w:rPr>
            <m:t>+</m:t>
          </m:r>
          <w:bookmarkStart w:id="43" w:name="OLE_LINK334"/>
          <m:sSub>
            <m:sSubPr>
              <m:ctrlPr>
                <w:rPr>
                  <w:rFonts w:ascii="Cambria Math" w:hAnsi="Cambria Math" w:cs="Times New Roman"/>
                  <w:i/>
                </w:rPr>
              </m:ctrlPr>
            </m:sSubPr>
            <m:e>
              <m:r>
                <w:rPr>
                  <w:rFonts w:ascii="Cambria Math" w:hAnsi="Cambria Math"/>
                  <w:kern w:val="0"/>
                  <w14:ligatures w14:val="none"/>
                </w:rPr>
                <m:t>γ</m:t>
              </m:r>
            </m:e>
            <m:sub>
              <m:r>
                <w:rPr>
                  <w:rFonts w:ascii="Cambria Math" w:hAnsi="Cambria Math"/>
                  <w:kern w:val="0"/>
                  <w14:ligatures w14:val="none"/>
                </w:rPr>
                <m:t>d</m:t>
              </m:r>
            </m:sub>
          </m:sSub>
          <w:bookmarkStart w:id="44" w:name="OLE_LINK336"/>
          <w:bookmarkEnd w:id="43"/>
          <m:sSub>
            <m:sSubPr>
              <m:ctrlPr>
                <w:rPr>
                  <w:rFonts w:ascii="Cambria Math" w:hAnsi="Cambria Math" w:cs="Times New Roman"/>
                  <w:i/>
                </w:rPr>
              </m:ctrlPr>
            </m:sSubPr>
            <m:e>
              <m:r>
                <w:rPr>
                  <w:rFonts w:ascii="Cambria Math" w:hAnsi="Cambria Math" w:cs="Times New Roman"/>
                </w:rPr>
                <m:t>+</m:t>
              </m:r>
              <m:r>
                <w:rPr>
                  <w:rFonts w:ascii="Cambria Math" w:hAnsi="Cambria Math" w:cs="Times New Roman"/>
                </w:rPr>
                <m:t>u</m:t>
              </m:r>
            </m:e>
            <m:sub>
              <m:r>
                <w:rPr>
                  <w:rFonts w:ascii="Cambria Math" w:hAnsi="Cambria Math"/>
                  <w:kern w:val="0"/>
                  <w14:ligatures w14:val="none"/>
                </w:rPr>
                <m:t>i</m:t>
              </m:r>
              <m:r>
                <w:rPr>
                  <w:rFonts w:ascii="Cambria Math" w:hAnsi="Cambria Math"/>
                  <w:kern w:val="0"/>
                  <w14:ligatures w14:val="none"/>
                </w:rPr>
                <m:t>,</m:t>
              </m:r>
              <m:r>
                <w:rPr>
                  <w:rFonts w:ascii="Cambria Math" w:hAnsi="Cambria Math"/>
                  <w:kern w:val="0"/>
                  <w14:ligatures w14:val="none"/>
                </w:rPr>
                <m:t>c</m:t>
              </m:r>
            </m:sub>
          </m:sSub>
          <w:bookmarkEnd w:id="44"/>
          <m:r>
            <w:rPr>
              <w:rFonts w:ascii="Cambria Math" w:hAnsi="Cambria Math" w:cs="Times New Roman"/>
            </w:rPr>
            <m:t xml:space="preserve">       (1)</m:t>
          </m:r>
        </m:oMath>
      </m:oMathPara>
    </w:p>
    <w:bookmarkEnd w:id="37"/>
    <w:p w14:paraId="0638C650" w14:textId="587693E9" w:rsidR="00782B31" w:rsidRPr="000E1391" w:rsidRDefault="005344BD" w:rsidP="002D3307">
      <w:pPr>
        <w:rPr>
          <w:rFonts w:eastAsiaTheme="minorEastAsia"/>
        </w:rPr>
      </w:pPr>
      <w:r w:rsidRPr="000E1391">
        <w:t xml:space="preserve">Where </w:t>
      </w:r>
      <m:oMath>
        <m:sSub>
          <m:sSubPr>
            <m:ctrlPr>
              <w:rPr>
                <w:rFonts w:ascii="Cambria Math" w:hAnsi="Cambria Math" w:cs="Times New Roman"/>
                <w:i/>
              </w:rPr>
            </m:ctrlPr>
          </m:sSubPr>
          <m:e>
            <m:r>
              <w:rPr>
                <w:rFonts w:ascii="Cambria Math" w:hAnsi="Cambria Math"/>
                <w:kern w:val="0"/>
                <w14:ligatures w14:val="none"/>
              </w:rPr>
              <m:t>Y</m:t>
            </m:r>
          </m:e>
          <m:sub>
            <m:r>
              <w:rPr>
                <w:rFonts w:ascii="Cambria Math" w:hAnsi="Cambria Math"/>
                <w:kern w:val="0"/>
                <w14:ligatures w14:val="none"/>
              </w:rPr>
              <m:t>i,c,t=1</m:t>
            </m:r>
          </m:sub>
        </m:sSub>
      </m:oMath>
      <w:r w:rsidRPr="000E1391">
        <w:rPr>
          <w:rFonts w:eastAsiaTheme="minorEastAsia"/>
        </w:rPr>
        <w:t xml:space="preserve">is the outcome measured at endline; </w:t>
      </w:r>
      <m:oMath>
        <m:sSub>
          <m:sSubPr>
            <m:ctrlPr>
              <w:rPr>
                <w:rFonts w:ascii="Cambria Math" w:hAnsi="Cambria Math" w:cs="Times New Roman"/>
                <w:i/>
              </w:rPr>
            </m:ctrlPr>
          </m:sSubPr>
          <m:e>
            <m:r>
              <w:rPr>
                <w:rFonts w:ascii="Cambria Math" w:hAnsi="Cambria Math"/>
                <w:kern w:val="0"/>
                <w14:ligatures w14:val="none"/>
              </w:rPr>
              <m:t>Y</m:t>
            </m:r>
          </m:e>
          <m:sub>
            <m:r>
              <w:rPr>
                <w:rFonts w:ascii="Cambria Math" w:hAnsi="Cambria Math"/>
                <w:kern w:val="0"/>
                <w14:ligatures w14:val="none"/>
              </w:rPr>
              <m:t>i,c,t=0</m:t>
            </m:r>
          </m:sub>
        </m:sSub>
      </m:oMath>
      <w:r w:rsidRPr="000E1391">
        <w:rPr>
          <w:rFonts w:eastAsiaTheme="minorEastAsia"/>
        </w:rPr>
        <w:t xml:space="preserve"> is the outcome measured at baseline; </w:t>
      </w:r>
      <m:oMath>
        <m:sSub>
          <m:sSubPr>
            <m:ctrlPr>
              <w:rPr>
                <w:rFonts w:ascii="Cambria Math" w:hAnsi="Cambria Math" w:cs="Times New Roman"/>
                <w:i/>
              </w:rPr>
            </m:ctrlPr>
          </m:sSubPr>
          <m:e>
            <m:r>
              <w:rPr>
                <w:rFonts w:ascii="Cambria Math" w:hAnsi="Cambria Math"/>
                <w:kern w:val="0"/>
                <w14:ligatures w14:val="none"/>
              </w:rPr>
              <m:t>T</m:t>
            </m:r>
          </m:e>
          <m:sub>
            <m:r>
              <w:rPr>
                <w:rFonts w:ascii="Cambria Math" w:hAnsi="Cambria Math"/>
                <w:kern w:val="0"/>
                <w14:ligatures w14:val="none"/>
              </w:rPr>
              <m:t>i,c</m:t>
            </m:r>
          </m:sub>
        </m:sSub>
      </m:oMath>
      <w:r w:rsidRPr="000E1391">
        <w:rPr>
          <w:rFonts w:eastAsiaTheme="minorEastAsia"/>
        </w:rPr>
        <w:t xml:space="preserve"> is a dummy indicating whether the community </w:t>
      </w:r>
      <w:r w:rsidRPr="000E1391">
        <w:rPr>
          <w:rFonts w:eastAsiaTheme="minorEastAsia"/>
          <w:i/>
          <w:iCs/>
        </w:rPr>
        <w:t>c</w:t>
      </w:r>
      <w:r w:rsidRPr="000E1391">
        <w:rPr>
          <w:rFonts w:eastAsiaTheme="minorEastAsia"/>
        </w:rPr>
        <w:t xml:space="preserve">, where respondent </w:t>
      </w:r>
      <w:r w:rsidRPr="000E1391">
        <w:rPr>
          <w:rFonts w:eastAsiaTheme="minorEastAsia"/>
          <w:i/>
          <w:iCs/>
        </w:rPr>
        <w:t>i</w:t>
      </w:r>
      <w:r w:rsidRPr="000E1391">
        <w:rPr>
          <w:rFonts w:eastAsiaTheme="minorEastAsia"/>
        </w:rPr>
        <w:t xml:space="preserve"> lives</w:t>
      </w:r>
      <w:r w:rsidR="00327C32">
        <w:rPr>
          <w:rFonts w:eastAsiaTheme="minorEastAsia"/>
        </w:rPr>
        <w:t>,</w:t>
      </w:r>
      <w:r w:rsidRPr="000E1391">
        <w:rPr>
          <w:rFonts w:eastAsiaTheme="minorEastAsia"/>
        </w:rPr>
        <w:t xml:space="preserve"> was assigned to treatment; </w:t>
      </w:r>
      <w:bookmarkStart w:id="45" w:name="OLE_LINK341"/>
      <m:oMath>
        <m:sSub>
          <m:sSubPr>
            <m:ctrlPr>
              <w:rPr>
                <w:rFonts w:ascii="Cambria Math" w:hAnsi="Cambria Math" w:cs="Times New Roman"/>
                <w:i/>
              </w:rPr>
            </m:ctrlPr>
          </m:sSubPr>
          <m:e>
            <m:r>
              <w:rPr>
                <w:rFonts w:ascii="Cambria Math" w:hAnsi="Cambria Math"/>
                <w:kern w:val="0"/>
                <w14:ligatures w14:val="none"/>
              </w:rPr>
              <m:t>X</m:t>
            </m:r>
          </m:e>
          <m:sub>
            <m:r>
              <w:rPr>
                <w:rFonts w:ascii="Cambria Math" w:hAnsi="Cambria Math"/>
                <w:kern w:val="0"/>
                <w14:ligatures w14:val="none"/>
              </w:rPr>
              <m:t>i,c,t=0</m:t>
            </m:r>
          </m:sub>
        </m:sSub>
      </m:oMath>
      <w:r w:rsidRPr="000E1391">
        <w:rPr>
          <w:rFonts w:eastAsiaTheme="minorEastAsia"/>
        </w:rPr>
        <w:t xml:space="preserve"> </w:t>
      </w:r>
      <w:bookmarkEnd w:id="45"/>
      <w:r w:rsidRPr="000E1391">
        <w:rPr>
          <w:rFonts w:eastAsiaTheme="minorEastAsia"/>
        </w:rPr>
        <w:t xml:space="preserve">is a set of respondent- and </w:t>
      </w:r>
      <w:r w:rsidR="008652D7" w:rsidRPr="000E1391">
        <w:rPr>
          <w:rFonts w:eastAsiaTheme="minorEastAsia"/>
        </w:rPr>
        <w:t>household</w:t>
      </w:r>
      <w:r w:rsidRPr="000E1391">
        <w:rPr>
          <w:rFonts w:eastAsiaTheme="minorEastAsia"/>
        </w:rPr>
        <w:t xml:space="preserve">-level controls measured at baseline; and </w:t>
      </w:r>
      <m:oMath>
        <m:sSub>
          <m:sSubPr>
            <m:ctrlPr>
              <w:rPr>
                <w:rFonts w:ascii="Cambria Math" w:hAnsi="Cambria Math" w:cs="Times New Roman"/>
                <w:i/>
              </w:rPr>
            </m:ctrlPr>
          </m:sSubPr>
          <m:e>
            <m:r>
              <w:rPr>
                <w:rFonts w:ascii="Cambria Math" w:hAnsi="Cambria Math"/>
                <w:kern w:val="0"/>
                <w14:ligatures w14:val="none"/>
              </w:rPr>
              <m:t>γ</m:t>
            </m:r>
          </m:e>
          <m:sub>
            <m:r>
              <w:rPr>
                <w:rFonts w:ascii="Cambria Math" w:hAnsi="Cambria Math"/>
                <w:kern w:val="0"/>
                <w14:ligatures w14:val="none"/>
              </w:rPr>
              <m:t>d</m:t>
            </m:r>
          </m:sub>
        </m:sSub>
      </m:oMath>
      <w:r w:rsidRPr="000E1391">
        <w:rPr>
          <w:rFonts w:eastAsiaTheme="minorEastAsia"/>
        </w:rPr>
        <w:t xml:space="preserve"> is a district-level fixed effect.</w:t>
      </w:r>
      <w:r w:rsidR="00872D42" w:rsidRPr="000E1391">
        <w:rPr>
          <w:rFonts w:eastAsiaTheme="minorEastAsia"/>
        </w:rPr>
        <w:t xml:space="preserve"> We plan to control for the following characteristics in </w:t>
      </w:r>
      <m:oMath>
        <m:sSub>
          <m:sSubPr>
            <m:ctrlPr>
              <w:rPr>
                <w:rFonts w:ascii="Cambria Math" w:hAnsi="Cambria Math" w:cs="Times New Roman"/>
                <w:i/>
              </w:rPr>
            </m:ctrlPr>
          </m:sSubPr>
          <m:e>
            <m:r>
              <w:rPr>
                <w:rFonts w:ascii="Cambria Math" w:hAnsi="Cambria Math"/>
                <w:kern w:val="0"/>
                <w14:ligatures w14:val="none"/>
              </w:rPr>
              <m:t>X</m:t>
            </m:r>
          </m:e>
          <m:sub>
            <m:r>
              <w:rPr>
                <w:rFonts w:ascii="Cambria Math" w:hAnsi="Cambria Math"/>
                <w:kern w:val="0"/>
                <w14:ligatures w14:val="none"/>
              </w:rPr>
              <m:t>i,c,t=0</m:t>
            </m:r>
          </m:sub>
        </m:sSub>
      </m:oMath>
      <w:r w:rsidR="00872D42" w:rsidRPr="000E1391">
        <w:rPr>
          <w:rFonts w:eastAsiaTheme="minorEastAsia"/>
        </w:rPr>
        <w:t xml:space="preserve">: </w:t>
      </w:r>
      <w:r w:rsidR="008652D7" w:rsidRPr="000E1391">
        <w:rPr>
          <w:rFonts w:eastAsiaTheme="minorEastAsia"/>
        </w:rPr>
        <w:t xml:space="preserve">respondent </w:t>
      </w:r>
      <w:r w:rsidR="00872D42" w:rsidRPr="000E1391">
        <w:rPr>
          <w:rFonts w:eastAsiaTheme="minorEastAsia"/>
        </w:rPr>
        <w:t xml:space="preserve">gender, age, education, dummy for being born in the community, number of household members, </w:t>
      </w:r>
      <w:bookmarkStart w:id="46" w:name="OLE_LINK342"/>
      <w:r w:rsidR="00661E8E">
        <w:rPr>
          <w:rFonts w:eastAsiaTheme="minorEastAsia"/>
        </w:rPr>
        <w:t xml:space="preserve">a </w:t>
      </w:r>
      <w:r w:rsidR="00872D42" w:rsidRPr="000E1391">
        <w:rPr>
          <w:rFonts w:eastAsiaTheme="minorEastAsia"/>
        </w:rPr>
        <w:t>dummy</w:t>
      </w:r>
      <w:r w:rsidR="00661E8E">
        <w:rPr>
          <w:rFonts w:eastAsiaTheme="minorEastAsia"/>
        </w:rPr>
        <w:t xml:space="preserve"> for</w:t>
      </w:r>
      <w:r w:rsidR="00872D42" w:rsidRPr="000E1391">
        <w:rPr>
          <w:rFonts w:eastAsiaTheme="minorEastAsia"/>
        </w:rPr>
        <w:t xml:space="preserve"> </w:t>
      </w:r>
      <w:r w:rsidR="00CE6562">
        <w:rPr>
          <w:rFonts w:eastAsiaTheme="minorEastAsia"/>
        </w:rPr>
        <w:t xml:space="preserve">whether any </w:t>
      </w:r>
      <w:r w:rsidR="00872D42" w:rsidRPr="000E1391">
        <w:rPr>
          <w:rFonts w:eastAsiaTheme="minorEastAsia"/>
        </w:rPr>
        <w:t xml:space="preserve">children </w:t>
      </w:r>
      <w:r w:rsidR="008652D7" w:rsidRPr="000E1391">
        <w:rPr>
          <w:rFonts w:eastAsiaTheme="minorEastAsia"/>
        </w:rPr>
        <w:t xml:space="preserve">in the household </w:t>
      </w:r>
      <w:r w:rsidR="00CE6562">
        <w:rPr>
          <w:rFonts w:eastAsiaTheme="minorEastAsia"/>
        </w:rPr>
        <w:t>participate in cattle herding activities</w:t>
      </w:r>
      <w:r w:rsidR="00872D42" w:rsidRPr="000E1391">
        <w:rPr>
          <w:rFonts w:eastAsiaTheme="minorEastAsia"/>
        </w:rPr>
        <w:t xml:space="preserve">, number of cattle </w:t>
      </w:r>
      <w:r w:rsidR="008652D7" w:rsidRPr="000E1391">
        <w:rPr>
          <w:rFonts w:eastAsiaTheme="minorEastAsia"/>
        </w:rPr>
        <w:t xml:space="preserve">household </w:t>
      </w:r>
      <w:r w:rsidR="00872D42" w:rsidRPr="000E1391">
        <w:rPr>
          <w:rFonts w:eastAsiaTheme="minorEastAsia"/>
        </w:rPr>
        <w:t>own</w:t>
      </w:r>
      <w:r w:rsidR="008652D7" w:rsidRPr="000E1391">
        <w:rPr>
          <w:rFonts w:eastAsiaTheme="minorEastAsia"/>
        </w:rPr>
        <w:t>s</w:t>
      </w:r>
      <w:bookmarkEnd w:id="46"/>
      <w:r w:rsidR="00872D42" w:rsidRPr="000E1391">
        <w:rPr>
          <w:rFonts w:eastAsiaTheme="minorEastAsia"/>
        </w:rPr>
        <w:t>, and farm plot size.</w:t>
      </w:r>
      <w:r w:rsidRPr="000E1391">
        <w:rPr>
          <w:rFonts w:eastAsiaTheme="minorEastAsia"/>
        </w:rPr>
        <w:t xml:space="preserve"> </w:t>
      </w:r>
      <m:oMath>
        <m:sSub>
          <m:sSubPr>
            <m:ctrlPr>
              <w:rPr>
                <w:rFonts w:ascii="Cambria Math" w:hAnsi="Cambria Math" w:cs="Times New Roman"/>
                <w:i/>
              </w:rPr>
            </m:ctrlPr>
          </m:sSubPr>
          <m:e>
            <m:r>
              <w:rPr>
                <w:rFonts w:ascii="Cambria Math" w:hAnsi="Cambria Math" w:cs="Times New Roman"/>
                <w:kern w:val="0"/>
                <w14:ligatures w14:val="none"/>
              </w:rPr>
              <m:t>u</m:t>
            </m:r>
          </m:e>
          <m:sub>
            <m:r>
              <w:rPr>
                <w:rFonts w:ascii="Cambria Math" w:hAnsi="Cambria Math"/>
                <w:kern w:val="0"/>
                <w14:ligatures w14:val="none"/>
              </w:rPr>
              <m:t>i,c</m:t>
            </m:r>
          </m:sub>
        </m:sSub>
      </m:oMath>
      <w:r w:rsidRPr="000E1391">
        <w:rPr>
          <w:rFonts w:eastAsiaTheme="minorEastAsia"/>
        </w:rPr>
        <w:t xml:space="preserve"> is an error term, and since randomization is at the community-level we cluster standard errors at the level of community. </w:t>
      </w:r>
      <w:bookmarkStart w:id="47" w:name="OLE_LINK425"/>
      <m:oMath>
        <m:sSub>
          <m:sSubPr>
            <m:ctrlPr>
              <w:rPr>
                <w:rFonts w:ascii="Cambria Math" w:hAnsi="Cambria Math" w:cs="Times New Roman"/>
                <w:i/>
              </w:rPr>
            </m:ctrlPr>
          </m:sSubPr>
          <m:e>
            <m:r>
              <w:rPr>
                <w:rFonts w:ascii="Cambria Math" w:hAnsi="Cambria Math"/>
                <w:kern w:val="0"/>
                <w14:ligatures w14:val="none"/>
              </w:rPr>
              <m:t>β</m:t>
            </m:r>
          </m:e>
          <m:sub>
            <m:r>
              <w:rPr>
                <w:rFonts w:ascii="Cambria Math" w:hAnsi="Cambria Math"/>
                <w:kern w:val="0"/>
                <w14:ligatures w14:val="none"/>
              </w:rPr>
              <m:t>1</m:t>
            </m:r>
          </m:sub>
        </m:sSub>
      </m:oMath>
      <w:r w:rsidRPr="000E1391">
        <w:rPr>
          <w:rFonts w:eastAsiaTheme="minorEastAsia"/>
        </w:rPr>
        <w:t xml:space="preserve">is the main parameter of interest and provides an estimate </w:t>
      </w:r>
      <w:bookmarkEnd w:id="47"/>
      <w:r w:rsidRPr="000E1391">
        <w:rPr>
          <w:rFonts w:eastAsiaTheme="minorEastAsia"/>
        </w:rPr>
        <w:t>of the intent-to-treat effect, the effect of living in a community selected to receive treatment.</w:t>
      </w:r>
      <w:r w:rsidR="004F4031" w:rsidRPr="000E1391">
        <w:rPr>
          <w:rFonts w:eastAsiaTheme="minorEastAsia"/>
        </w:rPr>
        <w:t xml:space="preserve"> </w:t>
      </w:r>
    </w:p>
    <w:p w14:paraId="4D4860D4" w14:textId="6BC710AF" w:rsidR="004F4031" w:rsidRDefault="004F4031" w:rsidP="002D3307">
      <w:pPr>
        <w:rPr>
          <w:rFonts w:eastAsiaTheme="minorEastAsia"/>
          <w:kern w:val="0"/>
          <w14:ligatures w14:val="none"/>
        </w:rPr>
      </w:pPr>
      <w:r w:rsidRPr="000E1391">
        <w:rPr>
          <w:rFonts w:eastAsiaTheme="minorEastAsia"/>
        </w:rPr>
        <w:t xml:space="preserve">Note that Equation (1) can only be estimated for households that are interviewed at both baseline and endline. </w:t>
      </w:r>
      <w:r w:rsidR="00872D42" w:rsidRPr="000E1391">
        <w:rPr>
          <w:rFonts w:eastAsiaTheme="minorEastAsia"/>
        </w:rPr>
        <w:t xml:space="preserve">If attrition between baseline and endline becomes a major issue (for example, because many Fulbe households move), we will estimate Equation (1) without controlling for the baseline outcome, using only the endline sample and replacing </w:t>
      </w:r>
      <m:oMath>
        <m:sSub>
          <m:sSubPr>
            <m:ctrlPr>
              <w:rPr>
                <w:rFonts w:ascii="Cambria Math" w:hAnsi="Cambria Math" w:cs="Times New Roman"/>
                <w:i/>
              </w:rPr>
            </m:ctrlPr>
          </m:sSubPr>
          <m:e>
            <m:r>
              <w:rPr>
                <w:rFonts w:ascii="Cambria Math" w:hAnsi="Cambria Math"/>
                <w:kern w:val="0"/>
                <w14:ligatures w14:val="none"/>
              </w:rPr>
              <m:t>X</m:t>
            </m:r>
          </m:e>
          <m:sub>
            <m:r>
              <w:rPr>
                <w:rFonts w:ascii="Cambria Math" w:hAnsi="Cambria Math"/>
                <w:kern w:val="0"/>
                <w14:ligatures w14:val="none"/>
              </w:rPr>
              <m:t>i,c,t=0</m:t>
            </m:r>
          </m:sub>
        </m:sSub>
      </m:oMath>
      <w:r w:rsidR="00872D42" w:rsidRPr="000E1391">
        <w:rPr>
          <w:rFonts w:eastAsiaTheme="minorEastAsia"/>
        </w:rPr>
        <w:t xml:space="preserve"> with </w:t>
      </w:r>
      <m:oMath>
        <m:sSub>
          <m:sSubPr>
            <m:ctrlPr>
              <w:rPr>
                <w:rFonts w:ascii="Cambria Math" w:hAnsi="Cambria Math" w:cs="Times New Roman"/>
                <w:i/>
              </w:rPr>
            </m:ctrlPr>
          </m:sSubPr>
          <m:e>
            <m:r>
              <w:rPr>
                <w:rFonts w:ascii="Cambria Math" w:hAnsi="Cambria Math"/>
                <w:kern w:val="0"/>
                <w14:ligatures w14:val="none"/>
              </w:rPr>
              <m:t>X</m:t>
            </m:r>
          </m:e>
          <m:sub>
            <m:r>
              <w:rPr>
                <w:rFonts w:ascii="Cambria Math" w:hAnsi="Cambria Math"/>
                <w:kern w:val="0"/>
                <w14:ligatures w14:val="none"/>
              </w:rPr>
              <m:t>i,c,t=1</m:t>
            </m:r>
          </m:sub>
        </m:sSub>
      </m:oMath>
      <w:r w:rsidR="00872D42" w:rsidRPr="000E1391">
        <w:rPr>
          <w:rFonts w:eastAsiaTheme="minorEastAsia"/>
        </w:rPr>
        <w:t>.</w:t>
      </w:r>
      <w:r w:rsidR="008652D7" w:rsidRPr="000E1391">
        <w:rPr>
          <w:rFonts w:eastAsiaTheme="minorEastAsia"/>
        </w:rPr>
        <w:t xml:space="preserve"> In this case, we would </w:t>
      </w:r>
      <w:r w:rsidR="00327C32" w:rsidRPr="000E1391">
        <w:rPr>
          <w:rFonts w:eastAsiaTheme="minorEastAsia"/>
        </w:rPr>
        <w:t>exclud</w:t>
      </w:r>
      <w:r w:rsidR="00327C32">
        <w:rPr>
          <w:rFonts w:eastAsiaTheme="minorEastAsia"/>
        </w:rPr>
        <w:t>e</w:t>
      </w:r>
      <w:r w:rsidR="00327C32" w:rsidRPr="000E1391">
        <w:rPr>
          <w:rFonts w:eastAsiaTheme="minorEastAsia"/>
        </w:rPr>
        <w:t xml:space="preserve"> </w:t>
      </w:r>
      <w:r w:rsidR="008652D7" w:rsidRPr="000E1391">
        <w:rPr>
          <w:rFonts w:eastAsiaTheme="minorEastAsia"/>
        </w:rPr>
        <w:t xml:space="preserve">the </w:t>
      </w:r>
      <w:r w:rsidR="008652D7" w:rsidRPr="000E1391">
        <w:rPr>
          <w:rFonts w:eastAsiaTheme="minorEastAsia"/>
          <w:kern w:val="0"/>
          <w14:ligatures w14:val="none"/>
        </w:rPr>
        <w:t xml:space="preserve">dummy </w:t>
      </w:r>
      <w:r w:rsidR="00661E8E">
        <w:rPr>
          <w:rFonts w:eastAsiaTheme="minorEastAsia"/>
          <w:kern w:val="0"/>
          <w14:ligatures w14:val="none"/>
        </w:rPr>
        <w:t>whether children participate in cattle herding</w:t>
      </w:r>
      <w:r w:rsidR="008652D7" w:rsidRPr="000E1391">
        <w:rPr>
          <w:rFonts w:eastAsiaTheme="minorEastAsia"/>
          <w:kern w:val="0"/>
          <w14:ligatures w14:val="none"/>
        </w:rPr>
        <w:t xml:space="preserve"> and number of cattle the household owns from the vector of controls, given that the possibility that they may be affected by treatment.</w:t>
      </w:r>
    </w:p>
    <w:p w14:paraId="4365234C" w14:textId="11EF6E1E" w:rsidR="00B1580C" w:rsidRPr="00B1580C" w:rsidRDefault="00B1580C" w:rsidP="002D3307">
      <w:pPr>
        <w:rPr>
          <w:rFonts w:eastAsiaTheme="minorEastAsia"/>
          <w:sz w:val="24"/>
          <w:szCs w:val="24"/>
        </w:rPr>
      </w:pPr>
      <w:r>
        <w:rPr>
          <w:rFonts w:eastAsiaTheme="minorEastAsia"/>
          <w:kern w:val="0"/>
          <w14:ligatures w14:val="none"/>
        </w:rPr>
        <w:t xml:space="preserve">Our identification strategy for our primary outcomes of interest estimates all regressions separately for the Fulbe and non-Fulbe sample, and uses the primary household respondent (i.e., the household head). </w:t>
      </w:r>
      <w:r w:rsidR="00E011D0">
        <w:rPr>
          <w:rFonts w:eastAsiaTheme="minorEastAsia"/>
          <w:kern w:val="0"/>
          <w14:ligatures w14:val="none"/>
        </w:rPr>
        <w:t>As noted above, we will also perform exploratory analysis that examines effects by gender and other individual characteristics, which will require using the secondary household respondent (i.e., the primary decisionmaker of opposite gender to the primary respondent).</w:t>
      </w:r>
    </w:p>
    <w:p w14:paraId="06854222" w14:textId="73B27156" w:rsidR="008652D7" w:rsidRDefault="008652D7" w:rsidP="00C662E6">
      <w:pPr>
        <w:pStyle w:val="ListParagraph"/>
        <w:keepNext/>
        <w:numPr>
          <w:ilvl w:val="1"/>
          <w:numId w:val="1"/>
        </w:numPr>
        <w:spacing w:line="257" w:lineRule="auto"/>
        <w:rPr>
          <w:i/>
          <w:iCs/>
        </w:rPr>
      </w:pPr>
      <w:bookmarkStart w:id="48" w:name="OLE_LINK344"/>
      <w:r>
        <w:rPr>
          <w:i/>
          <w:iCs/>
        </w:rPr>
        <w:lastRenderedPageBreak/>
        <w:t>Heterogenous Effects</w:t>
      </w:r>
    </w:p>
    <w:p w14:paraId="09A18418" w14:textId="09F7BA12" w:rsidR="00B1580C" w:rsidRPr="00B1580C" w:rsidRDefault="00B1580C" w:rsidP="00B1580C">
      <w:pPr>
        <w:spacing w:line="256" w:lineRule="auto"/>
      </w:pPr>
      <w:r>
        <w:t>To test for heterogenous effects, we add an interaction term to Equation 1, interacting treatment with the variable of interest.</w:t>
      </w:r>
      <w:r w:rsidR="0051109E">
        <w:t xml:space="preserve"> </w:t>
      </w:r>
      <w:r w:rsidR="007D397A">
        <w:t>To estimate heterogenous effects by gender, we include the data from the second household respondent (i.e., primary female decisionmaker) as additional observations.</w:t>
      </w:r>
    </w:p>
    <w:p w14:paraId="3338C206" w14:textId="5C61FD51" w:rsidR="000E1391" w:rsidRDefault="000E1391" w:rsidP="00025BD7">
      <w:pPr>
        <w:pStyle w:val="ListParagraph"/>
        <w:keepNext/>
        <w:numPr>
          <w:ilvl w:val="1"/>
          <w:numId w:val="1"/>
        </w:numPr>
        <w:spacing w:line="252" w:lineRule="auto"/>
        <w:rPr>
          <w:i/>
          <w:iCs/>
        </w:rPr>
      </w:pPr>
      <w:bookmarkStart w:id="49" w:name="OLE_LINK345"/>
      <w:bookmarkEnd w:id="48"/>
      <w:r>
        <w:rPr>
          <w:i/>
          <w:iCs/>
        </w:rPr>
        <w:t>Sample Attrition</w:t>
      </w:r>
    </w:p>
    <w:p w14:paraId="4BF78A28" w14:textId="038AD7E7" w:rsidR="00025BD7" w:rsidRDefault="00025BD7" w:rsidP="00025BD7">
      <w:pPr>
        <w:keepNext/>
        <w:spacing w:line="252" w:lineRule="auto"/>
      </w:pPr>
      <w:r>
        <w:t>We will first test for attrition by estimating an equation similar to Equation (1), but with no term for baseline outcome:</w:t>
      </w:r>
    </w:p>
    <w:p w14:paraId="77E4EBDE" w14:textId="619E41F5" w:rsidR="00025BD7" w:rsidRDefault="00DD3BA0" w:rsidP="00025BD7">
      <w:pPr>
        <w:spacing w:line="254" w:lineRule="auto"/>
      </w:pPr>
      <m:oMathPara>
        <m:oMath>
          <m:sSub>
            <m:sSubPr>
              <m:ctrlPr>
                <w:rPr>
                  <w:rFonts w:ascii="Cambria Math" w:hAnsi="Cambria Math"/>
                  <w:i/>
                </w:rPr>
              </m:ctrlPr>
            </m:sSubPr>
            <m:e>
              <m:r>
                <w:rPr>
                  <w:rFonts w:ascii="Cambria Math" w:hAnsi="Cambria Math"/>
                </w:rPr>
                <m:t>A</m:t>
              </m:r>
            </m:e>
            <m:sub>
              <m:r>
                <w:rPr>
                  <w:rFonts w:ascii="Cambria Math" w:hAnsi="Cambria Math"/>
                </w:rPr>
                <m:t>i</m:t>
              </m:r>
              <m:r>
                <w:rPr>
                  <w:rFonts w:ascii="Cambria Math" w:hAnsi="Cambria Math"/>
                </w:rPr>
                <m:t>,</m:t>
              </m:r>
              <m:r>
                <w:rPr>
                  <w:rFonts w:ascii="Cambria Math" w:hAnsi="Cambria Math"/>
                </w:rPr>
                <m:t>c</m:t>
              </m:r>
            </m:sub>
          </m:sSub>
          <m:r>
            <w:rPr>
              <w:rFonts w:ascii="Cambria Math" w:hAnsi="Cambria Math"/>
            </w:rPr>
            <m:t>=</m:t>
          </m:r>
          <m:sSub>
            <m:sSubPr>
              <m:ctrlPr>
                <w:rPr>
                  <w:rFonts w:ascii="Cambria Math" w:hAnsi="Cambria Math"/>
                  <w:i/>
                </w:rPr>
              </m:ctrlPr>
            </m:sSubPr>
            <m:e>
              <m:r>
                <w:rPr>
                  <w:rFonts w:ascii="Cambria Math" w:hAnsi="Cambria Math"/>
                </w:rPr>
                <m:t>β</m:t>
              </m:r>
            </m:e>
            <m:sub>
              <m:r>
                <w:rPr>
                  <w:rFonts w:ascii="Cambria Math" w:hAnsi="Cambria Math"/>
                </w:rPr>
                <m:t>0</m:t>
              </m:r>
            </m:sub>
          </m:sSub>
          <m:r>
            <w:rPr>
              <w:rFonts w:ascii="Cambria Math" w:hAnsi="Cambria Math"/>
            </w:rPr>
            <m:t>+</m:t>
          </m:r>
          <m:sSub>
            <m:sSubPr>
              <m:ctrlPr>
                <w:rPr>
                  <w:rFonts w:ascii="Cambria Math" w:hAnsi="Cambria Math" w:cs="Times New Roman"/>
                  <w:i/>
                </w:rPr>
              </m:ctrlPr>
            </m:sSubPr>
            <m:e>
              <m:r>
                <w:rPr>
                  <w:rFonts w:ascii="Cambria Math" w:hAnsi="Cambria Math"/>
                  <w:kern w:val="0"/>
                  <w14:ligatures w14:val="none"/>
                </w:rPr>
                <m:t>β</m:t>
              </m:r>
            </m:e>
            <m:sub>
              <m:r>
                <w:rPr>
                  <w:rFonts w:ascii="Cambria Math" w:hAnsi="Cambria Math"/>
                  <w:kern w:val="0"/>
                  <w14:ligatures w14:val="none"/>
                </w:rPr>
                <m:t>1</m:t>
              </m:r>
            </m:sub>
          </m:sSub>
          <m:sSub>
            <m:sSubPr>
              <m:ctrlPr>
                <w:rPr>
                  <w:rFonts w:ascii="Cambria Math" w:hAnsi="Cambria Math" w:cs="Times New Roman"/>
                  <w:i/>
                </w:rPr>
              </m:ctrlPr>
            </m:sSubPr>
            <m:e>
              <m:r>
                <w:rPr>
                  <w:rFonts w:ascii="Cambria Math" w:hAnsi="Cambria Math"/>
                  <w:kern w:val="0"/>
                  <w14:ligatures w14:val="none"/>
                </w:rPr>
                <m:t>T</m:t>
              </m:r>
            </m:e>
            <m:sub>
              <m:r>
                <w:rPr>
                  <w:rFonts w:ascii="Cambria Math" w:hAnsi="Cambria Math"/>
                  <w:kern w:val="0"/>
                  <w14:ligatures w14:val="none"/>
                </w:rPr>
                <m:t>i</m:t>
              </m:r>
              <m:r>
                <w:rPr>
                  <w:rFonts w:ascii="Cambria Math" w:hAnsi="Cambria Math"/>
                  <w:kern w:val="0"/>
                  <w14:ligatures w14:val="none"/>
                </w:rPr>
                <m:t>,</m:t>
              </m:r>
              <m:r>
                <w:rPr>
                  <w:rFonts w:ascii="Cambria Math" w:hAnsi="Cambria Math"/>
                  <w:kern w:val="0"/>
                  <w14:ligatures w14:val="none"/>
                </w:rPr>
                <m:t>c</m:t>
              </m:r>
            </m:sub>
          </m:sSub>
          <m:r>
            <w:rPr>
              <w:rFonts w:ascii="Cambria Math" w:hAnsi="Cambria Math" w:cs="Times New Roman"/>
            </w:rPr>
            <m:t>+</m:t>
          </m:r>
          <m:r>
            <w:rPr>
              <w:rFonts w:ascii="Cambria Math" w:hAnsi="Cambria Math" w:cs="Times New Roman"/>
            </w:rPr>
            <m:t>α</m:t>
          </m:r>
          <m:r>
            <w:rPr>
              <w:rFonts w:ascii="Cambria Math" w:hAnsi="Cambria Math" w:cs="Times New Roman"/>
            </w:rPr>
            <m:t>'</m:t>
          </m:r>
          <m:sSub>
            <m:sSubPr>
              <m:ctrlPr>
                <w:rPr>
                  <w:rFonts w:ascii="Cambria Math" w:hAnsi="Cambria Math" w:cs="Times New Roman"/>
                  <w:i/>
                </w:rPr>
              </m:ctrlPr>
            </m:sSubPr>
            <m:e>
              <m:r>
                <w:rPr>
                  <w:rFonts w:ascii="Cambria Math" w:hAnsi="Cambria Math"/>
                  <w:kern w:val="0"/>
                  <w14:ligatures w14:val="none"/>
                </w:rPr>
                <m:t>X</m:t>
              </m:r>
            </m:e>
            <m:sub>
              <m:r>
                <w:rPr>
                  <w:rFonts w:ascii="Cambria Math" w:hAnsi="Cambria Math"/>
                  <w:kern w:val="0"/>
                  <w14:ligatures w14:val="none"/>
                </w:rPr>
                <m:t>i</m:t>
              </m:r>
              <m:r>
                <w:rPr>
                  <w:rFonts w:ascii="Cambria Math" w:hAnsi="Cambria Math"/>
                  <w:kern w:val="0"/>
                  <w14:ligatures w14:val="none"/>
                </w:rPr>
                <m:t>,</m:t>
              </m:r>
              <m:r>
                <w:rPr>
                  <w:rFonts w:ascii="Cambria Math" w:hAnsi="Cambria Math"/>
                  <w:kern w:val="0"/>
                  <w14:ligatures w14:val="none"/>
                </w:rPr>
                <m:t>c</m:t>
              </m:r>
              <m:r>
                <w:rPr>
                  <w:rFonts w:ascii="Cambria Math" w:hAnsi="Cambria Math"/>
                  <w:kern w:val="0"/>
                  <w14:ligatures w14:val="none"/>
                </w:rPr>
                <m:t>,</m:t>
              </m:r>
              <m:r>
                <w:rPr>
                  <w:rFonts w:ascii="Cambria Math" w:hAnsi="Cambria Math"/>
                  <w:kern w:val="0"/>
                  <w14:ligatures w14:val="none"/>
                </w:rPr>
                <m:t>t</m:t>
              </m:r>
              <m:r>
                <w:rPr>
                  <w:rFonts w:ascii="Cambria Math" w:hAnsi="Cambria Math"/>
                  <w:kern w:val="0"/>
                  <w14:ligatures w14:val="none"/>
                </w:rPr>
                <m:t>=0</m:t>
              </m:r>
            </m:sub>
          </m:sSub>
          <m:r>
            <w:rPr>
              <w:rFonts w:ascii="Cambria Math" w:hAnsi="Cambria Math" w:cs="Times New Roman"/>
            </w:rPr>
            <m:t>+</m:t>
          </m:r>
          <m:sSub>
            <m:sSubPr>
              <m:ctrlPr>
                <w:rPr>
                  <w:rFonts w:ascii="Cambria Math" w:hAnsi="Cambria Math" w:cs="Times New Roman"/>
                  <w:i/>
                </w:rPr>
              </m:ctrlPr>
            </m:sSubPr>
            <m:e>
              <m:r>
                <w:rPr>
                  <w:rFonts w:ascii="Cambria Math" w:hAnsi="Cambria Math"/>
                  <w:kern w:val="0"/>
                  <w14:ligatures w14:val="none"/>
                </w:rPr>
                <m:t>γ</m:t>
              </m:r>
            </m:e>
            <m:sub>
              <m:r>
                <w:rPr>
                  <w:rFonts w:ascii="Cambria Math" w:hAnsi="Cambria Math"/>
                  <w:kern w:val="0"/>
                  <w14:ligatures w14:val="none"/>
                </w:rPr>
                <m:t>d</m:t>
              </m:r>
            </m:sub>
          </m:sSub>
          <m:sSub>
            <m:sSubPr>
              <m:ctrlPr>
                <w:rPr>
                  <w:rFonts w:ascii="Cambria Math" w:hAnsi="Cambria Math" w:cs="Times New Roman"/>
                  <w:i/>
                </w:rPr>
              </m:ctrlPr>
            </m:sSubPr>
            <m:e>
              <m:r>
                <w:rPr>
                  <w:rFonts w:ascii="Cambria Math" w:hAnsi="Cambria Math" w:cs="Times New Roman"/>
                </w:rPr>
                <m:t>+</m:t>
              </m:r>
              <m:r>
                <w:rPr>
                  <w:rFonts w:ascii="Cambria Math" w:hAnsi="Cambria Math" w:cs="Times New Roman"/>
                </w:rPr>
                <m:t>u</m:t>
              </m:r>
            </m:e>
            <m:sub>
              <m:r>
                <w:rPr>
                  <w:rFonts w:ascii="Cambria Math" w:hAnsi="Cambria Math"/>
                  <w:kern w:val="0"/>
                  <w14:ligatures w14:val="none"/>
                </w:rPr>
                <m:t>i</m:t>
              </m:r>
              <m:r>
                <w:rPr>
                  <w:rFonts w:ascii="Cambria Math" w:hAnsi="Cambria Math"/>
                  <w:kern w:val="0"/>
                  <w14:ligatures w14:val="none"/>
                </w:rPr>
                <m:t>,</m:t>
              </m:r>
              <m:r>
                <w:rPr>
                  <w:rFonts w:ascii="Cambria Math" w:hAnsi="Cambria Math"/>
                  <w:kern w:val="0"/>
                  <w14:ligatures w14:val="none"/>
                </w:rPr>
                <m:t>c</m:t>
              </m:r>
            </m:sub>
          </m:sSub>
          <m:r>
            <w:rPr>
              <w:rFonts w:ascii="Cambria Math" w:hAnsi="Cambria Math" w:cs="Times New Roman"/>
            </w:rPr>
            <m:t xml:space="preserve">       (2)</m:t>
          </m:r>
        </m:oMath>
      </m:oMathPara>
    </w:p>
    <w:p w14:paraId="3069E00F" w14:textId="77777777" w:rsidR="002A31F4" w:rsidRDefault="00025BD7" w:rsidP="00025BD7">
      <w:pPr>
        <w:spacing w:line="252" w:lineRule="auto"/>
        <w:rPr>
          <w:rFonts w:eastAsiaTheme="minorEastAsia"/>
          <w:kern w:val="0"/>
          <w14:ligatures w14:val="none"/>
        </w:rPr>
      </w:pPr>
      <w:r>
        <w:t xml:space="preserve">Where </w:t>
      </w:r>
      <m:oMath>
        <m:sSub>
          <m:sSubPr>
            <m:ctrlPr>
              <w:rPr>
                <w:rFonts w:ascii="Cambria Math" w:hAnsi="Cambria Math"/>
                <w:i/>
              </w:rPr>
            </m:ctrlPr>
          </m:sSubPr>
          <m:e>
            <m:r>
              <w:rPr>
                <w:rFonts w:ascii="Cambria Math" w:hAnsi="Cambria Math"/>
              </w:rPr>
              <m:t>A</m:t>
            </m:r>
          </m:e>
          <m:sub>
            <m:r>
              <w:rPr>
                <w:rFonts w:ascii="Cambria Math" w:hAnsi="Cambria Math"/>
              </w:rPr>
              <m:t>i,c</m:t>
            </m:r>
          </m:sub>
        </m:sSub>
      </m:oMath>
      <w:r>
        <w:rPr>
          <w:rFonts w:eastAsiaTheme="minorEastAsia"/>
        </w:rPr>
        <w:t xml:space="preserve"> is an indicator taking a value of 1 if the household is not interviewed at endline, and 0 otherwise, and all other terms are as defined above. </w:t>
      </w:r>
      <w:r w:rsidR="002A31F4">
        <w:rPr>
          <w:rFonts w:eastAsiaTheme="minorEastAsia"/>
        </w:rPr>
        <w:t xml:space="preserve">As above, </w:t>
      </w:r>
      <m:oMath>
        <m:sSub>
          <m:sSubPr>
            <m:ctrlPr>
              <w:rPr>
                <w:rFonts w:ascii="Cambria Math" w:hAnsi="Cambria Math" w:cs="Times New Roman"/>
                <w:i/>
                <w:sz w:val="24"/>
                <w:szCs w:val="24"/>
              </w:rPr>
            </m:ctrlPr>
          </m:sSubPr>
          <m:e>
            <m:r>
              <w:rPr>
                <w:rFonts w:ascii="Cambria Math" w:hAnsi="Cambria Math"/>
                <w:kern w:val="0"/>
                <w14:ligatures w14:val="none"/>
              </w:rPr>
              <m:t>β</m:t>
            </m:r>
          </m:e>
          <m:sub>
            <m:r>
              <w:rPr>
                <w:rFonts w:ascii="Cambria Math" w:hAnsi="Cambria Math"/>
                <w:kern w:val="0"/>
                <w14:ligatures w14:val="none"/>
              </w:rPr>
              <m:t>1</m:t>
            </m:r>
          </m:sub>
        </m:sSub>
      </m:oMath>
      <w:r w:rsidR="002A31F4">
        <w:rPr>
          <w:rFonts w:eastAsiaTheme="minorEastAsia"/>
          <w:kern w:val="0"/>
          <w14:ligatures w14:val="none"/>
        </w:rPr>
        <w:t xml:space="preserve">is the parameter of interest; if the parameter is statistically significant at the 5 percent level we will conclude that attrition is related to treatment. </w:t>
      </w:r>
    </w:p>
    <w:p w14:paraId="6DC879D1" w14:textId="2E6B72A2" w:rsidR="002A31F4" w:rsidRPr="002A31F4" w:rsidRDefault="002A31F4" w:rsidP="00025BD7">
      <w:pPr>
        <w:spacing w:line="252" w:lineRule="auto"/>
        <w:rPr>
          <w:rFonts w:eastAsiaTheme="minorEastAsia"/>
          <w:kern w:val="0"/>
          <w14:ligatures w14:val="none"/>
        </w:rPr>
      </w:pPr>
      <w:r>
        <w:rPr>
          <w:rFonts w:eastAsiaTheme="minorEastAsia"/>
          <w:kern w:val="0"/>
          <w14:ligatures w14:val="none"/>
        </w:rPr>
        <w:t>The effect will be estimated separately for Fulbe and non-Fulbe households. We believe that the risk of attrition is highest for Fulbe households, who have fewer ties to the communities where they live and move more frequently. Unlike other community members, Fulbe generally cannot own land, are seen as guests in the community, and can be pushed to move if the community agitates against them</w:t>
      </w:r>
      <w:r w:rsidR="004A4197">
        <w:rPr>
          <w:rFonts w:eastAsiaTheme="minorEastAsia"/>
          <w:kern w:val="0"/>
          <w14:ligatures w14:val="none"/>
        </w:rPr>
        <w:t xml:space="preserve">, </w:t>
      </w:r>
      <w:r>
        <w:rPr>
          <w:rFonts w:eastAsiaTheme="minorEastAsia"/>
          <w:kern w:val="0"/>
          <w14:ligatures w14:val="none"/>
        </w:rPr>
        <w:t xml:space="preserve">they sense they are </w:t>
      </w:r>
      <w:r w:rsidR="004A4197">
        <w:rPr>
          <w:rFonts w:eastAsiaTheme="minorEastAsia"/>
          <w:kern w:val="0"/>
          <w14:ligatures w14:val="none"/>
        </w:rPr>
        <w:t xml:space="preserve">no longer welcome, or their conditions in the community are no longer favorable. </w:t>
      </w:r>
      <w:r>
        <w:rPr>
          <w:rFonts w:eastAsiaTheme="minorEastAsia"/>
          <w:kern w:val="0"/>
          <w14:ligatures w14:val="none"/>
        </w:rPr>
        <w:t>If we find that Fulbe households in treatment communities are less likely to attrit than their counterparts in control communities, this will be an important finding on its own because it could suggest the intervention reduces the forces that push the Fulbe to move.</w:t>
      </w:r>
    </w:p>
    <w:p w14:paraId="34D93BCD" w14:textId="4D63A9E8" w:rsidR="00025BD7" w:rsidRDefault="003D244A" w:rsidP="00025BD7">
      <w:pPr>
        <w:spacing w:line="252" w:lineRule="auto"/>
      </w:pPr>
      <w:r>
        <w:t xml:space="preserve">If </w:t>
      </w:r>
      <w:r w:rsidR="004A2943">
        <w:t xml:space="preserve">attrition </w:t>
      </w:r>
      <w:r>
        <w:t xml:space="preserve">is found to be </w:t>
      </w:r>
      <w:r w:rsidR="004A2943">
        <w:t>correlated with treatment assignment</w:t>
      </w:r>
      <w:r w:rsidR="0087792E">
        <w:t>,</w:t>
      </w:r>
      <w:r w:rsidR="004A2943">
        <w:t xml:space="preserve"> we will explore using different attrition correction methods, including inverse probability weighting, where the predictions of equation (2) are used to create </w:t>
      </w:r>
      <w:r w:rsidR="004A2943" w:rsidRPr="003E215D">
        <w:rPr>
          <w:rFonts w:eastAsiaTheme="minorEastAsia"/>
          <w:kern w:val="0"/>
          <w14:ligatures w14:val="none"/>
        </w:rPr>
        <w:t>weights that overweight the individuals that are observed but were likely to attrit</w:t>
      </w:r>
      <w:r w:rsidR="0087792E" w:rsidRPr="003E215D">
        <w:rPr>
          <w:rFonts w:eastAsiaTheme="minorEastAsia"/>
          <w:kern w:val="0"/>
          <w14:ligatures w14:val="none"/>
        </w:rPr>
        <w:t>;</w:t>
      </w:r>
      <w:r w:rsidR="004A2943" w:rsidRPr="003E215D">
        <w:rPr>
          <w:rFonts w:eastAsiaTheme="minorEastAsia"/>
          <w:kern w:val="0"/>
          <w14:ligatures w14:val="none"/>
        </w:rPr>
        <w:t xml:space="preserve"> and bounding methods assuming monotonicity</w:t>
      </w:r>
      <w:r w:rsidR="0087792E" w:rsidRPr="003E215D">
        <w:rPr>
          <w:rFonts w:eastAsiaTheme="minorEastAsia"/>
          <w:kern w:val="0"/>
          <w14:ligatures w14:val="none"/>
        </w:rPr>
        <w:t xml:space="preserve"> (Lee 2002; Zhang and Rubin 2003), and stochastic dominance (Zhang and Rubin 2003).</w:t>
      </w:r>
      <w:r w:rsidR="0087792E" w:rsidDel="004A2943">
        <w:t xml:space="preserve"> </w:t>
      </w:r>
    </w:p>
    <w:p w14:paraId="618B9840" w14:textId="5BA4BCE0" w:rsidR="00B1580C" w:rsidRPr="00B1580C" w:rsidRDefault="000E1391" w:rsidP="00C662E6">
      <w:pPr>
        <w:pStyle w:val="ListParagraph"/>
        <w:keepNext/>
        <w:numPr>
          <w:ilvl w:val="1"/>
          <w:numId w:val="1"/>
        </w:numPr>
        <w:spacing w:line="254" w:lineRule="auto"/>
        <w:rPr>
          <w:i/>
          <w:iCs/>
        </w:rPr>
      </w:pPr>
      <w:bookmarkStart w:id="50" w:name="OLE_LINK346"/>
      <w:bookmarkEnd w:id="49"/>
      <w:r>
        <w:rPr>
          <w:i/>
          <w:iCs/>
        </w:rPr>
        <w:t>Missing Data</w:t>
      </w:r>
    </w:p>
    <w:bookmarkEnd w:id="50"/>
    <w:p w14:paraId="4DBA560F" w14:textId="0A3E69B4" w:rsidR="000E1391" w:rsidRPr="00872D42" w:rsidRDefault="000E1391" w:rsidP="002D3307">
      <w:pPr>
        <w:rPr>
          <w:rFonts w:eastAsiaTheme="minorEastAsia"/>
          <w:sz w:val="24"/>
          <w:szCs w:val="24"/>
        </w:rPr>
      </w:pPr>
      <w:r>
        <w:t xml:space="preserve">Missing data may result from households refusing to answer specific questions or responding “Don’t Know”. From our baseline data, we expect relatively few observations to be affected. We will not perform imputation for </w:t>
      </w:r>
      <w:r w:rsidR="00661E8E">
        <w:t>covariates</w:t>
      </w:r>
      <w:r>
        <w:t xml:space="preserve"> with missing values at either baseline or endline; instead, these values will be recoded to zero and controls will be added to account for missingness. </w:t>
      </w:r>
    </w:p>
    <w:p w14:paraId="6B72CA55" w14:textId="200F4E3A" w:rsidR="00116D99" w:rsidRPr="00BF2669" w:rsidRDefault="00116D99" w:rsidP="002D3307">
      <w:pPr>
        <w:rPr>
          <w:b/>
          <w:bCs/>
        </w:rPr>
      </w:pPr>
      <w:r w:rsidRPr="00BF2669">
        <w:rPr>
          <w:b/>
          <w:bCs/>
        </w:rPr>
        <w:t>References</w:t>
      </w:r>
    </w:p>
    <w:p w14:paraId="63DD5F8D" w14:textId="77777777" w:rsidR="00E97A5C" w:rsidRPr="0025601F" w:rsidRDefault="00E97A5C" w:rsidP="00E97A5C">
      <w:pPr>
        <w:autoSpaceDE w:val="0"/>
        <w:autoSpaceDN w:val="0"/>
        <w:adjustRightInd w:val="0"/>
        <w:spacing w:after="0" w:line="240" w:lineRule="auto"/>
        <w:rPr>
          <w:rFonts w:cstheme="minorHAnsi"/>
          <w:kern w:val="0"/>
        </w:rPr>
      </w:pPr>
      <w:r w:rsidRPr="0025601F">
        <w:rPr>
          <w:rFonts w:cstheme="minorHAnsi"/>
          <w:kern w:val="0"/>
        </w:rPr>
        <w:t xml:space="preserve">Fink, G., McConnell, M. and Vollmer, S. (2014). Testing for heterogeneous treatment effects in </w:t>
      </w:r>
    </w:p>
    <w:p w14:paraId="7A3F1C7E" w14:textId="24B58C8A" w:rsidR="00E97A5C" w:rsidRPr="0025601F" w:rsidRDefault="00E97A5C" w:rsidP="00E97A5C">
      <w:pPr>
        <w:autoSpaceDE w:val="0"/>
        <w:autoSpaceDN w:val="0"/>
        <w:adjustRightInd w:val="0"/>
        <w:spacing w:after="240" w:line="240" w:lineRule="auto"/>
        <w:ind w:left="720"/>
        <w:rPr>
          <w:rFonts w:cstheme="minorHAnsi"/>
          <w:kern w:val="0"/>
        </w:rPr>
      </w:pPr>
      <w:r w:rsidRPr="0025601F">
        <w:rPr>
          <w:rFonts w:cstheme="minorHAnsi"/>
          <w:kern w:val="0"/>
        </w:rPr>
        <w:t>experimental data: false discovery risks and correction procedures. </w:t>
      </w:r>
      <w:r w:rsidRPr="0025601F">
        <w:rPr>
          <w:rFonts w:cstheme="minorHAnsi"/>
          <w:i/>
          <w:iCs/>
          <w:kern w:val="0"/>
        </w:rPr>
        <w:t>Journal of Development Effectiveness</w:t>
      </w:r>
      <w:r w:rsidRPr="0025601F">
        <w:rPr>
          <w:rFonts w:cstheme="minorHAnsi"/>
          <w:kern w:val="0"/>
        </w:rPr>
        <w:t> 6(1): 44-57.</w:t>
      </w:r>
    </w:p>
    <w:p w14:paraId="491069EE" w14:textId="72FD4B4F" w:rsidR="00116D99" w:rsidRPr="0025601F" w:rsidRDefault="00116D99" w:rsidP="00116D99">
      <w:pPr>
        <w:autoSpaceDE w:val="0"/>
        <w:autoSpaceDN w:val="0"/>
        <w:adjustRightInd w:val="0"/>
        <w:spacing w:after="0" w:line="240" w:lineRule="auto"/>
        <w:rPr>
          <w:rFonts w:cstheme="minorHAnsi"/>
          <w:kern w:val="0"/>
        </w:rPr>
      </w:pPr>
      <w:r w:rsidRPr="0025601F">
        <w:rPr>
          <w:rFonts w:cstheme="minorHAnsi"/>
          <w:kern w:val="0"/>
        </w:rPr>
        <w:t>Hansen, M. C., Defries, R. S., Townshend, J. R., and Sohlberg, R. (2000). Global land cover classification</w:t>
      </w:r>
    </w:p>
    <w:p w14:paraId="7EDAA7BD" w14:textId="777AD11F" w:rsidR="00116D99" w:rsidRPr="0025601F" w:rsidRDefault="00116D99" w:rsidP="00116D99">
      <w:pPr>
        <w:autoSpaceDE w:val="0"/>
        <w:autoSpaceDN w:val="0"/>
        <w:adjustRightInd w:val="0"/>
        <w:spacing w:after="240" w:line="240" w:lineRule="auto"/>
        <w:ind w:left="720"/>
        <w:rPr>
          <w:rFonts w:cstheme="minorHAnsi"/>
          <w:kern w:val="0"/>
        </w:rPr>
      </w:pPr>
      <w:r w:rsidRPr="0025601F">
        <w:rPr>
          <w:rFonts w:cstheme="minorHAnsi"/>
          <w:kern w:val="0"/>
        </w:rPr>
        <w:t xml:space="preserve">at 1 km spatial resolution using a </w:t>
      </w:r>
      <w:bookmarkStart w:id="51" w:name="OLE_LINK6"/>
      <w:r w:rsidRPr="0025601F">
        <w:rPr>
          <w:rFonts w:cstheme="minorHAnsi"/>
          <w:kern w:val="0"/>
        </w:rPr>
        <w:t xml:space="preserve">classification </w:t>
      </w:r>
      <w:bookmarkEnd w:id="51"/>
      <w:r w:rsidRPr="0025601F">
        <w:rPr>
          <w:rFonts w:cstheme="minorHAnsi"/>
          <w:kern w:val="0"/>
        </w:rPr>
        <w:t xml:space="preserve">tree approach. </w:t>
      </w:r>
      <w:r w:rsidRPr="00865CB1">
        <w:rPr>
          <w:rFonts w:cstheme="minorHAnsi"/>
          <w:i/>
          <w:iCs/>
          <w:kern w:val="0"/>
        </w:rPr>
        <w:t>International Journal of Remote Sensing</w:t>
      </w:r>
      <w:r w:rsidRPr="0025601F">
        <w:rPr>
          <w:rFonts w:cstheme="minorHAnsi"/>
          <w:kern w:val="0"/>
        </w:rPr>
        <w:t xml:space="preserve"> 21(6-7): 1331-1364.</w:t>
      </w:r>
    </w:p>
    <w:p w14:paraId="42D44651" w14:textId="77777777" w:rsidR="0025601F" w:rsidRPr="0025601F" w:rsidRDefault="0087792E" w:rsidP="0025601F">
      <w:pPr>
        <w:widowControl w:val="0"/>
        <w:spacing w:after="0" w:line="240" w:lineRule="auto"/>
        <w:ind w:left="475" w:hanging="475"/>
        <w:rPr>
          <w:rFonts w:eastAsia="Garamond" w:cstheme="minorHAnsi"/>
          <w:color w:val="2A2A2A"/>
        </w:rPr>
      </w:pPr>
      <w:r w:rsidRPr="0025601F">
        <w:rPr>
          <w:rFonts w:cstheme="minorHAnsi"/>
          <w:kern w:val="0"/>
        </w:rPr>
        <w:lastRenderedPageBreak/>
        <w:t>Lee, David S. (2002). “Trimming for Bounds on Treatment Effects with Missing Outcomes.”</w:t>
      </w:r>
      <w:r w:rsidRPr="0025601F">
        <w:rPr>
          <w:rFonts w:eastAsia="Garamond" w:cstheme="minorHAnsi"/>
          <w:color w:val="2A2A2A"/>
          <w:highlight w:val="white"/>
        </w:rPr>
        <w:t xml:space="preserve"> NBER</w:t>
      </w:r>
    </w:p>
    <w:p w14:paraId="00D30760" w14:textId="37689977" w:rsidR="0087792E" w:rsidRPr="0025601F" w:rsidRDefault="0087792E" w:rsidP="0025601F">
      <w:pPr>
        <w:spacing w:after="240" w:line="240" w:lineRule="auto"/>
        <w:ind w:firstLine="720"/>
        <w:rPr>
          <w:rFonts w:cstheme="minorHAnsi"/>
          <w:color w:val="000000"/>
          <w:shd w:val="clear" w:color="auto" w:fill="FFFFFF"/>
        </w:rPr>
      </w:pPr>
      <w:r w:rsidRPr="0025601F">
        <w:rPr>
          <w:rFonts w:cstheme="minorHAnsi"/>
          <w:color w:val="000000"/>
          <w:shd w:val="clear" w:color="auto" w:fill="FFFFFF"/>
        </w:rPr>
        <w:t>Working Paper, 0277.</w:t>
      </w:r>
    </w:p>
    <w:p w14:paraId="061260F3" w14:textId="77777777" w:rsidR="00782B31" w:rsidRPr="0025601F" w:rsidRDefault="00116D99" w:rsidP="0025601F">
      <w:pPr>
        <w:spacing w:after="0" w:line="240" w:lineRule="auto"/>
        <w:rPr>
          <w:rFonts w:cstheme="minorHAnsi"/>
          <w:kern w:val="0"/>
        </w:rPr>
      </w:pPr>
      <w:r w:rsidRPr="0025601F">
        <w:rPr>
          <w:rFonts w:cstheme="minorHAnsi"/>
          <w:kern w:val="0"/>
        </w:rPr>
        <w:t xml:space="preserve">Lu, B., Greevy, R., Xu, X., and Beck C. (2011). Optimal Nonbipartite Matching and its Statistical </w:t>
      </w:r>
    </w:p>
    <w:p w14:paraId="108CC2C1" w14:textId="3DC9B9AE" w:rsidR="0025601F" w:rsidRPr="0025601F" w:rsidRDefault="00116D99" w:rsidP="0025601F">
      <w:pPr>
        <w:spacing w:after="240" w:line="240" w:lineRule="auto"/>
        <w:ind w:firstLine="720"/>
        <w:rPr>
          <w:rFonts w:cstheme="minorHAnsi"/>
          <w:color w:val="000000"/>
          <w:shd w:val="clear" w:color="auto" w:fill="FFFFFF"/>
        </w:rPr>
      </w:pPr>
      <w:r w:rsidRPr="0025601F">
        <w:rPr>
          <w:rFonts w:cstheme="minorHAnsi"/>
          <w:color w:val="000000"/>
          <w:shd w:val="clear" w:color="auto" w:fill="FFFFFF"/>
        </w:rPr>
        <w:t xml:space="preserve">Applications. </w:t>
      </w:r>
      <w:r w:rsidRPr="0025601F">
        <w:rPr>
          <w:rFonts w:cstheme="minorHAnsi"/>
          <w:i/>
          <w:iCs/>
          <w:color w:val="000000"/>
          <w:shd w:val="clear" w:color="auto" w:fill="FFFFFF"/>
        </w:rPr>
        <w:t>The American Statistician</w:t>
      </w:r>
      <w:r w:rsidRPr="0025601F">
        <w:rPr>
          <w:rFonts w:cstheme="minorHAnsi"/>
          <w:color w:val="000000"/>
          <w:shd w:val="clear" w:color="auto" w:fill="FFFFFF"/>
        </w:rPr>
        <w:t xml:space="preserve"> 65(1): 21-30. </w:t>
      </w:r>
    </w:p>
    <w:p w14:paraId="519BD390" w14:textId="77777777" w:rsidR="0025601F" w:rsidRPr="0025601F" w:rsidRDefault="0087792E" w:rsidP="0025601F">
      <w:pPr>
        <w:spacing w:after="0" w:line="240" w:lineRule="auto"/>
        <w:rPr>
          <w:rFonts w:cstheme="minorHAnsi"/>
          <w:kern w:val="0"/>
        </w:rPr>
      </w:pPr>
      <w:r w:rsidRPr="0025601F">
        <w:rPr>
          <w:rFonts w:cstheme="minorHAnsi"/>
          <w:kern w:val="0"/>
        </w:rPr>
        <w:t xml:space="preserve">Zhang, Junni L. and Donald B. Rubin (2003). Estimation of Causal Effects via Principal Stratification When </w:t>
      </w:r>
    </w:p>
    <w:p w14:paraId="7B711333" w14:textId="1DCFC057" w:rsidR="0087792E" w:rsidRPr="0025601F" w:rsidRDefault="0087792E" w:rsidP="0025601F">
      <w:pPr>
        <w:spacing w:after="0"/>
        <w:ind w:left="720"/>
        <w:rPr>
          <w:rFonts w:cstheme="minorHAnsi"/>
        </w:rPr>
      </w:pPr>
      <w:r w:rsidRPr="0025601F">
        <w:rPr>
          <w:rFonts w:cstheme="minorHAnsi"/>
          <w:kern w:val="0"/>
        </w:rPr>
        <w:t xml:space="preserve">Some Outcomes are Truncated by “Death”. </w:t>
      </w:r>
      <w:r w:rsidRPr="0025601F">
        <w:rPr>
          <w:rFonts w:cstheme="minorHAnsi"/>
          <w:i/>
          <w:iCs/>
          <w:kern w:val="0"/>
        </w:rPr>
        <w:t>Journal of Educational and Behavioral Statistics</w:t>
      </w:r>
      <w:r w:rsidRPr="0025601F">
        <w:rPr>
          <w:rFonts w:cstheme="minorHAnsi"/>
          <w:kern w:val="0"/>
        </w:rPr>
        <w:t xml:space="preserve"> 28</w:t>
      </w:r>
      <w:r w:rsidR="0025601F" w:rsidRPr="0025601F">
        <w:rPr>
          <w:rFonts w:cstheme="minorHAnsi"/>
          <w:kern w:val="0"/>
        </w:rPr>
        <w:t>(4):</w:t>
      </w:r>
      <w:r w:rsidRPr="0025601F">
        <w:rPr>
          <w:rFonts w:cstheme="minorHAnsi"/>
          <w:kern w:val="0"/>
        </w:rPr>
        <w:t xml:space="preserve"> 353–368</w:t>
      </w:r>
    </w:p>
    <w:sectPr w:rsidR="0087792E" w:rsidRPr="0025601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E3C59A" w14:textId="77777777" w:rsidR="00415178" w:rsidRDefault="00415178" w:rsidP="00E75C5F">
      <w:pPr>
        <w:spacing w:after="0" w:line="240" w:lineRule="auto"/>
      </w:pPr>
      <w:r>
        <w:separator/>
      </w:r>
    </w:p>
  </w:endnote>
  <w:endnote w:type="continuationSeparator" w:id="0">
    <w:p w14:paraId="1640EB82" w14:textId="77777777" w:rsidR="00415178" w:rsidRDefault="00415178" w:rsidP="00E75C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C6CF43" w14:textId="77777777" w:rsidR="00415178" w:rsidRDefault="00415178" w:rsidP="00E75C5F">
      <w:pPr>
        <w:spacing w:after="0" w:line="240" w:lineRule="auto"/>
      </w:pPr>
      <w:r>
        <w:separator/>
      </w:r>
    </w:p>
  </w:footnote>
  <w:footnote w:type="continuationSeparator" w:id="0">
    <w:p w14:paraId="0161634A" w14:textId="77777777" w:rsidR="00415178" w:rsidRDefault="00415178" w:rsidP="00E75C5F">
      <w:pPr>
        <w:spacing w:after="0" w:line="240" w:lineRule="auto"/>
      </w:pPr>
      <w:r>
        <w:continuationSeparator/>
      </w:r>
    </w:p>
  </w:footnote>
  <w:footnote w:id="1">
    <w:p w14:paraId="7BE5C95F" w14:textId="1681C722" w:rsidR="00E75C5F" w:rsidRDefault="00E75C5F">
      <w:pPr>
        <w:pStyle w:val="FootnoteText"/>
      </w:pPr>
      <w:r>
        <w:rPr>
          <w:rStyle w:val="FootnoteReference"/>
        </w:rPr>
        <w:footnoteRef/>
      </w:r>
      <w:r>
        <w:t xml:space="preserve"> By “main community” we mean the cluster of dwellings and other buildings corresponding to the semi-urban footprint of the community, as distinguished from the dispersed rural area around the community.</w:t>
      </w:r>
    </w:p>
  </w:footnote>
  <w:footnote w:id="2">
    <w:p w14:paraId="0ADE816C" w14:textId="4BDA92DA" w:rsidR="006F7834" w:rsidRDefault="006F7834">
      <w:pPr>
        <w:pStyle w:val="FootnoteText"/>
      </w:pPr>
      <w:r>
        <w:rPr>
          <w:rStyle w:val="FootnoteReference"/>
        </w:rPr>
        <w:footnoteRef/>
      </w:r>
      <w:r>
        <w:t xml:space="preserve"> A</w:t>
      </w:r>
      <w:r>
        <w:rPr>
          <w:kern w:val="0"/>
          <w:lang w:val="en-GB"/>
          <w14:ligatures w14:val="none"/>
        </w:rPr>
        <w:t>lternatively, the household head could if this person was not available. However, in nearly all households the household head and primary crop or cattle decisionmaker was the same person.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911437"/>
    <w:multiLevelType w:val="hybridMultilevel"/>
    <w:tmpl w:val="50ECD9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601257"/>
    <w:multiLevelType w:val="multilevel"/>
    <w:tmpl w:val="6D1C6BB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28D22AE0"/>
    <w:multiLevelType w:val="hybridMultilevel"/>
    <w:tmpl w:val="320C7C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475DF8"/>
    <w:multiLevelType w:val="hybridMultilevel"/>
    <w:tmpl w:val="9E72E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39F1BF2"/>
    <w:multiLevelType w:val="hybridMultilevel"/>
    <w:tmpl w:val="B56A31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5214AA6"/>
    <w:multiLevelType w:val="hybridMultilevel"/>
    <w:tmpl w:val="EA5ECEAE"/>
    <w:lvl w:ilvl="0" w:tplc="0BEE0ABC">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DCC4201"/>
    <w:multiLevelType w:val="hybridMultilevel"/>
    <w:tmpl w:val="CB64391A"/>
    <w:lvl w:ilvl="0" w:tplc="136C6F0A">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7523DD1"/>
    <w:multiLevelType w:val="hybridMultilevel"/>
    <w:tmpl w:val="98D48B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5156804"/>
    <w:multiLevelType w:val="multilevel"/>
    <w:tmpl w:val="6D1C6BB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7B92589D"/>
    <w:multiLevelType w:val="hybridMultilevel"/>
    <w:tmpl w:val="A64C295C"/>
    <w:lvl w:ilvl="0" w:tplc="0BEE0ABC">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30054179">
    <w:abstractNumId w:val="8"/>
  </w:num>
  <w:num w:numId="2" w16cid:durableId="1815025678">
    <w:abstractNumId w:val="0"/>
  </w:num>
  <w:num w:numId="3" w16cid:durableId="2091805229">
    <w:abstractNumId w:val="0"/>
  </w:num>
  <w:num w:numId="4" w16cid:durableId="41559366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92887504">
    <w:abstractNumId w:val="1"/>
  </w:num>
  <w:num w:numId="6" w16cid:durableId="1633439593">
    <w:abstractNumId w:val="2"/>
  </w:num>
  <w:num w:numId="7" w16cid:durableId="1162086472">
    <w:abstractNumId w:val="2"/>
  </w:num>
  <w:num w:numId="8" w16cid:durableId="1608998121">
    <w:abstractNumId w:val="3"/>
  </w:num>
  <w:num w:numId="9" w16cid:durableId="173612729">
    <w:abstractNumId w:val="7"/>
  </w:num>
  <w:num w:numId="10" w16cid:durableId="1016343988">
    <w:abstractNumId w:val="7"/>
  </w:num>
  <w:num w:numId="11" w16cid:durableId="121270300">
    <w:abstractNumId w:val="6"/>
  </w:num>
  <w:num w:numId="12" w16cid:durableId="2076508854">
    <w:abstractNumId w:val="4"/>
  </w:num>
  <w:num w:numId="13" w16cid:durableId="174225579">
    <w:abstractNumId w:val="9"/>
  </w:num>
  <w:num w:numId="14" w16cid:durableId="179293814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93974882">
    <w:abstractNumId w:val="5"/>
  </w:num>
  <w:num w:numId="16" w16cid:durableId="17949813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4337"/>
    <w:rsid w:val="00021C15"/>
    <w:rsid w:val="0002510F"/>
    <w:rsid w:val="00025BD7"/>
    <w:rsid w:val="0004720E"/>
    <w:rsid w:val="000554A5"/>
    <w:rsid w:val="000637CC"/>
    <w:rsid w:val="000961F1"/>
    <w:rsid w:val="000A1EA2"/>
    <w:rsid w:val="000E1391"/>
    <w:rsid w:val="001018A4"/>
    <w:rsid w:val="00116D99"/>
    <w:rsid w:val="001254F0"/>
    <w:rsid w:val="00131D0B"/>
    <w:rsid w:val="00151B43"/>
    <w:rsid w:val="00184BE9"/>
    <w:rsid w:val="00204069"/>
    <w:rsid w:val="0025601F"/>
    <w:rsid w:val="00272D5B"/>
    <w:rsid w:val="00275EC6"/>
    <w:rsid w:val="002A31F4"/>
    <w:rsid w:val="002B02F9"/>
    <w:rsid w:val="002D3307"/>
    <w:rsid w:val="002F268E"/>
    <w:rsid w:val="003105C6"/>
    <w:rsid w:val="00327C32"/>
    <w:rsid w:val="00334337"/>
    <w:rsid w:val="00335A0E"/>
    <w:rsid w:val="00371129"/>
    <w:rsid w:val="00386776"/>
    <w:rsid w:val="00393774"/>
    <w:rsid w:val="00396538"/>
    <w:rsid w:val="0039726B"/>
    <w:rsid w:val="003B680C"/>
    <w:rsid w:val="003D22AD"/>
    <w:rsid w:val="003D244A"/>
    <w:rsid w:val="003E215D"/>
    <w:rsid w:val="003E4ECE"/>
    <w:rsid w:val="004077D2"/>
    <w:rsid w:val="00415178"/>
    <w:rsid w:val="00447CE6"/>
    <w:rsid w:val="00496D34"/>
    <w:rsid w:val="004A2943"/>
    <w:rsid w:val="004A4197"/>
    <w:rsid w:val="004A7490"/>
    <w:rsid w:val="004F3015"/>
    <w:rsid w:val="004F4031"/>
    <w:rsid w:val="005010A0"/>
    <w:rsid w:val="0051109E"/>
    <w:rsid w:val="00517F1F"/>
    <w:rsid w:val="005344BD"/>
    <w:rsid w:val="00571955"/>
    <w:rsid w:val="005D5BE2"/>
    <w:rsid w:val="005E194F"/>
    <w:rsid w:val="005E3514"/>
    <w:rsid w:val="005E3B7E"/>
    <w:rsid w:val="00627531"/>
    <w:rsid w:val="0063256F"/>
    <w:rsid w:val="00661E8E"/>
    <w:rsid w:val="006A3270"/>
    <w:rsid w:val="006F7834"/>
    <w:rsid w:val="00782B31"/>
    <w:rsid w:val="007A6D82"/>
    <w:rsid w:val="007B102D"/>
    <w:rsid w:val="007D397A"/>
    <w:rsid w:val="00817061"/>
    <w:rsid w:val="0084004D"/>
    <w:rsid w:val="008652D7"/>
    <w:rsid w:val="00865CB1"/>
    <w:rsid w:val="00872D42"/>
    <w:rsid w:val="0087792E"/>
    <w:rsid w:val="00880965"/>
    <w:rsid w:val="0088251C"/>
    <w:rsid w:val="008C5676"/>
    <w:rsid w:val="009B1945"/>
    <w:rsid w:val="009D0FD7"/>
    <w:rsid w:val="00A01FEB"/>
    <w:rsid w:val="00A120D1"/>
    <w:rsid w:val="00A27BC3"/>
    <w:rsid w:val="00A57BA3"/>
    <w:rsid w:val="00A953C6"/>
    <w:rsid w:val="00AB2CCF"/>
    <w:rsid w:val="00B1580C"/>
    <w:rsid w:val="00BA3E0E"/>
    <w:rsid w:val="00BD61C2"/>
    <w:rsid w:val="00BF2669"/>
    <w:rsid w:val="00C21F8B"/>
    <w:rsid w:val="00C27D26"/>
    <w:rsid w:val="00C662E6"/>
    <w:rsid w:val="00CE6562"/>
    <w:rsid w:val="00D14AFF"/>
    <w:rsid w:val="00D16963"/>
    <w:rsid w:val="00D43277"/>
    <w:rsid w:val="00D45131"/>
    <w:rsid w:val="00D54E10"/>
    <w:rsid w:val="00D6155F"/>
    <w:rsid w:val="00D700FC"/>
    <w:rsid w:val="00D77732"/>
    <w:rsid w:val="00D97323"/>
    <w:rsid w:val="00DC77FA"/>
    <w:rsid w:val="00DD12A9"/>
    <w:rsid w:val="00DD3BA0"/>
    <w:rsid w:val="00DE6137"/>
    <w:rsid w:val="00E011D0"/>
    <w:rsid w:val="00E3559C"/>
    <w:rsid w:val="00E71C7A"/>
    <w:rsid w:val="00E75C5F"/>
    <w:rsid w:val="00E90D04"/>
    <w:rsid w:val="00E97A5C"/>
    <w:rsid w:val="00F327A9"/>
    <w:rsid w:val="00FA0646"/>
    <w:rsid w:val="00FC0BDA"/>
    <w:rsid w:val="00FD37AE"/>
    <w:rsid w:val="00FD51A7"/>
    <w:rsid w:val="00FE4A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85C4B"/>
  <w15:chartTrackingRefBased/>
  <w15:docId w15:val="{AFE47E0D-E243-440E-834F-34287883D9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5">
    <w:name w:val="heading 5"/>
    <w:basedOn w:val="Normal"/>
    <w:link w:val="Heading5Char"/>
    <w:uiPriority w:val="9"/>
    <w:qFormat/>
    <w:rsid w:val="00334337"/>
    <w:pPr>
      <w:spacing w:before="100" w:beforeAutospacing="1" w:after="100" w:afterAutospacing="1" w:line="240" w:lineRule="auto"/>
      <w:outlineLvl w:val="4"/>
    </w:pPr>
    <w:rPr>
      <w:rFonts w:ascii="Times New Roman" w:eastAsia="Times New Roman" w:hAnsi="Times New Roman" w:cs="Times New Roman"/>
      <w:b/>
      <w:bCs/>
      <w:kern w:val="0"/>
      <w:sz w:val="20"/>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334337"/>
    <w:rPr>
      <w:rFonts w:ascii="Times New Roman" w:eastAsia="Times New Roman" w:hAnsi="Times New Roman" w:cs="Times New Roman"/>
      <w:b/>
      <w:bCs/>
      <w:kern w:val="0"/>
      <w:sz w:val="20"/>
      <w:szCs w:val="20"/>
      <w14:ligatures w14:val="none"/>
    </w:rPr>
  </w:style>
  <w:style w:type="character" w:styleId="Hyperlink">
    <w:name w:val="Hyperlink"/>
    <w:basedOn w:val="DefaultParagraphFont"/>
    <w:uiPriority w:val="99"/>
    <w:semiHidden/>
    <w:unhideWhenUsed/>
    <w:rsid w:val="00334337"/>
    <w:rPr>
      <w:color w:val="0000FF"/>
      <w:u w:val="single"/>
    </w:rPr>
  </w:style>
  <w:style w:type="paragraph" w:styleId="ListParagraph">
    <w:name w:val="List Paragraph"/>
    <w:basedOn w:val="Normal"/>
    <w:uiPriority w:val="34"/>
    <w:qFormat/>
    <w:rsid w:val="00334337"/>
    <w:pPr>
      <w:ind w:left="720"/>
      <w:contextualSpacing/>
    </w:pPr>
  </w:style>
  <w:style w:type="paragraph" w:styleId="FootnoteText">
    <w:name w:val="footnote text"/>
    <w:basedOn w:val="Normal"/>
    <w:link w:val="FootnoteTextChar"/>
    <w:uiPriority w:val="99"/>
    <w:semiHidden/>
    <w:unhideWhenUsed/>
    <w:rsid w:val="00E75C5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75C5F"/>
    <w:rPr>
      <w:sz w:val="20"/>
      <w:szCs w:val="20"/>
    </w:rPr>
  </w:style>
  <w:style w:type="character" w:styleId="FootnoteReference">
    <w:name w:val="footnote reference"/>
    <w:basedOn w:val="DefaultParagraphFont"/>
    <w:uiPriority w:val="99"/>
    <w:semiHidden/>
    <w:unhideWhenUsed/>
    <w:rsid w:val="00E75C5F"/>
    <w:rPr>
      <w:vertAlign w:val="superscript"/>
    </w:rPr>
  </w:style>
  <w:style w:type="character" w:styleId="PlaceholderText">
    <w:name w:val="Placeholder Text"/>
    <w:basedOn w:val="DefaultParagraphFont"/>
    <w:uiPriority w:val="99"/>
    <w:semiHidden/>
    <w:rsid w:val="00A953C6"/>
    <w:rPr>
      <w:color w:val="666666"/>
    </w:rPr>
  </w:style>
  <w:style w:type="table" w:styleId="TableGrid">
    <w:name w:val="Table Grid"/>
    <w:basedOn w:val="TableNormal"/>
    <w:uiPriority w:val="39"/>
    <w:rsid w:val="00D54E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3D244A"/>
    <w:rPr>
      <w:sz w:val="16"/>
      <w:szCs w:val="16"/>
    </w:rPr>
  </w:style>
  <w:style w:type="paragraph" w:styleId="CommentText">
    <w:name w:val="annotation text"/>
    <w:basedOn w:val="Normal"/>
    <w:link w:val="CommentTextChar"/>
    <w:uiPriority w:val="99"/>
    <w:unhideWhenUsed/>
    <w:rsid w:val="003D244A"/>
    <w:pPr>
      <w:spacing w:line="240" w:lineRule="auto"/>
    </w:pPr>
    <w:rPr>
      <w:sz w:val="20"/>
      <w:szCs w:val="20"/>
    </w:rPr>
  </w:style>
  <w:style w:type="character" w:customStyle="1" w:styleId="CommentTextChar">
    <w:name w:val="Comment Text Char"/>
    <w:basedOn w:val="DefaultParagraphFont"/>
    <w:link w:val="CommentText"/>
    <w:uiPriority w:val="99"/>
    <w:rsid w:val="003D244A"/>
    <w:rPr>
      <w:sz w:val="20"/>
      <w:szCs w:val="20"/>
    </w:rPr>
  </w:style>
  <w:style w:type="paragraph" w:styleId="CommentSubject">
    <w:name w:val="annotation subject"/>
    <w:basedOn w:val="CommentText"/>
    <w:next w:val="CommentText"/>
    <w:link w:val="CommentSubjectChar"/>
    <w:uiPriority w:val="99"/>
    <w:semiHidden/>
    <w:unhideWhenUsed/>
    <w:rsid w:val="003D244A"/>
    <w:rPr>
      <w:b/>
      <w:bCs/>
    </w:rPr>
  </w:style>
  <w:style w:type="character" w:customStyle="1" w:styleId="CommentSubjectChar">
    <w:name w:val="Comment Subject Char"/>
    <w:basedOn w:val="CommentTextChar"/>
    <w:link w:val="CommentSubject"/>
    <w:uiPriority w:val="99"/>
    <w:semiHidden/>
    <w:rsid w:val="003D244A"/>
    <w:rPr>
      <w:b/>
      <w:bCs/>
      <w:sz w:val="20"/>
      <w:szCs w:val="20"/>
    </w:rPr>
  </w:style>
  <w:style w:type="character" w:customStyle="1" w:styleId="authorname">
    <w:name w:val="authorname"/>
    <w:basedOn w:val="DefaultParagraphFont"/>
    <w:rsid w:val="00E97A5C"/>
  </w:style>
  <w:style w:type="character" w:customStyle="1" w:styleId="separator">
    <w:name w:val="separator"/>
    <w:basedOn w:val="DefaultParagraphFont"/>
    <w:rsid w:val="00E97A5C"/>
  </w:style>
  <w:style w:type="character" w:customStyle="1" w:styleId="Date1">
    <w:name w:val="Date1"/>
    <w:basedOn w:val="DefaultParagraphFont"/>
    <w:rsid w:val="00E97A5C"/>
  </w:style>
  <w:style w:type="character" w:customStyle="1" w:styleId="arttitle">
    <w:name w:val="art_title"/>
    <w:basedOn w:val="DefaultParagraphFont"/>
    <w:rsid w:val="00E97A5C"/>
  </w:style>
  <w:style w:type="character" w:customStyle="1" w:styleId="serialtitle">
    <w:name w:val="serial_title"/>
    <w:basedOn w:val="DefaultParagraphFont"/>
    <w:rsid w:val="00E97A5C"/>
  </w:style>
  <w:style w:type="character" w:customStyle="1" w:styleId="volumeissue">
    <w:name w:val="volume_issue"/>
    <w:basedOn w:val="DefaultParagraphFont"/>
    <w:rsid w:val="00E97A5C"/>
  </w:style>
  <w:style w:type="character" w:customStyle="1" w:styleId="pagerange">
    <w:name w:val="page_range"/>
    <w:basedOn w:val="DefaultParagraphFont"/>
    <w:rsid w:val="00E97A5C"/>
  </w:style>
  <w:style w:type="character" w:customStyle="1" w:styleId="doilink">
    <w:name w:val="doi_link"/>
    <w:basedOn w:val="DefaultParagraphFont"/>
    <w:rsid w:val="00E97A5C"/>
  </w:style>
  <w:style w:type="paragraph" w:styleId="Revision">
    <w:name w:val="Revision"/>
    <w:hidden/>
    <w:uiPriority w:val="99"/>
    <w:semiHidden/>
    <w:rsid w:val="00D4513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54389">
      <w:bodyDiv w:val="1"/>
      <w:marLeft w:val="0"/>
      <w:marRight w:val="0"/>
      <w:marTop w:val="0"/>
      <w:marBottom w:val="0"/>
      <w:divBdr>
        <w:top w:val="none" w:sz="0" w:space="0" w:color="auto"/>
        <w:left w:val="none" w:sz="0" w:space="0" w:color="auto"/>
        <w:bottom w:val="none" w:sz="0" w:space="0" w:color="auto"/>
        <w:right w:val="none" w:sz="0" w:space="0" w:color="auto"/>
      </w:divBdr>
    </w:div>
    <w:div w:id="167450733">
      <w:bodyDiv w:val="1"/>
      <w:marLeft w:val="0"/>
      <w:marRight w:val="0"/>
      <w:marTop w:val="0"/>
      <w:marBottom w:val="0"/>
      <w:divBdr>
        <w:top w:val="none" w:sz="0" w:space="0" w:color="auto"/>
        <w:left w:val="none" w:sz="0" w:space="0" w:color="auto"/>
        <w:bottom w:val="none" w:sz="0" w:space="0" w:color="auto"/>
        <w:right w:val="none" w:sz="0" w:space="0" w:color="auto"/>
      </w:divBdr>
    </w:div>
    <w:div w:id="170528762">
      <w:bodyDiv w:val="1"/>
      <w:marLeft w:val="0"/>
      <w:marRight w:val="0"/>
      <w:marTop w:val="0"/>
      <w:marBottom w:val="0"/>
      <w:divBdr>
        <w:top w:val="none" w:sz="0" w:space="0" w:color="auto"/>
        <w:left w:val="none" w:sz="0" w:space="0" w:color="auto"/>
        <w:bottom w:val="none" w:sz="0" w:space="0" w:color="auto"/>
        <w:right w:val="none" w:sz="0" w:space="0" w:color="auto"/>
      </w:divBdr>
    </w:div>
    <w:div w:id="240914014">
      <w:bodyDiv w:val="1"/>
      <w:marLeft w:val="0"/>
      <w:marRight w:val="0"/>
      <w:marTop w:val="0"/>
      <w:marBottom w:val="0"/>
      <w:divBdr>
        <w:top w:val="none" w:sz="0" w:space="0" w:color="auto"/>
        <w:left w:val="none" w:sz="0" w:space="0" w:color="auto"/>
        <w:bottom w:val="none" w:sz="0" w:space="0" w:color="auto"/>
        <w:right w:val="none" w:sz="0" w:space="0" w:color="auto"/>
      </w:divBdr>
    </w:div>
    <w:div w:id="400714388">
      <w:bodyDiv w:val="1"/>
      <w:marLeft w:val="0"/>
      <w:marRight w:val="0"/>
      <w:marTop w:val="0"/>
      <w:marBottom w:val="0"/>
      <w:divBdr>
        <w:top w:val="none" w:sz="0" w:space="0" w:color="auto"/>
        <w:left w:val="none" w:sz="0" w:space="0" w:color="auto"/>
        <w:bottom w:val="none" w:sz="0" w:space="0" w:color="auto"/>
        <w:right w:val="none" w:sz="0" w:space="0" w:color="auto"/>
      </w:divBdr>
    </w:div>
    <w:div w:id="412239101">
      <w:bodyDiv w:val="1"/>
      <w:marLeft w:val="0"/>
      <w:marRight w:val="0"/>
      <w:marTop w:val="0"/>
      <w:marBottom w:val="0"/>
      <w:divBdr>
        <w:top w:val="none" w:sz="0" w:space="0" w:color="auto"/>
        <w:left w:val="none" w:sz="0" w:space="0" w:color="auto"/>
        <w:bottom w:val="none" w:sz="0" w:space="0" w:color="auto"/>
        <w:right w:val="none" w:sz="0" w:space="0" w:color="auto"/>
      </w:divBdr>
    </w:div>
    <w:div w:id="430396350">
      <w:bodyDiv w:val="1"/>
      <w:marLeft w:val="0"/>
      <w:marRight w:val="0"/>
      <w:marTop w:val="0"/>
      <w:marBottom w:val="0"/>
      <w:divBdr>
        <w:top w:val="none" w:sz="0" w:space="0" w:color="auto"/>
        <w:left w:val="none" w:sz="0" w:space="0" w:color="auto"/>
        <w:bottom w:val="none" w:sz="0" w:space="0" w:color="auto"/>
        <w:right w:val="none" w:sz="0" w:space="0" w:color="auto"/>
      </w:divBdr>
    </w:div>
    <w:div w:id="489054315">
      <w:bodyDiv w:val="1"/>
      <w:marLeft w:val="0"/>
      <w:marRight w:val="0"/>
      <w:marTop w:val="0"/>
      <w:marBottom w:val="0"/>
      <w:divBdr>
        <w:top w:val="none" w:sz="0" w:space="0" w:color="auto"/>
        <w:left w:val="none" w:sz="0" w:space="0" w:color="auto"/>
        <w:bottom w:val="none" w:sz="0" w:space="0" w:color="auto"/>
        <w:right w:val="none" w:sz="0" w:space="0" w:color="auto"/>
      </w:divBdr>
    </w:div>
    <w:div w:id="532500887">
      <w:bodyDiv w:val="1"/>
      <w:marLeft w:val="0"/>
      <w:marRight w:val="0"/>
      <w:marTop w:val="0"/>
      <w:marBottom w:val="0"/>
      <w:divBdr>
        <w:top w:val="none" w:sz="0" w:space="0" w:color="auto"/>
        <w:left w:val="none" w:sz="0" w:space="0" w:color="auto"/>
        <w:bottom w:val="none" w:sz="0" w:space="0" w:color="auto"/>
        <w:right w:val="none" w:sz="0" w:space="0" w:color="auto"/>
      </w:divBdr>
    </w:div>
    <w:div w:id="554320418">
      <w:bodyDiv w:val="1"/>
      <w:marLeft w:val="0"/>
      <w:marRight w:val="0"/>
      <w:marTop w:val="0"/>
      <w:marBottom w:val="0"/>
      <w:divBdr>
        <w:top w:val="none" w:sz="0" w:space="0" w:color="auto"/>
        <w:left w:val="none" w:sz="0" w:space="0" w:color="auto"/>
        <w:bottom w:val="none" w:sz="0" w:space="0" w:color="auto"/>
        <w:right w:val="none" w:sz="0" w:space="0" w:color="auto"/>
      </w:divBdr>
    </w:div>
    <w:div w:id="575553603">
      <w:bodyDiv w:val="1"/>
      <w:marLeft w:val="0"/>
      <w:marRight w:val="0"/>
      <w:marTop w:val="0"/>
      <w:marBottom w:val="0"/>
      <w:divBdr>
        <w:top w:val="none" w:sz="0" w:space="0" w:color="auto"/>
        <w:left w:val="none" w:sz="0" w:space="0" w:color="auto"/>
        <w:bottom w:val="none" w:sz="0" w:space="0" w:color="auto"/>
        <w:right w:val="none" w:sz="0" w:space="0" w:color="auto"/>
      </w:divBdr>
    </w:div>
    <w:div w:id="582035638">
      <w:bodyDiv w:val="1"/>
      <w:marLeft w:val="0"/>
      <w:marRight w:val="0"/>
      <w:marTop w:val="0"/>
      <w:marBottom w:val="0"/>
      <w:divBdr>
        <w:top w:val="none" w:sz="0" w:space="0" w:color="auto"/>
        <w:left w:val="none" w:sz="0" w:space="0" w:color="auto"/>
        <w:bottom w:val="none" w:sz="0" w:space="0" w:color="auto"/>
        <w:right w:val="none" w:sz="0" w:space="0" w:color="auto"/>
      </w:divBdr>
    </w:div>
    <w:div w:id="614364619">
      <w:bodyDiv w:val="1"/>
      <w:marLeft w:val="0"/>
      <w:marRight w:val="0"/>
      <w:marTop w:val="0"/>
      <w:marBottom w:val="0"/>
      <w:divBdr>
        <w:top w:val="none" w:sz="0" w:space="0" w:color="auto"/>
        <w:left w:val="none" w:sz="0" w:space="0" w:color="auto"/>
        <w:bottom w:val="none" w:sz="0" w:space="0" w:color="auto"/>
        <w:right w:val="none" w:sz="0" w:space="0" w:color="auto"/>
      </w:divBdr>
    </w:div>
    <w:div w:id="628247496">
      <w:bodyDiv w:val="1"/>
      <w:marLeft w:val="0"/>
      <w:marRight w:val="0"/>
      <w:marTop w:val="0"/>
      <w:marBottom w:val="0"/>
      <w:divBdr>
        <w:top w:val="none" w:sz="0" w:space="0" w:color="auto"/>
        <w:left w:val="none" w:sz="0" w:space="0" w:color="auto"/>
        <w:bottom w:val="none" w:sz="0" w:space="0" w:color="auto"/>
        <w:right w:val="none" w:sz="0" w:space="0" w:color="auto"/>
      </w:divBdr>
    </w:div>
    <w:div w:id="638998736">
      <w:bodyDiv w:val="1"/>
      <w:marLeft w:val="0"/>
      <w:marRight w:val="0"/>
      <w:marTop w:val="0"/>
      <w:marBottom w:val="0"/>
      <w:divBdr>
        <w:top w:val="none" w:sz="0" w:space="0" w:color="auto"/>
        <w:left w:val="none" w:sz="0" w:space="0" w:color="auto"/>
        <w:bottom w:val="none" w:sz="0" w:space="0" w:color="auto"/>
        <w:right w:val="none" w:sz="0" w:space="0" w:color="auto"/>
      </w:divBdr>
    </w:div>
    <w:div w:id="723720576">
      <w:bodyDiv w:val="1"/>
      <w:marLeft w:val="0"/>
      <w:marRight w:val="0"/>
      <w:marTop w:val="0"/>
      <w:marBottom w:val="0"/>
      <w:divBdr>
        <w:top w:val="none" w:sz="0" w:space="0" w:color="auto"/>
        <w:left w:val="none" w:sz="0" w:space="0" w:color="auto"/>
        <w:bottom w:val="none" w:sz="0" w:space="0" w:color="auto"/>
        <w:right w:val="none" w:sz="0" w:space="0" w:color="auto"/>
      </w:divBdr>
    </w:div>
    <w:div w:id="747504411">
      <w:bodyDiv w:val="1"/>
      <w:marLeft w:val="0"/>
      <w:marRight w:val="0"/>
      <w:marTop w:val="0"/>
      <w:marBottom w:val="0"/>
      <w:divBdr>
        <w:top w:val="none" w:sz="0" w:space="0" w:color="auto"/>
        <w:left w:val="none" w:sz="0" w:space="0" w:color="auto"/>
        <w:bottom w:val="none" w:sz="0" w:space="0" w:color="auto"/>
        <w:right w:val="none" w:sz="0" w:space="0" w:color="auto"/>
      </w:divBdr>
    </w:div>
    <w:div w:id="807209384">
      <w:bodyDiv w:val="1"/>
      <w:marLeft w:val="0"/>
      <w:marRight w:val="0"/>
      <w:marTop w:val="0"/>
      <w:marBottom w:val="0"/>
      <w:divBdr>
        <w:top w:val="none" w:sz="0" w:space="0" w:color="auto"/>
        <w:left w:val="none" w:sz="0" w:space="0" w:color="auto"/>
        <w:bottom w:val="none" w:sz="0" w:space="0" w:color="auto"/>
        <w:right w:val="none" w:sz="0" w:space="0" w:color="auto"/>
      </w:divBdr>
    </w:div>
    <w:div w:id="840193691">
      <w:bodyDiv w:val="1"/>
      <w:marLeft w:val="0"/>
      <w:marRight w:val="0"/>
      <w:marTop w:val="0"/>
      <w:marBottom w:val="0"/>
      <w:divBdr>
        <w:top w:val="none" w:sz="0" w:space="0" w:color="auto"/>
        <w:left w:val="none" w:sz="0" w:space="0" w:color="auto"/>
        <w:bottom w:val="none" w:sz="0" w:space="0" w:color="auto"/>
        <w:right w:val="none" w:sz="0" w:space="0" w:color="auto"/>
      </w:divBdr>
    </w:div>
    <w:div w:id="855922434">
      <w:bodyDiv w:val="1"/>
      <w:marLeft w:val="0"/>
      <w:marRight w:val="0"/>
      <w:marTop w:val="0"/>
      <w:marBottom w:val="0"/>
      <w:divBdr>
        <w:top w:val="none" w:sz="0" w:space="0" w:color="auto"/>
        <w:left w:val="none" w:sz="0" w:space="0" w:color="auto"/>
        <w:bottom w:val="none" w:sz="0" w:space="0" w:color="auto"/>
        <w:right w:val="none" w:sz="0" w:space="0" w:color="auto"/>
      </w:divBdr>
    </w:div>
    <w:div w:id="881132067">
      <w:bodyDiv w:val="1"/>
      <w:marLeft w:val="0"/>
      <w:marRight w:val="0"/>
      <w:marTop w:val="0"/>
      <w:marBottom w:val="0"/>
      <w:divBdr>
        <w:top w:val="none" w:sz="0" w:space="0" w:color="auto"/>
        <w:left w:val="none" w:sz="0" w:space="0" w:color="auto"/>
        <w:bottom w:val="none" w:sz="0" w:space="0" w:color="auto"/>
        <w:right w:val="none" w:sz="0" w:space="0" w:color="auto"/>
      </w:divBdr>
    </w:div>
    <w:div w:id="889149300">
      <w:bodyDiv w:val="1"/>
      <w:marLeft w:val="0"/>
      <w:marRight w:val="0"/>
      <w:marTop w:val="0"/>
      <w:marBottom w:val="0"/>
      <w:divBdr>
        <w:top w:val="none" w:sz="0" w:space="0" w:color="auto"/>
        <w:left w:val="none" w:sz="0" w:space="0" w:color="auto"/>
        <w:bottom w:val="none" w:sz="0" w:space="0" w:color="auto"/>
        <w:right w:val="none" w:sz="0" w:space="0" w:color="auto"/>
      </w:divBdr>
    </w:div>
    <w:div w:id="942760434">
      <w:bodyDiv w:val="1"/>
      <w:marLeft w:val="0"/>
      <w:marRight w:val="0"/>
      <w:marTop w:val="0"/>
      <w:marBottom w:val="0"/>
      <w:divBdr>
        <w:top w:val="none" w:sz="0" w:space="0" w:color="auto"/>
        <w:left w:val="none" w:sz="0" w:space="0" w:color="auto"/>
        <w:bottom w:val="none" w:sz="0" w:space="0" w:color="auto"/>
        <w:right w:val="none" w:sz="0" w:space="0" w:color="auto"/>
      </w:divBdr>
    </w:div>
    <w:div w:id="968362826">
      <w:bodyDiv w:val="1"/>
      <w:marLeft w:val="0"/>
      <w:marRight w:val="0"/>
      <w:marTop w:val="0"/>
      <w:marBottom w:val="0"/>
      <w:divBdr>
        <w:top w:val="none" w:sz="0" w:space="0" w:color="auto"/>
        <w:left w:val="none" w:sz="0" w:space="0" w:color="auto"/>
        <w:bottom w:val="none" w:sz="0" w:space="0" w:color="auto"/>
        <w:right w:val="none" w:sz="0" w:space="0" w:color="auto"/>
      </w:divBdr>
    </w:div>
    <w:div w:id="972445598">
      <w:bodyDiv w:val="1"/>
      <w:marLeft w:val="0"/>
      <w:marRight w:val="0"/>
      <w:marTop w:val="0"/>
      <w:marBottom w:val="0"/>
      <w:divBdr>
        <w:top w:val="none" w:sz="0" w:space="0" w:color="auto"/>
        <w:left w:val="none" w:sz="0" w:space="0" w:color="auto"/>
        <w:bottom w:val="none" w:sz="0" w:space="0" w:color="auto"/>
        <w:right w:val="none" w:sz="0" w:space="0" w:color="auto"/>
      </w:divBdr>
    </w:div>
    <w:div w:id="1041201437">
      <w:bodyDiv w:val="1"/>
      <w:marLeft w:val="0"/>
      <w:marRight w:val="0"/>
      <w:marTop w:val="0"/>
      <w:marBottom w:val="0"/>
      <w:divBdr>
        <w:top w:val="none" w:sz="0" w:space="0" w:color="auto"/>
        <w:left w:val="none" w:sz="0" w:space="0" w:color="auto"/>
        <w:bottom w:val="none" w:sz="0" w:space="0" w:color="auto"/>
        <w:right w:val="none" w:sz="0" w:space="0" w:color="auto"/>
      </w:divBdr>
    </w:div>
    <w:div w:id="1091856816">
      <w:bodyDiv w:val="1"/>
      <w:marLeft w:val="0"/>
      <w:marRight w:val="0"/>
      <w:marTop w:val="0"/>
      <w:marBottom w:val="0"/>
      <w:divBdr>
        <w:top w:val="none" w:sz="0" w:space="0" w:color="auto"/>
        <w:left w:val="none" w:sz="0" w:space="0" w:color="auto"/>
        <w:bottom w:val="none" w:sz="0" w:space="0" w:color="auto"/>
        <w:right w:val="none" w:sz="0" w:space="0" w:color="auto"/>
      </w:divBdr>
    </w:div>
    <w:div w:id="1152138932">
      <w:bodyDiv w:val="1"/>
      <w:marLeft w:val="0"/>
      <w:marRight w:val="0"/>
      <w:marTop w:val="0"/>
      <w:marBottom w:val="0"/>
      <w:divBdr>
        <w:top w:val="none" w:sz="0" w:space="0" w:color="auto"/>
        <w:left w:val="none" w:sz="0" w:space="0" w:color="auto"/>
        <w:bottom w:val="none" w:sz="0" w:space="0" w:color="auto"/>
        <w:right w:val="none" w:sz="0" w:space="0" w:color="auto"/>
      </w:divBdr>
    </w:div>
    <w:div w:id="1243032204">
      <w:bodyDiv w:val="1"/>
      <w:marLeft w:val="0"/>
      <w:marRight w:val="0"/>
      <w:marTop w:val="0"/>
      <w:marBottom w:val="0"/>
      <w:divBdr>
        <w:top w:val="none" w:sz="0" w:space="0" w:color="auto"/>
        <w:left w:val="none" w:sz="0" w:space="0" w:color="auto"/>
        <w:bottom w:val="none" w:sz="0" w:space="0" w:color="auto"/>
        <w:right w:val="none" w:sz="0" w:space="0" w:color="auto"/>
      </w:divBdr>
    </w:div>
    <w:div w:id="1331327144">
      <w:bodyDiv w:val="1"/>
      <w:marLeft w:val="0"/>
      <w:marRight w:val="0"/>
      <w:marTop w:val="0"/>
      <w:marBottom w:val="0"/>
      <w:divBdr>
        <w:top w:val="none" w:sz="0" w:space="0" w:color="auto"/>
        <w:left w:val="none" w:sz="0" w:space="0" w:color="auto"/>
        <w:bottom w:val="none" w:sz="0" w:space="0" w:color="auto"/>
        <w:right w:val="none" w:sz="0" w:space="0" w:color="auto"/>
      </w:divBdr>
    </w:div>
    <w:div w:id="1500345937">
      <w:bodyDiv w:val="1"/>
      <w:marLeft w:val="0"/>
      <w:marRight w:val="0"/>
      <w:marTop w:val="0"/>
      <w:marBottom w:val="0"/>
      <w:divBdr>
        <w:top w:val="none" w:sz="0" w:space="0" w:color="auto"/>
        <w:left w:val="none" w:sz="0" w:space="0" w:color="auto"/>
        <w:bottom w:val="none" w:sz="0" w:space="0" w:color="auto"/>
        <w:right w:val="none" w:sz="0" w:space="0" w:color="auto"/>
      </w:divBdr>
    </w:div>
    <w:div w:id="1537158008">
      <w:bodyDiv w:val="1"/>
      <w:marLeft w:val="0"/>
      <w:marRight w:val="0"/>
      <w:marTop w:val="0"/>
      <w:marBottom w:val="0"/>
      <w:divBdr>
        <w:top w:val="none" w:sz="0" w:space="0" w:color="auto"/>
        <w:left w:val="none" w:sz="0" w:space="0" w:color="auto"/>
        <w:bottom w:val="none" w:sz="0" w:space="0" w:color="auto"/>
        <w:right w:val="none" w:sz="0" w:space="0" w:color="auto"/>
      </w:divBdr>
    </w:div>
    <w:div w:id="1568220404">
      <w:bodyDiv w:val="1"/>
      <w:marLeft w:val="0"/>
      <w:marRight w:val="0"/>
      <w:marTop w:val="0"/>
      <w:marBottom w:val="0"/>
      <w:divBdr>
        <w:top w:val="none" w:sz="0" w:space="0" w:color="auto"/>
        <w:left w:val="none" w:sz="0" w:space="0" w:color="auto"/>
        <w:bottom w:val="none" w:sz="0" w:space="0" w:color="auto"/>
        <w:right w:val="none" w:sz="0" w:space="0" w:color="auto"/>
      </w:divBdr>
    </w:div>
    <w:div w:id="1630697775">
      <w:bodyDiv w:val="1"/>
      <w:marLeft w:val="0"/>
      <w:marRight w:val="0"/>
      <w:marTop w:val="0"/>
      <w:marBottom w:val="0"/>
      <w:divBdr>
        <w:top w:val="none" w:sz="0" w:space="0" w:color="auto"/>
        <w:left w:val="none" w:sz="0" w:space="0" w:color="auto"/>
        <w:bottom w:val="none" w:sz="0" w:space="0" w:color="auto"/>
        <w:right w:val="none" w:sz="0" w:space="0" w:color="auto"/>
      </w:divBdr>
    </w:div>
    <w:div w:id="1757170023">
      <w:bodyDiv w:val="1"/>
      <w:marLeft w:val="0"/>
      <w:marRight w:val="0"/>
      <w:marTop w:val="0"/>
      <w:marBottom w:val="0"/>
      <w:divBdr>
        <w:top w:val="none" w:sz="0" w:space="0" w:color="auto"/>
        <w:left w:val="none" w:sz="0" w:space="0" w:color="auto"/>
        <w:bottom w:val="none" w:sz="0" w:space="0" w:color="auto"/>
        <w:right w:val="none" w:sz="0" w:space="0" w:color="auto"/>
      </w:divBdr>
    </w:div>
    <w:div w:id="1774285233">
      <w:bodyDiv w:val="1"/>
      <w:marLeft w:val="0"/>
      <w:marRight w:val="0"/>
      <w:marTop w:val="0"/>
      <w:marBottom w:val="0"/>
      <w:divBdr>
        <w:top w:val="none" w:sz="0" w:space="0" w:color="auto"/>
        <w:left w:val="none" w:sz="0" w:space="0" w:color="auto"/>
        <w:bottom w:val="none" w:sz="0" w:space="0" w:color="auto"/>
        <w:right w:val="none" w:sz="0" w:space="0" w:color="auto"/>
      </w:divBdr>
    </w:div>
    <w:div w:id="1777753275">
      <w:bodyDiv w:val="1"/>
      <w:marLeft w:val="0"/>
      <w:marRight w:val="0"/>
      <w:marTop w:val="0"/>
      <w:marBottom w:val="0"/>
      <w:divBdr>
        <w:top w:val="none" w:sz="0" w:space="0" w:color="auto"/>
        <w:left w:val="none" w:sz="0" w:space="0" w:color="auto"/>
        <w:bottom w:val="none" w:sz="0" w:space="0" w:color="auto"/>
        <w:right w:val="none" w:sz="0" w:space="0" w:color="auto"/>
      </w:divBdr>
    </w:div>
    <w:div w:id="1787507987">
      <w:bodyDiv w:val="1"/>
      <w:marLeft w:val="0"/>
      <w:marRight w:val="0"/>
      <w:marTop w:val="0"/>
      <w:marBottom w:val="0"/>
      <w:divBdr>
        <w:top w:val="none" w:sz="0" w:space="0" w:color="auto"/>
        <w:left w:val="none" w:sz="0" w:space="0" w:color="auto"/>
        <w:bottom w:val="none" w:sz="0" w:space="0" w:color="auto"/>
        <w:right w:val="none" w:sz="0" w:space="0" w:color="auto"/>
      </w:divBdr>
    </w:div>
    <w:div w:id="1794707979">
      <w:bodyDiv w:val="1"/>
      <w:marLeft w:val="0"/>
      <w:marRight w:val="0"/>
      <w:marTop w:val="0"/>
      <w:marBottom w:val="0"/>
      <w:divBdr>
        <w:top w:val="none" w:sz="0" w:space="0" w:color="auto"/>
        <w:left w:val="none" w:sz="0" w:space="0" w:color="auto"/>
        <w:bottom w:val="none" w:sz="0" w:space="0" w:color="auto"/>
        <w:right w:val="none" w:sz="0" w:space="0" w:color="auto"/>
      </w:divBdr>
    </w:div>
    <w:div w:id="1828814217">
      <w:bodyDiv w:val="1"/>
      <w:marLeft w:val="0"/>
      <w:marRight w:val="0"/>
      <w:marTop w:val="0"/>
      <w:marBottom w:val="0"/>
      <w:divBdr>
        <w:top w:val="none" w:sz="0" w:space="0" w:color="auto"/>
        <w:left w:val="none" w:sz="0" w:space="0" w:color="auto"/>
        <w:bottom w:val="none" w:sz="0" w:space="0" w:color="auto"/>
        <w:right w:val="none" w:sz="0" w:space="0" w:color="auto"/>
      </w:divBdr>
    </w:div>
    <w:div w:id="1932469223">
      <w:bodyDiv w:val="1"/>
      <w:marLeft w:val="0"/>
      <w:marRight w:val="0"/>
      <w:marTop w:val="0"/>
      <w:marBottom w:val="0"/>
      <w:divBdr>
        <w:top w:val="none" w:sz="0" w:space="0" w:color="auto"/>
        <w:left w:val="none" w:sz="0" w:space="0" w:color="auto"/>
        <w:bottom w:val="none" w:sz="0" w:space="0" w:color="auto"/>
        <w:right w:val="none" w:sz="0" w:space="0" w:color="auto"/>
      </w:divBdr>
    </w:div>
    <w:div w:id="1933733293">
      <w:bodyDiv w:val="1"/>
      <w:marLeft w:val="0"/>
      <w:marRight w:val="0"/>
      <w:marTop w:val="0"/>
      <w:marBottom w:val="0"/>
      <w:divBdr>
        <w:top w:val="none" w:sz="0" w:space="0" w:color="auto"/>
        <w:left w:val="none" w:sz="0" w:space="0" w:color="auto"/>
        <w:bottom w:val="none" w:sz="0" w:space="0" w:color="auto"/>
        <w:right w:val="none" w:sz="0" w:space="0" w:color="auto"/>
      </w:divBdr>
    </w:div>
    <w:div w:id="1968008025">
      <w:bodyDiv w:val="1"/>
      <w:marLeft w:val="0"/>
      <w:marRight w:val="0"/>
      <w:marTop w:val="0"/>
      <w:marBottom w:val="0"/>
      <w:divBdr>
        <w:top w:val="none" w:sz="0" w:space="0" w:color="auto"/>
        <w:left w:val="none" w:sz="0" w:space="0" w:color="auto"/>
        <w:bottom w:val="none" w:sz="0" w:space="0" w:color="auto"/>
        <w:right w:val="none" w:sz="0" w:space="0" w:color="auto"/>
      </w:divBdr>
    </w:div>
    <w:div w:id="2091735714">
      <w:bodyDiv w:val="1"/>
      <w:marLeft w:val="0"/>
      <w:marRight w:val="0"/>
      <w:marTop w:val="0"/>
      <w:marBottom w:val="0"/>
      <w:divBdr>
        <w:top w:val="none" w:sz="0" w:space="0" w:color="auto"/>
        <w:left w:val="none" w:sz="0" w:space="0" w:color="auto"/>
        <w:bottom w:val="none" w:sz="0" w:space="0" w:color="auto"/>
        <w:right w:val="none" w:sz="0" w:space="0" w:color="auto"/>
      </w:divBdr>
    </w:div>
    <w:div w:id="2103649432">
      <w:bodyDiv w:val="1"/>
      <w:marLeft w:val="0"/>
      <w:marRight w:val="0"/>
      <w:marTop w:val="0"/>
      <w:marBottom w:val="0"/>
      <w:divBdr>
        <w:top w:val="none" w:sz="0" w:space="0" w:color="auto"/>
        <w:left w:val="none" w:sz="0" w:space="0" w:color="auto"/>
        <w:bottom w:val="none" w:sz="0" w:space="0" w:color="auto"/>
        <w:right w:val="none" w:sz="0" w:space="0" w:color="auto"/>
      </w:divBdr>
    </w:div>
    <w:div w:id="2137330703">
      <w:bodyDiv w:val="1"/>
      <w:marLeft w:val="0"/>
      <w:marRight w:val="0"/>
      <w:marTop w:val="0"/>
      <w:marBottom w:val="0"/>
      <w:divBdr>
        <w:top w:val="none" w:sz="0" w:space="0" w:color="auto"/>
        <w:left w:val="none" w:sz="0" w:space="0" w:color="auto"/>
        <w:bottom w:val="none" w:sz="0" w:space="0" w:color="auto"/>
        <w:right w:val="none" w:sz="0" w:space="0" w:color="auto"/>
      </w:divBdr>
    </w:div>
    <w:div w:id="2138253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ocialscienceregistry.org/trials/12874"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221D32-DBBF-47B9-B46D-099D298182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9</Pages>
  <Words>3795</Words>
  <Characters>21635</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NORC at the University of Chicago</Company>
  <LinksUpToDate>false</LinksUpToDate>
  <CharactersWithSpaces>25380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Gregory Haugan</dc:creator>
  <cp:keywords/>
  <dc:description/>
  <cp:lastModifiedBy>Gregory Haugan</cp:lastModifiedBy>
  <cp:revision>12</cp:revision>
  <dcterms:created xsi:type="dcterms:W3CDTF">2024-03-11T14:47:00Z</dcterms:created>
  <dcterms:modified xsi:type="dcterms:W3CDTF">2024-07-25T15:27:00Z</dcterms:modified>
</cp:coreProperties>
</file>