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Pre-Analysis Plan</w:t>
      </w:r>
    </w:p>
    <w:p w:rsidR="00000000" w:rsidDel="00000000" w:rsidP="00000000" w:rsidRDefault="00000000" w:rsidRPr="00000000" w14:paraId="00000002">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Impact Evaluation of Text Message Reminders on SNAP Enrollment</w:t>
      </w:r>
    </w:p>
    <w:p w:rsidR="00000000" w:rsidDel="00000000" w:rsidP="00000000" w:rsidRDefault="00000000" w:rsidRPr="00000000" w14:paraId="00000003">
      <w:pPr>
        <w:jc w:val="center"/>
        <w:rPr>
          <w:rFonts w:ascii="Garamond" w:cs="Garamond" w:eastAsia="Garamond" w:hAnsi="Garamond"/>
          <w:b w:val="1"/>
        </w:rPr>
      </w:pPr>
      <w:r w:rsidDel="00000000" w:rsidR="00000000" w:rsidRPr="00000000">
        <w:rPr>
          <w:rtl w:val="0"/>
        </w:rPr>
      </w:r>
    </w:p>
    <w:tbl>
      <w:tblPr>
        <w:tblStyle w:val="Table1"/>
        <w:tblW w:w="9360.0" w:type="dxa"/>
        <w:jc w:val="left"/>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04">
            <w:pPr>
              <w:widowControl w:val="0"/>
              <w:jc w:val="center"/>
              <w:rPr>
                <w:rFonts w:ascii="Garamond" w:cs="Garamond" w:eastAsia="Garamond" w:hAnsi="Garamond"/>
                <w:b w:val="1"/>
              </w:rPr>
            </w:pPr>
            <w:r w:rsidDel="00000000" w:rsidR="00000000" w:rsidRPr="00000000">
              <w:rPr>
                <w:rFonts w:ascii="Garamond" w:cs="Garamond" w:eastAsia="Garamond" w:hAnsi="Garamond"/>
                <w:b w:val="1"/>
                <w:rtl w:val="0"/>
              </w:rPr>
              <w:t xml:space="preserve">Bill Evans</w:t>
            </w:r>
          </w:p>
        </w:tc>
        <w:tc>
          <w:tcPr>
            <w:shd w:fill="auto" w:val="clear"/>
            <w:tcMar>
              <w:top w:w="0.0" w:type="dxa"/>
              <w:left w:w="0.0" w:type="dxa"/>
              <w:bottom w:w="0.0" w:type="dxa"/>
              <w:right w:w="0.0" w:type="dxa"/>
            </w:tcMar>
            <w:vAlign w:val="top"/>
          </w:tcPr>
          <w:p w:rsidR="00000000" w:rsidDel="00000000" w:rsidP="00000000" w:rsidRDefault="00000000" w:rsidRPr="00000000" w14:paraId="00000005">
            <w:pPr>
              <w:widowControl w:val="0"/>
              <w:jc w:val="center"/>
              <w:rPr>
                <w:rFonts w:ascii="Garamond" w:cs="Garamond" w:eastAsia="Garamond" w:hAnsi="Garamond"/>
                <w:b w:val="1"/>
              </w:rPr>
            </w:pPr>
            <w:r w:rsidDel="00000000" w:rsidR="00000000" w:rsidRPr="00000000">
              <w:rPr>
                <w:rFonts w:ascii="Garamond" w:cs="Garamond" w:eastAsia="Garamond" w:hAnsi="Garamond"/>
                <w:b w:val="1"/>
                <w:rtl w:val="0"/>
              </w:rPr>
              <w:t xml:space="preserve">Craig Gundersen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06">
            <w:pPr>
              <w:widowControl w:val="0"/>
              <w:jc w:val="center"/>
              <w:rPr>
                <w:rFonts w:ascii="Garamond" w:cs="Garamond" w:eastAsia="Garamond" w:hAnsi="Garamond"/>
                <w:b w:val="1"/>
              </w:rPr>
            </w:pPr>
            <w:r w:rsidDel="00000000" w:rsidR="00000000" w:rsidRPr="00000000">
              <w:rPr>
                <w:rFonts w:ascii="Garamond" w:cs="Garamond" w:eastAsia="Garamond" w:hAnsi="Garamond"/>
                <w:b w:val="1"/>
                <w:rtl w:val="0"/>
              </w:rPr>
              <w:t xml:space="preserve">University of Notre Dame</w:t>
            </w:r>
          </w:p>
        </w:tc>
        <w:tc>
          <w:tcPr>
            <w:shd w:fill="auto" w:val="clear"/>
            <w:tcMar>
              <w:top w:w="0.0" w:type="dxa"/>
              <w:left w:w="0.0" w:type="dxa"/>
              <w:bottom w:w="0.0" w:type="dxa"/>
              <w:right w:w="0.0" w:type="dxa"/>
            </w:tcMar>
            <w:vAlign w:val="top"/>
          </w:tcPr>
          <w:p w:rsidR="00000000" w:rsidDel="00000000" w:rsidP="00000000" w:rsidRDefault="00000000" w:rsidRPr="00000000" w14:paraId="00000007">
            <w:pPr>
              <w:widowControl w:val="0"/>
              <w:jc w:val="center"/>
              <w:rPr>
                <w:rFonts w:ascii="Garamond" w:cs="Garamond" w:eastAsia="Garamond" w:hAnsi="Garamond"/>
                <w:b w:val="1"/>
              </w:rPr>
            </w:pPr>
            <w:r w:rsidDel="00000000" w:rsidR="00000000" w:rsidRPr="00000000">
              <w:rPr>
                <w:rFonts w:ascii="Garamond" w:cs="Garamond" w:eastAsia="Garamond" w:hAnsi="Garamond"/>
                <w:b w:val="1"/>
                <w:rtl w:val="0"/>
              </w:rPr>
              <w:t xml:space="preserve">Baylor University</w:t>
            </w:r>
          </w:p>
        </w:tc>
      </w:tr>
    </w:tbl>
    <w:p w:rsidR="00000000" w:rsidDel="00000000" w:rsidP="00000000" w:rsidRDefault="00000000" w:rsidRPr="00000000" w14:paraId="00000008">
      <w:pPr>
        <w:pStyle w:val="Heading1"/>
        <w:spacing w:after="0" w:before="0" w:lineRule="auto"/>
        <w:rPr/>
      </w:pPr>
      <w:bookmarkStart w:colFirst="0" w:colLast="0" w:name="_xo7pou6y6mmb" w:id="0"/>
      <w:bookmarkEnd w:id="0"/>
      <w:r w:rsidDel="00000000" w:rsidR="00000000" w:rsidRPr="00000000">
        <w:rPr>
          <w:rtl w:val="0"/>
        </w:rPr>
      </w:r>
    </w:p>
    <w:p w:rsidR="00000000" w:rsidDel="00000000" w:rsidP="00000000" w:rsidRDefault="00000000" w:rsidRPr="00000000" w14:paraId="00000009">
      <w:pPr>
        <w:jc w:val="center"/>
        <w:rPr>
          <w:rFonts w:ascii="Garamond" w:cs="Garamond" w:eastAsia="Garamond" w:hAnsi="Garamond"/>
          <w:b w:val="1"/>
        </w:rPr>
      </w:pPr>
      <w:r w:rsidDel="00000000" w:rsidR="00000000" w:rsidRPr="00000000">
        <w:rPr>
          <w:rFonts w:ascii="Garamond" w:cs="Garamond" w:eastAsia="Garamond" w:hAnsi="Garamond"/>
          <w:b w:val="1"/>
          <w:rtl w:val="0"/>
        </w:rPr>
        <w:t xml:space="preserve">October 2024</w:t>
      </w:r>
    </w:p>
    <w:p w:rsidR="00000000" w:rsidDel="00000000" w:rsidP="00000000" w:rsidRDefault="00000000" w:rsidRPr="00000000" w14:paraId="0000000A">
      <w:pPr>
        <w:pStyle w:val="Heading1"/>
        <w:numPr>
          <w:ilvl w:val="0"/>
          <w:numId w:val="7"/>
        </w:numPr>
        <w:spacing w:after="0" w:lineRule="auto"/>
        <w:ind w:left="720" w:hanging="360"/>
        <w:rPr>
          <w:b w:val="1"/>
        </w:rPr>
      </w:pPr>
      <w:bookmarkStart w:colFirst="0" w:colLast="0" w:name="_p9vk79r17qv" w:id="1"/>
      <w:bookmarkEnd w:id="1"/>
      <w:r w:rsidDel="00000000" w:rsidR="00000000" w:rsidRPr="00000000">
        <w:rPr>
          <w:rtl w:val="0"/>
        </w:rPr>
        <w:t xml:space="preserve">Introduction</w:t>
      </w:r>
    </w:p>
    <w:p w:rsidR="00000000" w:rsidDel="00000000" w:rsidP="00000000" w:rsidRDefault="00000000" w:rsidRPr="00000000" w14:paraId="0000000B">
      <w:pPr>
        <w:spacing w:after="200" w:lineRule="auto"/>
        <w:ind w:left="0" w:firstLine="0"/>
        <w:rPr>
          <w:rFonts w:ascii="Garamond" w:cs="Garamond" w:eastAsia="Garamond" w:hAnsi="Garamond"/>
        </w:rPr>
      </w:pPr>
      <w:r w:rsidDel="00000000" w:rsidR="00000000" w:rsidRPr="00000000">
        <w:rPr>
          <w:rFonts w:ascii="Garamond" w:cs="Garamond" w:eastAsia="Garamond" w:hAnsi="Garamond"/>
          <w:rtl w:val="0"/>
        </w:rPr>
        <w:t xml:space="preserve">The Supplemental Nutrition Assistance Program (SNAP) is the largest federal nutrition assistance program in the United States, providing aid to individuals and households that meet specific eligibility requirements. Despite its extensive reach, with an average of 42.2 million participants per month in 2023 (U.S. Department of Agriculture), a significant portion of eligible individuals and households remain unenrolled. This discrepancy raises important questions about the barriers that prevent eligible individuals from accessing the assistance they are entitled to.</w:t>
      </w:r>
    </w:p>
    <w:p w:rsidR="00000000" w:rsidDel="00000000" w:rsidP="00000000" w:rsidRDefault="00000000" w:rsidRPr="00000000" w14:paraId="0000000C">
      <w:pPr>
        <w:spacing w:after="200" w:lineRule="auto"/>
        <w:ind w:left="0" w:firstLine="0"/>
        <w:rPr>
          <w:rFonts w:ascii="Garamond" w:cs="Garamond" w:eastAsia="Garamond" w:hAnsi="Garamond"/>
        </w:rPr>
      </w:pPr>
      <w:r w:rsidDel="00000000" w:rsidR="00000000" w:rsidRPr="00000000">
        <w:rPr>
          <w:rFonts w:ascii="Garamond" w:cs="Garamond" w:eastAsia="Garamond" w:hAnsi="Garamond"/>
          <w:rtl w:val="0"/>
        </w:rPr>
        <w:t xml:space="preserve">Previous research has identified several challenges that hinder SNAP enrollment, particularly related to the program’s administrative requirements. For instance, timely navigation of paperwork and interview requirements poses one of the most significant obstacles for applicants (Suttles et al., 2024). Other challenges include the transaction costs associated with completing the application and work requirements that may deter or disqualify potential applicants. In addition to these logistical hurdles, stigma around program participation can discourage eligible individuals from enrolling. In some cases, the perceived stigma and the transaction costs outweigh the perceived benefits of receiving SNAP, leading individuals to forgo participation (Gundersen, 2013). Furthermore, many eligible individuals are simply unaware that they meet the criteria for SNAP, further contributing to low enrollment rates (Daponte et al., 1999)</w:t>
      </w:r>
      <w:r w:rsidDel="00000000" w:rsidR="00000000" w:rsidRPr="00000000">
        <w:rPr>
          <w:rFonts w:ascii="Garamond" w:cs="Garamond" w:eastAsia="Garamond" w:hAnsi="Garamond"/>
          <w:rtl w:val="0"/>
        </w:rPr>
        <w:t xml:space="preserve">.</w:t>
      </w:r>
      <w:r w:rsidDel="00000000" w:rsidR="00000000" w:rsidRPr="00000000">
        <w:rPr>
          <w:rtl w:val="0"/>
        </w:rPr>
      </w:r>
    </w:p>
    <w:p w:rsidR="00000000" w:rsidDel="00000000" w:rsidP="00000000" w:rsidRDefault="00000000" w:rsidRPr="00000000" w14:paraId="0000000D">
      <w:pPr>
        <w:spacing w:after="200" w:lineRule="auto"/>
        <w:ind w:left="0" w:firstLine="0"/>
        <w:rPr>
          <w:rFonts w:ascii="Garamond" w:cs="Garamond" w:eastAsia="Garamond" w:hAnsi="Garamond"/>
        </w:rPr>
      </w:pPr>
      <w:r w:rsidDel="00000000" w:rsidR="00000000" w:rsidRPr="00000000">
        <w:rPr>
          <w:rFonts w:ascii="Garamond" w:cs="Garamond" w:eastAsia="Garamond" w:hAnsi="Garamond"/>
          <w:rtl w:val="0"/>
        </w:rPr>
        <w:t xml:space="preserve">Efforts to address these barriers have yielded mixed results. One study examined the impact of social media advertisements on increasing SNAP enrollment and found that such ads did not significantly boost participation, suggesting that raising awareness alone may not suffice (Rogers, 2024). However, another study showed that offering on-demand interviews expedited the approval process and led to increased enrollment, indicating that streamlining application processes can positively impact participation rates (Giannella et al., 2023).</w:t>
      </w:r>
    </w:p>
    <w:p w:rsidR="00000000" w:rsidDel="00000000" w:rsidP="00000000" w:rsidRDefault="00000000" w:rsidRPr="00000000" w14:paraId="0000000E">
      <w:pPr>
        <w:spacing w:after="200" w:lineRule="auto"/>
        <w:ind w:left="0" w:firstLine="0"/>
        <w:rPr>
          <w:rFonts w:ascii="Garamond" w:cs="Garamond" w:eastAsia="Garamond" w:hAnsi="Garamond"/>
        </w:rPr>
      </w:pPr>
      <w:r w:rsidDel="00000000" w:rsidR="00000000" w:rsidRPr="00000000">
        <w:rPr>
          <w:rFonts w:ascii="Garamond" w:cs="Garamond" w:eastAsia="Garamond" w:hAnsi="Garamond"/>
          <w:rtl w:val="0"/>
        </w:rPr>
        <w:t xml:space="preserve">This study, conducted by LEO in partnership with the North Texas Food Bank (NTFB), aims to test a targeted intervention designed to assist individuals who are actively applying for SNAP. Unlike previous studies that focused primarily on increasing awareness or recruitment into SNAP, this experiment specifically targets individuals who have already initiated the application process but may face barriers to completing it. The intervention involves sending timely text message reminders to these individuals, encouraging them to submit any outstanding documents required to finalize their application.</w:t>
      </w:r>
    </w:p>
    <w:p w:rsidR="00000000" w:rsidDel="00000000" w:rsidP="00000000" w:rsidRDefault="00000000" w:rsidRPr="00000000" w14:paraId="0000000F">
      <w:pPr>
        <w:spacing w:after="200" w:lineRule="auto"/>
        <w:ind w:left="0" w:firstLine="0"/>
        <w:rPr>
          <w:rFonts w:ascii="Garamond" w:cs="Garamond" w:eastAsia="Garamond" w:hAnsi="Garamond"/>
        </w:rPr>
      </w:pPr>
      <w:r w:rsidDel="00000000" w:rsidR="00000000" w:rsidRPr="00000000">
        <w:rPr>
          <w:rFonts w:ascii="Garamond" w:cs="Garamond" w:eastAsia="Garamond" w:hAnsi="Garamond"/>
          <w:rtl w:val="0"/>
        </w:rPr>
        <w:t xml:space="preserve">NTFB’s SNAP Enrollment Assistance program plays a critical role in supporting this population, offering personalized help throughout the application process. By collaborating with LEO, NTFB is leveraging its experience with SNAP outreach to evaluate the effectiveness of text message reminders on increasing enrollment. The study will use a randomized controlled trial (RCT) design, with individuals who apply for SNAP through NTFB being randomly assigned to either a treatment or control group. The treatment group will receive three text messages at staggered intervals reminding them to complete their application, while the control group will not receive any notifications. This approach allows the research team to measure the direct impact of text-based interventions on SNAP enrollment rates.</w:t>
      </w:r>
    </w:p>
    <w:p w:rsidR="00000000" w:rsidDel="00000000" w:rsidP="00000000" w:rsidRDefault="00000000" w:rsidRPr="00000000" w14:paraId="00000010">
      <w:pPr>
        <w:spacing w:after="200" w:lineRule="auto"/>
        <w:ind w:left="0" w:firstLine="0"/>
        <w:rPr>
          <w:rFonts w:ascii="Garamond" w:cs="Garamond" w:eastAsia="Garamond" w:hAnsi="Garamond"/>
        </w:rPr>
      </w:pPr>
      <w:r w:rsidDel="00000000" w:rsidR="00000000" w:rsidRPr="00000000">
        <w:rPr>
          <w:rFonts w:ascii="Garamond" w:cs="Garamond" w:eastAsia="Garamond" w:hAnsi="Garamond"/>
          <w:rtl w:val="0"/>
        </w:rPr>
        <w:t xml:space="preserve">This research addresses a critical gap in the literature, focusing on a practical, easily scalable strategy to improve SNAP take-up without overhauling the existing application process. Prior studies have highlighted the significant administrative burdens that deter potential SNAP participants, such as paperwork, interview requirements, and the general complexity of the application process. However, few have tested solutions that directly target individuals already in the application pipeline, making this intervention uniquely positioned to offer actionable insights. If successful, the findings could be generalized to other food banks and organizations, enabling them to implement similar interventions to increase enrollment. Moreover, because the study does not require changes to SNAP policies or procedures, it provides a low-cost and efficient way to address food insecurity by ensuring that more eligible individuals receive the assistance they need.</w:t>
      </w:r>
    </w:p>
    <w:p w:rsidR="00000000" w:rsidDel="00000000" w:rsidP="00000000" w:rsidRDefault="00000000" w:rsidRPr="00000000" w14:paraId="00000011">
      <w:pPr>
        <w:numPr>
          <w:ilvl w:val="0"/>
          <w:numId w:val="7"/>
        </w:numPr>
        <w:spacing w:after="0" w:lineRule="auto"/>
        <w:ind w:left="720" w:hanging="360"/>
        <w:rPr>
          <w:b w:val="1"/>
        </w:rPr>
      </w:pPr>
      <w:r w:rsidDel="00000000" w:rsidR="00000000" w:rsidRPr="00000000">
        <w:rPr>
          <w:rFonts w:ascii="Garamond" w:cs="Garamond" w:eastAsia="Garamond" w:hAnsi="Garamond"/>
          <w:b w:val="1"/>
          <w:rtl w:val="0"/>
        </w:rPr>
        <w:t xml:space="preserve">Evaluation Design</w:t>
      </w:r>
      <w:r w:rsidDel="00000000" w:rsidR="00000000" w:rsidRPr="00000000">
        <w:rPr>
          <w:rtl w:val="0"/>
        </w:rPr>
      </w:r>
    </w:p>
    <w:p w:rsidR="00000000" w:rsidDel="00000000" w:rsidP="00000000" w:rsidRDefault="00000000" w:rsidRPr="00000000" w14:paraId="00000012">
      <w:pPr>
        <w:numPr>
          <w:ilvl w:val="0"/>
          <w:numId w:val="6"/>
        </w:numPr>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Research Questions</w:t>
      </w:r>
    </w:p>
    <w:p w:rsidR="00000000" w:rsidDel="00000000" w:rsidP="00000000" w:rsidRDefault="00000000" w:rsidRPr="00000000" w14:paraId="00000013">
      <w:pPr>
        <w:spacing w:line="276" w:lineRule="auto"/>
        <w:ind w:left="0" w:firstLine="0"/>
        <w:rPr>
          <w:rFonts w:ascii="Garamond" w:cs="Garamond" w:eastAsia="Garamond" w:hAnsi="Garamond"/>
          <w:i w:val="1"/>
        </w:rPr>
      </w:pPr>
      <w:r w:rsidDel="00000000" w:rsidR="00000000" w:rsidRPr="00000000">
        <w:rPr>
          <w:rFonts w:ascii="Garamond" w:cs="Garamond" w:eastAsia="Garamond" w:hAnsi="Garamond"/>
          <w:rtl w:val="0"/>
        </w:rPr>
        <w:t xml:space="preserve">Do automated text message reminders increase the rate at which individuals enroll in SNAP? Are there differential effects of these reminders based on demographic characteristics of the participants, such as age, household size, earnings, or previous interactions with NTFB? </w:t>
      </w:r>
      <w:r w:rsidDel="00000000" w:rsidR="00000000" w:rsidRPr="00000000">
        <w:rPr>
          <w:rtl w:val="0"/>
        </w:rPr>
      </w:r>
    </w:p>
    <w:p w:rsidR="00000000" w:rsidDel="00000000" w:rsidP="00000000" w:rsidRDefault="00000000" w:rsidRPr="00000000" w14:paraId="00000014">
      <w:pPr>
        <w:rPr>
          <w:rFonts w:ascii="Garamond" w:cs="Garamond" w:eastAsia="Garamond" w:hAnsi="Garamond"/>
          <w:i w:val="1"/>
        </w:rPr>
      </w:pPr>
      <w:r w:rsidDel="00000000" w:rsidR="00000000" w:rsidRPr="00000000">
        <w:rPr>
          <w:rtl w:val="0"/>
        </w:rPr>
      </w:r>
    </w:p>
    <w:p w:rsidR="00000000" w:rsidDel="00000000" w:rsidP="00000000" w:rsidRDefault="00000000" w:rsidRPr="00000000" w14:paraId="00000015">
      <w:pPr>
        <w:numPr>
          <w:ilvl w:val="0"/>
          <w:numId w:val="6"/>
        </w:numPr>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Eligibility</w:t>
      </w:r>
    </w:p>
    <w:p w:rsidR="00000000" w:rsidDel="00000000" w:rsidP="00000000" w:rsidRDefault="00000000" w:rsidRPr="00000000" w14:paraId="00000016">
      <w:pPr>
        <w:spacing w:after="200" w:lineRule="auto"/>
        <w:ind w:left="0" w:firstLine="0"/>
        <w:rPr>
          <w:rFonts w:ascii="Garamond" w:cs="Garamond" w:eastAsia="Garamond" w:hAnsi="Garamond"/>
        </w:rPr>
      </w:pPr>
      <w:r w:rsidDel="00000000" w:rsidR="00000000" w:rsidRPr="00000000">
        <w:rPr>
          <w:rFonts w:ascii="Garamond" w:cs="Garamond" w:eastAsia="Garamond" w:hAnsi="Garamond"/>
          <w:rtl w:val="0"/>
        </w:rPr>
        <w:t xml:space="preserve">The text message reminder intervention is designed to assist individuals who are in the process of applying for SNAP through the NTFB SNAP Enrollment Assistance program. All individuals who are assisted by NTFB in their SNAP application process are eligible to participate in the study, regardless of whether they have completed their application or are still in the process of submitting the required documentation.</w:t>
      </w:r>
    </w:p>
    <w:p w:rsidR="00000000" w:rsidDel="00000000" w:rsidP="00000000" w:rsidRDefault="00000000" w:rsidRPr="00000000" w14:paraId="00000017">
      <w:pPr>
        <w:spacing w:after="200" w:lineRule="auto"/>
        <w:ind w:left="0" w:firstLine="0"/>
        <w:rPr>
          <w:rFonts w:ascii="Garamond" w:cs="Garamond" w:eastAsia="Garamond" w:hAnsi="Garamond"/>
        </w:rPr>
      </w:pPr>
      <w:r w:rsidDel="00000000" w:rsidR="00000000" w:rsidRPr="00000000">
        <w:rPr>
          <w:rFonts w:ascii="Garamond" w:cs="Garamond" w:eastAsia="Garamond" w:hAnsi="Garamond"/>
          <w:rtl w:val="0"/>
        </w:rPr>
        <w:t xml:space="preserve">Participants must reside within one of the 13 counties served by NTFB in North Texas, ensuring that the intervention is targeted at individuals within the service area who are eligible for assistance through NTFB. Additionally, eligible participants must be at least 18 years old, ensuring that all participants are legal adults capable of independently managing their SNAP application process.</w:t>
      </w:r>
    </w:p>
    <w:p w:rsidR="00000000" w:rsidDel="00000000" w:rsidP="00000000" w:rsidRDefault="00000000" w:rsidRPr="00000000" w14:paraId="00000018">
      <w:pPr>
        <w:spacing w:after="200" w:lineRule="auto"/>
        <w:ind w:left="0" w:firstLine="0"/>
        <w:rPr>
          <w:rFonts w:ascii="Garamond" w:cs="Garamond" w:eastAsia="Garamond" w:hAnsi="Garamond"/>
        </w:rPr>
      </w:pPr>
      <w:r w:rsidDel="00000000" w:rsidR="00000000" w:rsidRPr="00000000">
        <w:rPr>
          <w:rFonts w:ascii="Garamond" w:cs="Garamond" w:eastAsia="Garamond" w:hAnsi="Garamond"/>
          <w:rtl w:val="0"/>
        </w:rPr>
        <w:t xml:space="preserve">To participate, individuals must have provided a valid cell phone number during their SNAP application process and must have consented to receive text message communications from NTFB. This consent is necessary for the delivery of the intervention, which involves sending automated text message reminders. All individuals who meet these criteria, including those who have already completed their SNAP application but have not yet received a final eligibility determination, are eligible to participate in the study.</w:t>
      </w:r>
    </w:p>
    <w:p w:rsidR="00000000" w:rsidDel="00000000" w:rsidP="00000000" w:rsidRDefault="00000000" w:rsidRPr="00000000" w14:paraId="00000019">
      <w:pPr>
        <w:numPr>
          <w:ilvl w:val="0"/>
          <w:numId w:val="6"/>
        </w:numPr>
        <w:spacing w:after="0" w:lineRule="auto"/>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Intervention</w:t>
      </w:r>
    </w:p>
    <w:p w:rsidR="00000000" w:rsidDel="00000000" w:rsidP="00000000" w:rsidRDefault="00000000" w:rsidRPr="00000000" w14:paraId="0000001A">
      <w:pPr>
        <w:spacing w:after="200" w:lineRule="auto"/>
        <w:rPr>
          <w:rFonts w:ascii="Garamond" w:cs="Garamond" w:eastAsia="Garamond" w:hAnsi="Garamond"/>
        </w:rPr>
      </w:pPr>
      <w:r w:rsidDel="00000000" w:rsidR="00000000" w:rsidRPr="00000000">
        <w:rPr>
          <w:rFonts w:ascii="Garamond" w:cs="Garamond" w:eastAsia="Garamond" w:hAnsi="Garamond"/>
          <w:rtl w:val="0"/>
        </w:rPr>
        <w:t xml:space="preserve">Once clients are determined to be eligible for the intervention, NTFB staff will use a digital randomizer provided by the research team to assign them to either the treatment group, which will receive the text message reminders, or the control group, which will not receive any additional reminders. Randomization will occur regardless of whether clients consent to participate in the study, ensuring that all clients for the intervention have an equal chance of receiving the intervention. However, only those who consent will be included in the study sample for researchers to track their outcomes.</w:t>
      </w:r>
    </w:p>
    <w:p w:rsidR="00000000" w:rsidDel="00000000" w:rsidP="00000000" w:rsidRDefault="00000000" w:rsidRPr="00000000" w14:paraId="0000001B">
      <w:pPr>
        <w:spacing w:after="200" w:lineRule="auto"/>
        <w:rPr>
          <w:rFonts w:ascii="Garamond" w:cs="Garamond" w:eastAsia="Garamond" w:hAnsi="Garamond"/>
        </w:rPr>
      </w:pPr>
      <w:r w:rsidDel="00000000" w:rsidR="00000000" w:rsidRPr="00000000">
        <w:rPr>
          <w:rFonts w:ascii="Garamond" w:cs="Garamond" w:eastAsia="Garamond" w:hAnsi="Garamond"/>
          <w:rtl w:val="0"/>
        </w:rPr>
        <w:t xml:space="preserve">For clients in the treatment group, the text message reminders will be sent at three specific intervals: the first message will be sent 48 hours after the initial SNAP application submission, the second 72 hours later, and the third five days after submission. These reminders are strategically timed to coincide with key milestones in the application review process, prompting clients to submit any outstanding documents needed to finalize their application.</w:t>
      </w:r>
    </w:p>
    <w:p w:rsidR="00000000" w:rsidDel="00000000" w:rsidP="00000000" w:rsidRDefault="00000000" w:rsidRPr="00000000" w14:paraId="0000001C">
      <w:pPr>
        <w:spacing w:after="200" w:lineRule="auto"/>
        <w:rPr>
          <w:rFonts w:ascii="Garamond" w:cs="Garamond" w:eastAsia="Garamond" w:hAnsi="Garamond"/>
          <w:i w:val="1"/>
        </w:rPr>
      </w:pPr>
      <w:r w:rsidDel="00000000" w:rsidR="00000000" w:rsidRPr="00000000">
        <w:rPr>
          <w:rFonts w:ascii="Garamond" w:cs="Garamond" w:eastAsia="Garamond" w:hAnsi="Garamond"/>
          <w:rtl w:val="0"/>
        </w:rPr>
        <w:t xml:space="preserve">Clients in the control group will continue with the standard SNAP application process without receiving these additional reminders. The intervention is designed to be low-cost and easily scalable, with the goal of increasing SNAP enrollment among individuals who may otherwise face barriers in completing their application. Throughout the study, NTFB staff will continue to provide their usual support to all clients, regardless of their group assignment, ensuring that the intervention does not disrupt the standard services offered by the organization.</w:t>
      </w:r>
      <w:r w:rsidDel="00000000" w:rsidR="00000000" w:rsidRPr="00000000">
        <w:rPr>
          <w:rtl w:val="0"/>
        </w:rPr>
      </w:r>
    </w:p>
    <w:p w:rsidR="00000000" w:rsidDel="00000000" w:rsidP="00000000" w:rsidRDefault="00000000" w:rsidRPr="00000000" w14:paraId="0000001D">
      <w:pPr>
        <w:numPr>
          <w:ilvl w:val="0"/>
          <w:numId w:val="6"/>
        </w:numPr>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Randomization</w:t>
      </w:r>
    </w:p>
    <w:p w:rsidR="00000000" w:rsidDel="00000000" w:rsidP="00000000" w:rsidRDefault="00000000" w:rsidRPr="00000000" w14:paraId="0000001E">
      <w:pPr>
        <w:spacing w:after="200" w:lineRule="auto"/>
        <w:rPr>
          <w:rFonts w:ascii="Garamond" w:cs="Garamond" w:eastAsia="Garamond" w:hAnsi="Garamond"/>
        </w:rPr>
      </w:pPr>
      <w:r w:rsidDel="00000000" w:rsidR="00000000" w:rsidRPr="00000000">
        <w:rPr>
          <w:rFonts w:ascii="Garamond" w:cs="Garamond" w:eastAsia="Garamond" w:hAnsi="Garamond"/>
          <w:rtl w:val="0"/>
        </w:rPr>
        <w:t xml:space="preserve">In October 2024, individuals who have initiated the SNAP application process through the NTFB SNAP Enrollment Assistance program will be randomly assigned, using a digital tool, to either the treatment group or the control group, with a 50/50 chance of assignment to each group. The randomization will be automated to ensure that each participant has an equal likelihood of being assigned to either group, minimizing the potential for bias.</w:t>
      </w:r>
    </w:p>
    <w:p w:rsidR="00000000" w:rsidDel="00000000" w:rsidP="00000000" w:rsidRDefault="00000000" w:rsidRPr="00000000" w14:paraId="0000001F">
      <w:pPr>
        <w:numPr>
          <w:ilvl w:val="0"/>
          <w:numId w:val="6"/>
        </w:numPr>
        <w:spacing w:after="0" w:lineRule="auto"/>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Power Calculations</w:t>
      </w:r>
    </w:p>
    <w:p w:rsidR="00000000" w:rsidDel="00000000" w:rsidP="00000000" w:rsidRDefault="00000000" w:rsidRPr="00000000" w14:paraId="00000020">
      <w:pPr>
        <w:spacing w:after="200" w:lineRule="auto"/>
        <w:rPr>
          <w:rFonts w:ascii="Garamond" w:cs="Garamond" w:eastAsia="Garamond" w:hAnsi="Garamond"/>
        </w:rPr>
      </w:pPr>
      <w:r w:rsidDel="00000000" w:rsidR="00000000" w:rsidRPr="00000000">
        <w:rPr>
          <w:rFonts w:ascii="Garamond" w:cs="Garamond" w:eastAsia="Garamond" w:hAnsi="Garamond"/>
          <w:rtl w:val="0"/>
        </w:rPr>
        <w:t xml:space="preserve">The target sample size for this study is 16,000 participants, with 8,000 individuals randomly assigned to the treatment group and 8,000 to the control group. We estimate that it will take approximately one year of enrollment to obtain this sample size. Throughout this period, we will track interim outcomes to monitor the progress of the study.</w:t>
      </w:r>
    </w:p>
    <w:p w:rsidR="00000000" w:rsidDel="00000000" w:rsidP="00000000" w:rsidRDefault="00000000" w:rsidRPr="00000000" w14:paraId="00000021">
      <w:pPr>
        <w:spacing w:after="200" w:lineRule="auto"/>
        <w:rPr>
          <w:rFonts w:ascii="Garamond" w:cs="Garamond" w:eastAsia="Garamond" w:hAnsi="Garamond"/>
        </w:rPr>
      </w:pPr>
      <w:r w:rsidDel="00000000" w:rsidR="00000000" w:rsidRPr="00000000">
        <w:rPr>
          <w:rFonts w:ascii="Garamond" w:cs="Garamond" w:eastAsia="Garamond" w:hAnsi="Garamond"/>
          <w:rtl w:val="0"/>
        </w:rPr>
        <w:t xml:space="preserve">The primary outcome of interest is SNAP enrollment, measured by whether participants successfully finalize their application and receive SNAP benefits. Based on previous data and similar studies, we anticipate that the baseline SNAP enrollment rate without any intervention is approximately 55%. With our expected sample size of 16,000 participants in the RCT, we will have the statistical power to detect a minimum detectable effect size of 2.09 percentage points, or a 3.8% increase in the SNAP enrollment rate due to the intervention.</w:t>
      </w:r>
    </w:p>
    <w:p w:rsidR="00000000" w:rsidDel="00000000" w:rsidP="00000000" w:rsidRDefault="00000000" w:rsidRPr="00000000" w14:paraId="00000022">
      <w:pPr>
        <w:spacing w:after="200" w:lineRule="auto"/>
        <w:rPr>
          <w:rFonts w:ascii="Garamond" w:cs="Garamond" w:eastAsia="Garamond" w:hAnsi="Garamond"/>
        </w:rPr>
      </w:pPr>
      <w:r w:rsidDel="00000000" w:rsidR="00000000" w:rsidRPr="00000000">
        <w:rPr>
          <w:rFonts w:ascii="Garamond" w:cs="Garamond" w:eastAsia="Garamond" w:hAnsi="Garamond"/>
          <w:rtl w:val="0"/>
        </w:rPr>
        <w:t xml:space="preserve">In addition to the primary outcome, we plan to explore whether the impact of the text message reminders varies across different subgroups, such as by age, language preference, or prior use of NTFB services. The large sample size will also allow us to conduct these subgroup analyses with sufficient power to detect meaningful differences in treatment effects across these groups.</w:t>
      </w:r>
    </w:p>
    <w:p w:rsidR="00000000" w:rsidDel="00000000" w:rsidP="00000000" w:rsidRDefault="00000000" w:rsidRPr="00000000" w14:paraId="00000023">
      <w:pPr>
        <w:spacing w:after="200" w:lineRule="auto"/>
        <w:rPr>
          <w:rFonts w:ascii="Garamond" w:cs="Garamond" w:eastAsia="Garamond" w:hAnsi="Garamond"/>
        </w:rPr>
      </w:pPr>
      <w:r w:rsidDel="00000000" w:rsidR="00000000" w:rsidRPr="00000000">
        <w:rPr>
          <w:rFonts w:ascii="Garamond" w:cs="Garamond" w:eastAsia="Garamond" w:hAnsi="Garamond"/>
          <w:rtl w:val="0"/>
        </w:rPr>
        <w:t xml:space="preserve">The power calculations for this study are based on the assumption of an 80% power level and a 5% significance level, which are standard thresholds in social science research. These calculations ensure that the study is adequately powered to detect even modest effects of the intervention, providing robust evidence on the effectiveness of automated text message reminders in increasing SNAP enrollment.</w:t>
      </w:r>
      <w:r w:rsidDel="00000000" w:rsidR="00000000" w:rsidRPr="00000000">
        <w:rPr>
          <w:rtl w:val="0"/>
        </w:rPr>
      </w:r>
    </w:p>
    <w:p w:rsidR="00000000" w:rsidDel="00000000" w:rsidP="00000000" w:rsidRDefault="00000000" w:rsidRPr="00000000" w14:paraId="00000024">
      <w:pPr>
        <w:numPr>
          <w:ilvl w:val="0"/>
          <w:numId w:val="7"/>
        </w:numPr>
        <w:ind w:left="720" w:hanging="360"/>
        <w:rPr>
          <w:b w:val="1"/>
        </w:rPr>
      </w:pPr>
      <w:r w:rsidDel="00000000" w:rsidR="00000000" w:rsidRPr="00000000">
        <w:rPr>
          <w:rFonts w:ascii="Garamond" w:cs="Garamond" w:eastAsia="Garamond" w:hAnsi="Garamond"/>
          <w:b w:val="1"/>
          <w:rtl w:val="0"/>
        </w:rPr>
        <w:t xml:space="preserve">Key Data Sources</w:t>
      </w:r>
    </w:p>
    <w:p w:rsidR="00000000" w:rsidDel="00000000" w:rsidP="00000000" w:rsidRDefault="00000000" w:rsidRPr="00000000" w14:paraId="00000025">
      <w:pPr>
        <w:spacing w:after="200" w:lineRule="auto"/>
        <w:rPr>
          <w:rFonts w:ascii="Garamond" w:cs="Garamond" w:eastAsia="Garamond" w:hAnsi="Garamond"/>
        </w:rPr>
      </w:pPr>
      <w:r w:rsidDel="00000000" w:rsidR="00000000" w:rsidRPr="00000000">
        <w:rPr>
          <w:rFonts w:ascii="Garamond" w:cs="Garamond" w:eastAsia="Garamond" w:hAnsi="Garamond"/>
          <w:rtl w:val="0"/>
        </w:rPr>
        <w:t xml:space="preserve">The primary data sources for this project will allow us to measure the impact of the text message reminder intervention on SNAP enrollment among individuals served by the NTFB. The main outcome of interest is whether participants successfully complete their SNAP application and become enrolled in the program. Notably, securing access to these data sources is partially complete. Given this, any outcomes for which we do not already have data secured may ultimately be excluded if there are barriers to gathering the needed information.</w:t>
      </w:r>
    </w:p>
    <w:p w:rsidR="00000000" w:rsidDel="00000000" w:rsidP="00000000" w:rsidRDefault="00000000" w:rsidRPr="00000000" w14:paraId="00000026">
      <w:pPr>
        <w:numPr>
          <w:ilvl w:val="0"/>
          <w:numId w:val="10"/>
        </w:numPr>
        <w:spacing w:after="0" w:lineRule="auto"/>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North Texas Food Bank - Feeding Texas and Service Insights</w:t>
      </w:r>
    </w:p>
    <w:p w:rsidR="00000000" w:rsidDel="00000000" w:rsidP="00000000" w:rsidRDefault="00000000" w:rsidRPr="00000000" w14:paraId="00000027">
      <w:pPr>
        <w:spacing w:after="200" w:lineRule="auto"/>
        <w:rPr>
          <w:rFonts w:ascii="Garamond" w:cs="Garamond" w:eastAsia="Garamond" w:hAnsi="Garamond"/>
        </w:rPr>
      </w:pPr>
      <w:r w:rsidDel="00000000" w:rsidR="00000000" w:rsidRPr="00000000">
        <w:rPr>
          <w:rFonts w:ascii="Garamond" w:cs="Garamond" w:eastAsia="Garamond" w:hAnsi="Garamond"/>
          <w:rtl w:val="0"/>
        </w:rPr>
        <w:t xml:space="preserve">Baseline data from the </w:t>
      </w:r>
      <w:r w:rsidDel="00000000" w:rsidR="00000000" w:rsidRPr="00000000">
        <w:rPr>
          <w:rFonts w:ascii="Garamond" w:cs="Garamond" w:eastAsia="Garamond" w:hAnsi="Garamond"/>
          <w:rtl w:val="0"/>
        </w:rPr>
        <w:t xml:space="preserve">NTFB’s</w:t>
      </w:r>
      <w:r w:rsidDel="00000000" w:rsidR="00000000" w:rsidRPr="00000000">
        <w:rPr>
          <w:rFonts w:ascii="Garamond" w:cs="Garamond" w:eastAsia="Garamond" w:hAnsi="Garamond"/>
          <w:rtl w:val="0"/>
        </w:rPr>
        <w:t xml:space="preserve"> SNAP Enrollment Assistance program will be used to track participants' progress through the SNAP application process. This data includes demographic information such as age, gender, race, ethnicity, and household size,  along with details of participants’ interactions with NTFB services. This baseline information is crucial for understanding the characteristics of the study population and for ensuring that the treatment and control groups are comparable at the start of the study.</w:t>
      </w:r>
    </w:p>
    <w:p w:rsidR="00000000" w:rsidDel="00000000" w:rsidP="00000000" w:rsidRDefault="00000000" w:rsidRPr="00000000" w14:paraId="00000028">
      <w:pPr>
        <w:numPr>
          <w:ilvl w:val="0"/>
          <w:numId w:val="10"/>
        </w:numPr>
        <w:spacing w:after="0" w:lineRule="auto"/>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Ray Marshall Center </w:t>
      </w:r>
    </w:p>
    <w:p w:rsidR="00000000" w:rsidDel="00000000" w:rsidP="00000000" w:rsidRDefault="00000000" w:rsidRPr="00000000" w14:paraId="00000029">
      <w:pPr>
        <w:spacing w:after="200" w:lineRule="auto"/>
        <w:rPr>
          <w:rFonts w:ascii="Garamond" w:cs="Garamond" w:eastAsia="Garamond" w:hAnsi="Garamond"/>
          <w:i w:val="1"/>
        </w:rPr>
      </w:pPr>
      <w:r w:rsidDel="00000000" w:rsidR="00000000" w:rsidRPr="00000000">
        <w:rPr>
          <w:rFonts w:ascii="Garamond" w:cs="Garamond" w:eastAsia="Garamond" w:hAnsi="Garamond"/>
          <w:rtl w:val="0"/>
        </w:rPr>
        <w:t xml:space="preserve">The key outcome, SNAP enrollment, will be measured using data provided by the Ray Marshall Center. After linking participant information from NTFB and Feeding Texas with SNAP enrollment data from Texas Health and Human Services, the Ray Marshall Center will provide de-identified data to the research team. This data will allow us to determine whether the text message reminders have a statistically significant effect on the rate of SNAP enrollment among the study participants and the magnitude of this change.</w:t>
      </w:r>
      <w:r w:rsidDel="00000000" w:rsidR="00000000" w:rsidRPr="00000000">
        <w:rPr>
          <w:rtl w:val="0"/>
        </w:rPr>
      </w:r>
    </w:p>
    <w:p w:rsidR="00000000" w:rsidDel="00000000" w:rsidP="00000000" w:rsidRDefault="00000000" w:rsidRPr="00000000" w14:paraId="0000002A">
      <w:pPr>
        <w:numPr>
          <w:ilvl w:val="0"/>
          <w:numId w:val="7"/>
        </w:numPr>
        <w:ind w:left="720" w:hanging="360"/>
        <w:rPr>
          <w:b w:val="1"/>
        </w:rPr>
      </w:pPr>
      <w:r w:rsidDel="00000000" w:rsidR="00000000" w:rsidRPr="00000000">
        <w:rPr>
          <w:rFonts w:ascii="Garamond" w:cs="Garamond" w:eastAsia="Garamond" w:hAnsi="Garamond"/>
          <w:b w:val="1"/>
          <w:rtl w:val="0"/>
        </w:rPr>
        <w:t xml:space="preserve">Hypotheses: Analysis by Outcome Domains</w:t>
      </w:r>
      <w:r w:rsidDel="00000000" w:rsidR="00000000" w:rsidRPr="00000000">
        <w:rPr>
          <w:rtl w:val="0"/>
        </w:rPr>
      </w:r>
    </w:p>
    <w:p w:rsidR="00000000" w:rsidDel="00000000" w:rsidP="00000000" w:rsidRDefault="00000000" w:rsidRPr="00000000" w14:paraId="0000002B">
      <w:pPr>
        <w:numPr>
          <w:ilvl w:val="0"/>
          <w:numId w:val="1"/>
        </w:numPr>
        <w:ind w:left="720" w:hanging="360"/>
        <w:rPr>
          <w:rFonts w:ascii="Garamond" w:cs="Garamond" w:eastAsia="Garamond" w:hAnsi="Garamond"/>
        </w:rPr>
      </w:pPr>
      <w:r w:rsidDel="00000000" w:rsidR="00000000" w:rsidRPr="00000000">
        <w:rPr>
          <w:rFonts w:ascii="Garamond" w:cs="Garamond" w:eastAsia="Garamond" w:hAnsi="Garamond"/>
          <w:i w:val="1"/>
          <w:rtl w:val="0"/>
        </w:rPr>
        <w:t xml:space="preserve">SNAP Enrollment</w:t>
      </w:r>
      <w:r w:rsidDel="00000000" w:rsidR="00000000" w:rsidRPr="00000000">
        <w:rPr>
          <w:rFonts w:ascii="Garamond" w:cs="Garamond" w:eastAsia="Garamond" w:hAnsi="Garamond"/>
          <w:rtl w:val="0"/>
        </w:rPr>
        <w:br w:type="textWrapping"/>
        <w:t xml:space="preserve">1. Primary Measure: Successful SNAP Enrollment</w:t>
      </w:r>
    </w:p>
    <w:p w:rsidR="00000000" w:rsidDel="00000000" w:rsidP="00000000" w:rsidRDefault="00000000" w:rsidRPr="00000000" w14:paraId="0000002C">
      <w:pPr>
        <w:numPr>
          <w:ilvl w:val="1"/>
          <w:numId w:val="5"/>
        </w:numPr>
        <w:ind w:left="1440" w:hanging="360"/>
        <w:rPr>
          <w:rFonts w:ascii="Garamond" w:cs="Garamond" w:eastAsia="Garamond" w:hAnsi="Garamond"/>
        </w:rPr>
      </w:pPr>
      <w:r w:rsidDel="00000000" w:rsidR="00000000" w:rsidRPr="00000000">
        <w:rPr>
          <w:rFonts w:ascii="Garamond" w:cs="Garamond" w:eastAsia="Garamond" w:hAnsi="Garamond"/>
          <w:rtl w:val="0"/>
        </w:rPr>
        <w:t xml:space="preserve">The primary outcome of this study is successful SNAP enrollment. This will be measured using administrative data provided by the Ray Marshall Center, which links participant information from the NTFB with SNAP enrollment records from Texas Health and Human Services. The outcome will be captured as a binary indicator of whether a participant has successfully enrolled in SNAP within a </w:t>
      </w:r>
      <w:r w:rsidDel="00000000" w:rsidR="00000000" w:rsidRPr="00000000">
        <w:rPr>
          <w:rFonts w:ascii="Garamond" w:cs="Garamond" w:eastAsia="Garamond" w:hAnsi="Garamond"/>
          <w:rtl w:val="0"/>
        </w:rPr>
        <w:t xml:space="preserve">specific time frame following randomization</w:t>
      </w:r>
      <w:r w:rsidDel="00000000" w:rsidR="00000000" w:rsidRPr="00000000">
        <w:rPr>
          <w:rFonts w:ascii="Garamond" w:cs="Garamond" w:eastAsia="Garamond" w:hAnsi="Garamond"/>
          <w:rtl w:val="0"/>
        </w:rPr>
        <w:t xml:space="preserve">. The specific time frame will be determined before outcome data is received. </w:t>
      </w:r>
    </w:p>
    <w:p w:rsidR="00000000" w:rsidDel="00000000" w:rsidP="00000000" w:rsidRDefault="00000000" w:rsidRPr="00000000" w14:paraId="0000002D">
      <w:pPr>
        <w:numPr>
          <w:ilvl w:val="1"/>
          <w:numId w:val="5"/>
        </w:numPr>
        <w:ind w:left="1440" w:hanging="360"/>
        <w:rPr>
          <w:rFonts w:ascii="Garamond" w:cs="Garamond" w:eastAsia="Garamond" w:hAnsi="Garamond"/>
        </w:rPr>
      </w:pPr>
      <w:r w:rsidDel="00000000" w:rsidR="00000000" w:rsidRPr="00000000">
        <w:rPr>
          <w:rFonts w:ascii="Garamond" w:cs="Garamond" w:eastAsia="Garamond" w:hAnsi="Garamond"/>
          <w:rtl w:val="0"/>
        </w:rPr>
        <w:t xml:space="preserve">Hypothesis: The intervention, consisting of automated text message reminders, is designed to increase SNAP enrollment rates among eligible participants. We will test the hypothesis that there is no effect of the intervention on SNAP enrollment (the null hypothesis). We can conclude that the intervention is effective if we can reject the null hypothesis and find a statistically significant increase in the proportion of participants in the treatment group who successfully enroll in SNAP compared to the control group. This would indicate that the text message reminders have a positive impact on overcoming barriers to completing the SNAP application process, leading to higher enrollment rates.</w:t>
      </w:r>
      <w:r w:rsidDel="00000000" w:rsidR="00000000" w:rsidRPr="00000000">
        <w:rPr>
          <w:rtl w:val="0"/>
        </w:rPr>
      </w:r>
    </w:p>
    <w:p w:rsidR="00000000" w:rsidDel="00000000" w:rsidP="00000000" w:rsidRDefault="00000000" w:rsidRPr="00000000" w14:paraId="0000002E">
      <w:pPr>
        <w:ind w:left="1440" w:firstLine="0"/>
        <w:rPr>
          <w:rFonts w:ascii="Garamond" w:cs="Garamond" w:eastAsia="Garamond" w:hAnsi="Garamond"/>
        </w:rPr>
      </w:pPr>
      <w:r w:rsidDel="00000000" w:rsidR="00000000" w:rsidRPr="00000000">
        <w:rPr>
          <w:rtl w:val="0"/>
        </w:rPr>
      </w:r>
    </w:p>
    <w:p w:rsidR="00000000" w:rsidDel="00000000" w:rsidP="00000000" w:rsidRDefault="00000000" w:rsidRPr="00000000" w14:paraId="0000002F">
      <w:pPr>
        <w:numPr>
          <w:ilvl w:val="0"/>
          <w:numId w:val="7"/>
        </w:numPr>
        <w:ind w:left="720" w:hanging="360"/>
        <w:rPr>
          <w:b w:val="1"/>
        </w:rPr>
      </w:pPr>
      <w:r w:rsidDel="00000000" w:rsidR="00000000" w:rsidRPr="00000000">
        <w:rPr>
          <w:rFonts w:ascii="Garamond" w:cs="Garamond" w:eastAsia="Garamond" w:hAnsi="Garamond"/>
          <w:b w:val="1"/>
          <w:rtl w:val="0"/>
        </w:rPr>
        <w:t xml:space="preserve">Balance Checks</w:t>
      </w:r>
    </w:p>
    <w:p w:rsidR="00000000" w:rsidDel="00000000" w:rsidP="00000000" w:rsidRDefault="00000000" w:rsidRPr="00000000" w14:paraId="00000030">
      <w:pPr>
        <w:numPr>
          <w:ilvl w:val="0"/>
          <w:numId w:val="2"/>
        </w:numPr>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Applicants demographics</w:t>
      </w:r>
      <w:r w:rsidDel="00000000" w:rsidR="00000000" w:rsidRPr="00000000">
        <w:rPr>
          <w:rtl w:val="0"/>
        </w:rPr>
      </w:r>
    </w:p>
    <w:p w:rsidR="00000000" w:rsidDel="00000000" w:rsidP="00000000" w:rsidRDefault="00000000" w:rsidRPr="00000000" w14:paraId="00000031">
      <w:pPr>
        <w:numPr>
          <w:ilvl w:val="0"/>
          <w:numId w:val="12"/>
        </w:numPr>
        <w:ind w:left="1440" w:hanging="360"/>
        <w:rPr>
          <w:rFonts w:ascii="Garamond" w:cs="Garamond" w:eastAsia="Garamond" w:hAnsi="Garamond"/>
        </w:rPr>
      </w:pPr>
      <w:r w:rsidDel="00000000" w:rsidR="00000000" w:rsidRPr="00000000">
        <w:rPr>
          <w:rFonts w:ascii="Garamond" w:cs="Garamond" w:eastAsia="Garamond" w:hAnsi="Garamond"/>
          <w:rtl w:val="0"/>
        </w:rPr>
        <w:t xml:space="preserve">Race </w:t>
      </w:r>
    </w:p>
    <w:p w:rsidR="00000000" w:rsidDel="00000000" w:rsidP="00000000" w:rsidRDefault="00000000" w:rsidRPr="00000000" w14:paraId="00000032">
      <w:pPr>
        <w:numPr>
          <w:ilvl w:val="0"/>
          <w:numId w:val="12"/>
        </w:numPr>
        <w:ind w:left="1440" w:hanging="360"/>
        <w:rPr>
          <w:rFonts w:ascii="Garamond" w:cs="Garamond" w:eastAsia="Garamond" w:hAnsi="Garamond"/>
        </w:rPr>
      </w:pPr>
      <w:r w:rsidDel="00000000" w:rsidR="00000000" w:rsidRPr="00000000">
        <w:rPr>
          <w:rFonts w:ascii="Garamond" w:cs="Garamond" w:eastAsia="Garamond" w:hAnsi="Garamond"/>
          <w:rtl w:val="0"/>
        </w:rPr>
        <w:t xml:space="preserve">Ethnicity </w:t>
      </w:r>
    </w:p>
    <w:p w:rsidR="00000000" w:rsidDel="00000000" w:rsidP="00000000" w:rsidRDefault="00000000" w:rsidRPr="00000000" w14:paraId="00000033">
      <w:pPr>
        <w:numPr>
          <w:ilvl w:val="0"/>
          <w:numId w:val="12"/>
        </w:numPr>
        <w:ind w:left="1440" w:hanging="360"/>
        <w:rPr>
          <w:rFonts w:ascii="Garamond" w:cs="Garamond" w:eastAsia="Garamond" w:hAnsi="Garamond"/>
        </w:rPr>
      </w:pPr>
      <w:r w:rsidDel="00000000" w:rsidR="00000000" w:rsidRPr="00000000">
        <w:rPr>
          <w:rFonts w:ascii="Garamond" w:cs="Garamond" w:eastAsia="Garamond" w:hAnsi="Garamond"/>
          <w:rtl w:val="0"/>
        </w:rPr>
        <w:t xml:space="preserve">Gender</w:t>
      </w:r>
    </w:p>
    <w:p w:rsidR="00000000" w:rsidDel="00000000" w:rsidP="00000000" w:rsidRDefault="00000000" w:rsidRPr="00000000" w14:paraId="00000034">
      <w:pPr>
        <w:numPr>
          <w:ilvl w:val="0"/>
          <w:numId w:val="12"/>
        </w:numPr>
        <w:ind w:left="1440" w:hanging="360"/>
        <w:rPr>
          <w:rFonts w:ascii="Garamond" w:cs="Garamond" w:eastAsia="Garamond" w:hAnsi="Garamond"/>
        </w:rPr>
      </w:pPr>
      <w:r w:rsidDel="00000000" w:rsidR="00000000" w:rsidRPr="00000000">
        <w:rPr>
          <w:rFonts w:ascii="Garamond" w:cs="Garamond" w:eastAsia="Garamond" w:hAnsi="Garamond"/>
          <w:rtl w:val="0"/>
        </w:rPr>
        <w:t xml:space="preserve">Age </w:t>
      </w:r>
    </w:p>
    <w:p w:rsidR="00000000" w:rsidDel="00000000" w:rsidP="00000000" w:rsidRDefault="00000000" w:rsidRPr="00000000" w14:paraId="00000035">
      <w:pPr>
        <w:numPr>
          <w:ilvl w:val="0"/>
          <w:numId w:val="12"/>
        </w:numPr>
        <w:ind w:left="1440" w:hanging="360"/>
        <w:rPr>
          <w:rFonts w:ascii="Garamond" w:cs="Garamond" w:eastAsia="Garamond" w:hAnsi="Garamond"/>
        </w:rPr>
      </w:pPr>
      <w:r w:rsidDel="00000000" w:rsidR="00000000" w:rsidRPr="00000000">
        <w:rPr>
          <w:rFonts w:ascii="Garamond" w:cs="Garamond" w:eastAsia="Garamond" w:hAnsi="Garamond"/>
          <w:rtl w:val="0"/>
        </w:rPr>
        <w:t xml:space="preserve">Marital status </w:t>
      </w:r>
    </w:p>
    <w:p w:rsidR="00000000" w:rsidDel="00000000" w:rsidP="00000000" w:rsidRDefault="00000000" w:rsidRPr="00000000" w14:paraId="00000036">
      <w:pPr>
        <w:numPr>
          <w:ilvl w:val="0"/>
          <w:numId w:val="12"/>
        </w:numPr>
        <w:ind w:left="1440" w:hanging="360"/>
        <w:rPr>
          <w:rFonts w:ascii="Garamond" w:cs="Garamond" w:eastAsia="Garamond" w:hAnsi="Garamond"/>
        </w:rPr>
      </w:pPr>
      <w:r w:rsidDel="00000000" w:rsidR="00000000" w:rsidRPr="00000000">
        <w:rPr>
          <w:rFonts w:ascii="Garamond" w:cs="Garamond" w:eastAsia="Garamond" w:hAnsi="Garamond"/>
          <w:rtl w:val="0"/>
        </w:rPr>
        <w:t xml:space="preserve">Veteran status </w:t>
      </w:r>
    </w:p>
    <w:p w:rsidR="00000000" w:rsidDel="00000000" w:rsidP="00000000" w:rsidRDefault="00000000" w:rsidRPr="00000000" w14:paraId="00000037">
      <w:pPr>
        <w:numPr>
          <w:ilvl w:val="0"/>
          <w:numId w:val="12"/>
        </w:numPr>
        <w:ind w:left="1440" w:hanging="360"/>
        <w:rPr>
          <w:rFonts w:ascii="Garamond" w:cs="Garamond" w:eastAsia="Garamond" w:hAnsi="Garamond"/>
        </w:rPr>
      </w:pPr>
      <w:r w:rsidDel="00000000" w:rsidR="00000000" w:rsidRPr="00000000">
        <w:rPr>
          <w:rFonts w:ascii="Garamond" w:cs="Garamond" w:eastAsia="Garamond" w:hAnsi="Garamond"/>
          <w:rtl w:val="0"/>
        </w:rPr>
        <w:t xml:space="preserve">Disability status </w:t>
      </w:r>
    </w:p>
    <w:p w:rsidR="00000000" w:rsidDel="00000000" w:rsidP="00000000" w:rsidRDefault="00000000" w:rsidRPr="00000000" w14:paraId="00000038">
      <w:pPr>
        <w:numPr>
          <w:ilvl w:val="0"/>
          <w:numId w:val="12"/>
        </w:numPr>
        <w:ind w:left="1440" w:hanging="360"/>
        <w:rPr>
          <w:rFonts w:ascii="Garamond" w:cs="Garamond" w:eastAsia="Garamond" w:hAnsi="Garamond"/>
        </w:rPr>
      </w:pPr>
      <w:r w:rsidDel="00000000" w:rsidR="00000000" w:rsidRPr="00000000">
        <w:rPr>
          <w:rFonts w:ascii="Garamond" w:cs="Garamond" w:eastAsia="Garamond" w:hAnsi="Garamond"/>
          <w:rtl w:val="0"/>
        </w:rPr>
        <w:t xml:space="preserve">Employment status </w:t>
      </w:r>
      <w:r w:rsidDel="00000000" w:rsidR="00000000" w:rsidRPr="00000000">
        <w:rPr>
          <w:rtl w:val="0"/>
        </w:rPr>
      </w:r>
    </w:p>
    <w:p w:rsidR="00000000" w:rsidDel="00000000" w:rsidP="00000000" w:rsidRDefault="00000000" w:rsidRPr="00000000" w14:paraId="00000039">
      <w:pPr>
        <w:numPr>
          <w:ilvl w:val="0"/>
          <w:numId w:val="2"/>
        </w:numPr>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Household characteristics</w:t>
      </w:r>
      <w:r w:rsidDel="00000000" w:rsidR="00000000" w:rsidRPr="00000000">
        <w:rPr>
          <w:rtl w:val="0"/>
        </w:rPr>
      </w:r>
    </w:p>
    <w:p w:rsidR="00000000" w:rsidDel="00000000" w:rsidP="00000000" w:rsidRDefault="00000000" w:rsidRPr="00000000" w14:paraId="0000003A">
      <w:pPr>
        <w:numPr>
          <w:ilvl w:val="0"/>
          <w:numId w:val="9"/>
        </w:numPr>
        <w:ind w:left="1440" w:hanging="360"/>
        <w:rPr>
          <w:rFonts w:ascii="Garamond" w:cs="Garamond" w:eastAsia="Garamond" w:hAnsi="Garamond"/>
        </w:rPr>
      </w:pPr>
      <w:r w:rsidDel="00000000" w:rsidR="00000000" w:rsidRPr="00000000">
        <w:rPr>
          <w:rFonts w:ascii="Garamond" w:cs="Garamond" w:eastAsia="Garamond" w:hAnsi="Garamond"/>
          <w:rtl w:val="0"/>
        </w:rPr>
        <w:t xml:space="preserve">Number in household</w:t>
      </w:r>
    </w:p>
    <w:p w:rsidR="00000000" w:rsidDel="00000000" w:rsidP="00000000" w:rsidRDefault="00000000" w:rsidRPr="00000000" w14:paraId="0000003B">
      <w:pPr>
        <w:numPr>
          <w:ilvl w:val="0"/>
          <w:numId w:val="2"/>
        </w:numPr>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Prior use of NTFB services</w:t>
      </w:r>
      <w:r w:rsidDel="00000000" w:rsidR="00000000" w:rsidRPr="00000000">
        <w:rPr>
          <w:rtl w:val="0"/>
        </w:rPr>
      </w:r>
    </w:p>
    <w:p w:rsidR="00000000" w:rsidDel="00000000" w:rsidP="00000000" w:rsidRDefault="00000000" w:rsidRPr="00000000" w14:paraId="0000003C">
      <w:pPr>
        <w:numPr>
          <w:ilvl w:val="0"/>
          <w:numId w:val="13"/>
        </w:numPr>
        <w:ind w:left="1440" w:hanging="360"/>
        <w:rPr>
          <w:rFonts w:ascii="Garamond" w:cs="Garamond" w:eastAsia="Garamond" w:hAnsi="Garamond"/>
        </w:rPr>
      </w:pPr>
      <w:r w:rsidDel="00000000" w:rsidR="00000000" w:rsidRPr="00000000">
        <w:rPr>
          <w:rFonts w:ascii="Garamond" w:cs="Garamond" w:eastAsia="Garamond" w:hAnsi="Garamond"/>
          <w:rtl w:val="0"/>
        </w:rPr>
        <w:t xml:space="preserve">Number of Contacts with NTFB: The number of interactions the household has had with the North Texas Food Bank’s services (e.g., a visit to a food pantry to obtain food) in the two years leading up to randomization, if available. </w:t>
      </w:r>
    </w:p>
    <w:p w:rsidR="00000000" w:rsidDel="00000000" w:rsidP="00000000" w:rsidRDefault="00000000" w:rsidRPr="00000000" w14:paraId="0000003D">
      <w:pPr>
        <w:ind w:left="0" w:firstLine="0"/>
        <w:rPr>
          <w:rFonts w:ascii="Garamond" w:cs="Garamond" w:eastAsia="Garamond" w:hAnsi="Garamond"/>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1"/>
        </w:rPr>
      </w:pPr>
      <w:r w:rsidDel="00000000" w:rsidR="00000000" w:rsidRPr="00000000">
        <w:rPr>
          <w:rFonts w:ascii="Garamond" w:cs="Garamond" w:eastAsia="Garamond" w:hAnsi="Garamond"/>
          <w:b w:val="1"/>
          <w:rtl w:val="0"/>
        </w:rPr>
        <w:t xml:space="preserve">Treatment Effect Heterogeneity and Sub-group Analysis</w:t>
      </w:r>
    </w:p>
    <w:p w:rsidR="00000000" w:rsidDel="00000000" w:rsidP="00000000" w:rsidRDefault="00000000" w:rsidRPr="00000000" w14:paraId="0000003F">
      <w:pPr>
        <w:rPr>
          <w:rFonts w:ascii="Garamond" w:cs="Garamond" w:eastAsia="Garamond" w:hAnsi="Garamond"/>
        </w:rPr>
      </w:pPr>
      <w:r w:rsidDel="00000000" w:rsidR="00000000" w:rsidRPr="00000000">
        <w:rPr>
          <w:rFonts w:ascii="Garamond" w:cs="Garamond" w:eastAsia="Garamond" w:hAnsi="Garamond"/>
          <w:rtl w:val="0"/>
        </w:rPr>
        <w:t xml:space="preserve">Given that this study will include a diverse range of households applying for SNAP through the NTFB, it is anticipated that the intervention may have varying effects across different sub-groups. Understanding whether the intervention broadly impacts the population or has differential effects among specific sub-populations of interest is crucial for informing policy decisions and scaling the program effectively in the event of a positive outcome.</w:t>
      </w:r>
    </w:p>
    <w:p w:rsidR="00000000" w:rsidDel="00000000" w:rsidP="00000000" w:rsidRDefault="00000000" w:rsidRPr="00000000" w14:paraId="0000004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study will estimate the impact of the text message reminders on SNAP enrollment across several sub-groups. The research team is particularly interested in determining whether the intervention is more effective for certain populations relative to others. Data provided by NTFB indicate that the study sample will include a mix of households with different demographic and socioeconomic characteristics and differences by use of NTFB services, allowing for the exploration of treatment effect heterogeneity.</w:t>
      </w:r>
    </w:p>
    <w:p w:rsidR="00000000" w:rsidDel="00000000" w:rsidP="00000000" w:rsidRDefault="00000000" w:rsidRPr="00000000" w14:paraId="0000004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sub-groups of interest for this analysis will include:</w:t>
      </w:r>
    </w:p>
    <w:p w:rsidR="00000000" w:rsidDel="00000000" w:rsidP="00000000" w:rsidRDefault="00000000" w:rsidRPr="00000000" w14:paraId="00000042">
      <w:pPr>
        <w:numPr>
          <w:ilvl w:val="0"/>
          <w:numId w:val="14"/>
        </w:numPr>
        <w:spacing w:after="0" w:afterAutospacing="0" w:before="240" w:lineRule="auto"/>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Household employment status:</w:t>
      </w:r>
    </w:p>
    <w:p w:rsidR="00000000" w:rsidDel="00000000" w:rsidP="00000000" w:rsidRDefault="00000000" w:rsidRPr="00000000" w14:paraId="00000043">
      <w:pPr>
        <w:numPr>
          <w:ilvl w:val="0"/>
          <w:numId w:val="15"/>
        </w:numPr>
        <w:spacing w:after="0" w:afterAutospacing="0" w:before="0" w:beforeAutospacing="0" w:lineRule="auto"/>
        <w:ind w:left="1440" w:hanging="360"/>
        <w:rPr>
          <w:rFonts w:ascii="Garamond" w:cs="Garamond" w:eastAsia="Garamond" w:hAnsi="Garamond"/>
        </w:rPr>
      </w:pPr>
      <w:r w:rsidDel="00000000" w:rsidR="00000000" w:rsidRPr="00000000">
        <w:rPr>
          <w:rFonts w:ascii="Garamond" w:cs="Garamond" w:eastAsia="Garamond" w:hAnsi="Garamond"/>
          <w:rtl w:val="0"/>
        </w:rPr>
        <w:t xml:space="preserve">Households with reported earned income versus households with no reported earned  income. This comparison will help determine if the intervention is more effective for those who are employed, who may face greater time and </w:t>
      </w:r>
      <w:r w:rsidDel="00000000" w:rsidR="00000000" w:rsidRPr="00000000">
        <w:rPr>
          <w:rFonts w:ascii="Garamond" w:cs="Garamond" w:eastAsia="Garamond" w:hAnsi="Garamond"/>
          <w:rtl w:val="0"/>
        </w:rPr>
        <w:t xml:space="preserve">other</w:t>
      </w:r>
      <w:r w:rsidDel="00000000" w:rsidR="00000000" w:rsidRPr="00000000">
        <w:rPr>
          <w:rFonts w:ascii="Garamond" w:cs="Garamond" w:eastAsia="Garamond" w:hAnsi="Garamond"/>
          <w:rtl w:val="0"/>
        </w:rPr>
        <w:t xml:space="preserve"> barriers to completing the SNAP application process.</w:t>
      </w:r>
      <w:r w:rsidDel="00000000" w:rsidR="00000000" w:rsidRPr="00000000">
        <w:rPr>
          <w:rtl w:val="0"/>
        </w:rPr>
      </w:r>
    </w:p>
    <w:p w:rsidR="00000000" w:rsidDel="00000000" w:rsidP="00000000" w:rsidRDefault="00000000" w:rsidRPr="00000000" w14:paraId="00000044">
      <w:pPr>
        <w:numPr>
          <w:ilvl w:val="0"/>
          <w:numId w:val="14"/>
        </w:numPr>
        <w:spacing w:after="0" w:afterAutospacing="0" w:before="0" w:beforeAutospacing="0" w:lineRule="auto"/>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Prior use of NTFB services:</w:t>
      </w:r>
    </w:p>
    <w:p w:rsidR="00000000" w:rsidDel="00000000" w:rsidP="00000000" w:rsidRDefault="00000000" w:rsidRPr="00000000" w14:paraId="00000045">
      <w:pPr>
        <w:numPr>
          <w:ilvl w:val="0"/>
          <w:numId w:val="11"/>
        </w:numPr>
        <w:spacing w:after="0" w:afterAutospacing="0" w:before="0" w:beforeAutospacing="0" w:lineRule="auto"/>
        <w:ind w:left="1440" w:hanging="360"/>
        <w:rPr>
          <w:rFonts w:ascii="Garamond" w:cs="Garamond" w:eastAsia="Garamond" w:hAnsi="Garamond"/>
        </w:rPr>
      </w:pPr>
      <w:r w:rsidDel="00000000" w:rsidR="00000000" w:rsidRPr="00000000">
        <w:rPr>
          <w:rFonts w:ascii="Garamond" w:cs="Garamond" w:eastAsia="Garamond" w:hAnsi="Garamond"/>
          <w:rtl w:val="0"/>
        </w:rPr>
        <w:t xml:space="preserve">Households with prior contact with NTFB services versus those without prior contact. </w:t>
      </w:r>
      <w:r w:rsidDel="00000000" w:rsidR="00000000" w:rsidRPr="00000000">
        <w:rPr>
          <w:rFonts w:ascii="Garamond" w:cs="Garamond" w:eastAsia="Garamond" w:hAnsi="Garamond"/>
          <w:rtl w:val="0"/>
        </w:rPr>
        <w:t xml:space="preserve">We will examine whether familiarity with NTFB services influences the effectiveness of the text message reminders in encouraging SNAP enrollment.</w:t>
      </w:r>
      <w:r w:rsidDel="00000000" w:rsidR="00000000" w:rsidRPr="00000000">
        <w:rPr>
          <w:rtl w:val="0"/>
        </w:rPr>
      </w:r>
    </w:p>
    <w:p w:rsidR="00000000" w:rsidDel="00000000" w:rsidP="00000000" w:rsidRDefault="00000000" w:rsidRPr="00000000" w14:paraId="00000046">
      <w:pPr>
        <w:numPr>
          <w:ilvl w:val="0"/>
          <w:numId w:val="14"/>
        </w:numPr>
        <w:spacing w:after="0" w:afterAutospacing="0" w:before="0" w:beforeAutospacing="0" w:lineRule="auto"/>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Household size</w:t>
      </w:r>
    </w:p>
    <w:p w:rsidR="00000000" w:rsidDel="00000000" w:rsidP="00000000" w:rsidRDefault="00000000" w:rsidRPr="00000000" w14:paraId="00000047">
      <w:pPr>
        <w:numPr>
          <w:ilvl w:val="0"/>
          <w:numId w:val="3"/>
        </w:numPr>
        <w:spacing w:after="0" w:afterAutospacing="0" w:before="0" w:beforeAutospacing="0" w:lineRule="auto"/>
        <w:ind w:left="1440" w:hanging="360"/>
        <w:rPr>
          <w:rFonts w:ascii="Garamond" w:cs="Garamond" w:eastAsia="Garamond" w:hAnsi="Garamond"/>
        </w:rPr>
      </w:pPr>
      <w:r w:rsidDel="00000000" w:rsidR="00000000" w:rsidRPr="00000000">
        <w:rPr>
          <w:rFonts w:ascii="Garamond" w:cs="Garamond" w:eastAsia="Garamond" w:hAnsi="Garamond"/>
          <w:rtl w:val="0"/>
        </w:rPr>
        <w:t xml:space="preserve">Households with a small number of members (e.g., 1-2 members) versus larger households (3 or more members). This analysis will explore whether the intervention is more beneficial for smaller or larger households, potentially due to differences in the complexity of their needs.</w:t>
      </w:r>
      <w:r w:rsidDel="00000000" w:rsidR="00000000" w:rsidRPr="00000000">
        <w:rPr>
          <w:rtl w:val="0"/>
        </w:rPr>
      </w:r>
    </w:p>
    <w:p w:rsidR="00000000" w:rsidDel="00000000" w:rsidP="00000000" w:rsidRDefault="00000000" w:rsidRPr="00000000" w14:paraId="00000048">
      <w:pPr>
        <w:numPr>
          <w:ilvl w:val="0"/>
          <w:numId w:val="14"/>
        </w:numPr>
        <w:spacing w:after="0" w:afterAutospacing="0" w:before="0" w:beforeAutospacing="0" w:lineRule="auto"/>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Demographic characteristics</w:t>
      </w:r>
    </w:p>
    <w:p w:rsidR="00000000" w:rsidDel="00000000" w:rsidP="00000000" w:rsidRDefault="00000000" w:rsidRPr="00000000" w14:paraId="00000049">
      <w:pPr>
        <w:numPr>
          <w:ilvl w:val="0"/>
          <w:numId w:val="8"/>
        </w:numPr>
        <w:spacing w:after="200" w:before="0" w:lineRule="auto"/>
        <w:ind w:left="1440" w:hanging="360"/>
        <w:rPr>
          <w:rFonts w:ascii="Garamond" w:cs="Garamond" w:eastAsia="Garamond" w:hAnsi="Garamond"/>
        </w:rPr>
      </w:pPr>
      <w:r w:rsidDel="00000000" w:rsidR="00000000" w:rsidRPr="00000000">
        <w:rPr>
          <w:rFonts w:ascii="Garamond" w:cs="Garamond" w:eastAsia="Garamond" w:hAnsi="Garamond"/>
          <w:rtl w:val="0"/>
        </w:rPr>
        <w:t xml:space="preserve">Differences in treatment effects based on race, ethnicity, gender, and age will also be explored to understand if certain demographic groups benefit more from the intervention. For instance, the effectiveness of the text message reminders might vary between younger and older applicants or between different racial and ethnic groups.</w:t>
      </w:r>
      <w:r w:rsidDel="00000000" w:rsidR="00000000" w:rsidRPr="00000000">
        <w:rPr>
          <w:rtl w:val="0"/>
        </w:rPr>
      </w:r>
    </w:p>
    <w:p w:rsidR="00000000" w:rsidDel="00000000" w:rsidP="00000000" w:rsidRDefault="00000000" w:rsidRPr="00000000" w14:paraId="0000004A">
      <w:pPr>
        <w:numPr>
          <w:ilvl w:val="0"/>
          <w:numId w:val="7"/>
        </w:numPr>
        <w:ind w:left="720" w:hanging="360"/>
        <w:rPr>
          <w:b w:val="1"/>
        </w:rPr>
      </w:pPr>
      <w:r w:rsidDel="00000000" w:rsidR="00000000" w:rsidRPr="00000000">
        <w:rPr>
          <w:rFonts w:ascii="Garamond" w:cs="Garamond" w:eastAsia="Garamond" w:hAnsi="Garamond"/>
          <w:b w:val="1"/>
          <w:rtl w:val="0"/>
        </w:rPr>
        <w:t xml:space="preserve">Data Analysis</w:t>
      </w:r>
    </w:p>
    <w:p w:rsidR="00000000" w:rsidDel="00000000" w:rsidP="00000000" w:rsidRDefault="00000000" w:rsidRPr="00000000" w14:paraId="0000004B">
      <w:pPr>
        <w:numPr>
          <w:ilvl w:val="1"/>
          <w:numId w:val="7"/>
        </w:numPr>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Main specification</w:t>
      </w:r>
      <w:r w:rsidDel="00000000" w:rsidR="00000000" w:rsidRPr="00000000">
        <w:rPr>
          <w:rtl w:val="0"/>
        </w:rPr>
      </w:r>
    </w:p>
    <w:p w:rsidR="00000000" w:rsidDel="00000000" w:rsidP="00000000" w:rsidRDefault="00000000" w:rsidRPr="00000000" w14:paraId="0000004C">
      <w:pPr>
        <w:spacing w:after="200" w:lineRule="auto"/>
        <w:jc w:val="both"/>
        <w:rPr>
          <w:rFonts w:ascii="Garamond" w:cs="Garamond" w:eastAsia="Garamond" w:hAnsi="Garamond"/>
        </w:rPr>
      </w:pPr>
      <w:r w:rsidDel="00000000" w:rsidR="00000000" w:rsidRPr="00000000">
        <w:rPr>
          <w:rFonts w:ascii="Garamond" w:cs="Garamond" w:eastAsia="Garamond" w:hAnsi="Garamond"/>
          <w:rtl w:val="0"/>
        </w:rPr>
        <w:t xml:space="preserve">We will estimate intent-to-treat (ITT) treatment effects by OLS using the following regression:</w:t>
      </w:r>
    </w:p>
    <w:p w:rsidR="00000000" w:rsidDel="00000000" w:rsidP="00000000" w:rsidRDefault="00000000" w:rsidRPr="00000000" w14:paraId="0000004D">
      <w:pPr>
        <w:spacing w:after="200" w:lineRule="auto"/>
        <w:jc w:val="center"/>
        <w:rPr>
          <w:rFonts w:ascii="Garamond" w:cs="Garamond" w:eastAsia="Garamond" w:hAnsi="Garamond"/>
        </w:rPr>
      </w:pPr>
      <m:oMath>
        <m:sSub>
          <m:sSubPr>
            <m:ctrlPr>
              <w:rPr>
                <w:rFonts w:ascii="Garamond" w:cs="Garamond" w:eastAsia="Garamond" w:hAnsi="Garamond"/>
              </w:rPr>
            </m:ctrlPr>
          </m:sSubPr>
          <m:e>
            <m:r>
              <w:rPr>
                <w:rFonts w:ascii="Garamond" w:cs="Garamond" w:eastAsia="Garamond" w:hAnsi="Garamond"/>
              </w:rPr>
              <m:t xml:space="preserve">Y</m:t>
            </m:r>
          </m:e>
          <m:sub>
            <m:r>
              <w:rPr>
                <w:rFonts w:ascii="Garamond" w:cs="Garamond" w:eastAsia="Garamond" w:hAnsi="Garamond"/>
              </w:rPr>
              <m:t xml:space="preserve">i</m:t>
            </m:r>
          </m:sub>
        </m:sSub>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β</m:t>
            </m:r>
          </m:e>
          <m:sub>
            <m:r>
              <w:rPr>
                <w:rFonts w:ascii="Garamond" w:cs="Garamond" w:eastAsia="Garamond" w:hAnsi="Garamond"/>
              </w:rPr>
              <m:t xml:space="preserve">0</m:t>
            </m:r>
          </m:sub>
        </m:sSub>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 xml:space="preserve">T</m:t>
            </m:r>
          </m:e>
          <m:sub>
            <m:r>
              <w:rPr>
                <w:rFonts w:ascii="Garamond" w:cs="Garamond" w:eastAsia="Garamond" w:hAnsi="Garamond"/>
              </w:rPr>
              <m:t xml:space="preserve">i</m:t>
            </m:r>
          </m:sub>
        </m:sSub>
        <m:sSub>
          <m:sSubPr>
            <m:ctrlPr>
              <w:rPr>
                <w:rFonts w:ascii="Garamond" w:cs="Garamond" w:eastAsia="Garamond" w:hAnsi="Garamond"/>
              </w:rPr>
            </m:ctrlPr>
          </m:sSubPr>
          <m:e>
            <m:r>
              <w:rPr>
                <w:rFonts w:ascii="Garamond" w:cs="Garamond" w:eastAsia="Garamond" w:hAnsi="Garamond"/>
              </w:rPr>
              <m:t>β</m:t>
            </m:r>
          </m:e>
          <m:sub>
            <m:r>
              <w:rPr>
                <w:rFonts w:ascii="Garamond" w:cs="Garamond" w:eastAsia="Garamond" w:hAnsi="Garamond"/>
              </w:rPr>
              <m:t xml:space="preserve">1</m:t>
            </m:r>
          </m:sub>
        </m:sSub>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 xml:space="preserve">X</m:t>
            </m:r>
          </m:e>
          <m:sub>
            <m:r>
              <w:rPr>
                <w:rFonts w:ascii="Garamond" w:cs="Garamond" w:eastAsia="Garamond" w:hAnsi="Garamond"/>
              </w:rPr>
              <m:t xml:space="preserve">i</m:t>
            </m:r>
          </m:sub>
        </m:sSub>
        <m:sSub>
          <m:sSubPr>
            <m:ctrlPr>
              <w:rPr>
                <w:rFonts w:ascii="Garamond" w:cs="Garamond" w:eastAsia="Garamond" w:hAnsi="Garamond"/>
              </w:rPr>
            </m:ctrlPr>
          </m:sSubPr>
          <m:e>
            <m:r>
              <w:rPr>
                <w:rFonts w:ascii="Garamond" w:cs="Garamond" w:eastAsia="Garamond" w:hAnsi="Garamond"/>
              </w:rPr>
              <m:t>γ</m:t>
            </m:r>
          </m:e>
          <m:sub>
            <m:r>
              <w:rPr>
                <w:rFonts w:ascii="Garamond" w:cs="Garamond" w:eastAsia="Garamond" w:hAnsi="Garamond"/>
              </w:rPr>
              <m:t xml:space="preserve">0</m:t>
            </m:r>
          </m:sub>
        </m:sSub>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α</m:t>
            </m:r>
          </m:e>
          <m:sub>
            <m:r>
              <w:rPr>
                <w:rFonts w:ascii="Garamond" w:cs="Garamond" w:eastAsia="Garamond" w:hAnsi="Garamond"/>
              </w:rPr>
              <m:t xml:space="preserve">s</m:t>
            </m:r>
          </m:sub>
        </m:sSub>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λ</m:t>
            </m:r>
          </m:e>
          <m:sub>
            <m:r>
              <w:rPr>
                <w:rFonts w:ascii="Garamond" w:cs="Garamond" w:eastAsia="Garamond" w:hAnsi="Garamond"/>
              </w:rPr>
              <m:t xml:space="preserve">t</m:t>
            </m:r>
          </m:sub>
        </m:sSub>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ϵ</m:t>
            </m:r>
          </m:e>
          <m:sub>
            <m:r>
              <w:rPr>
                <w:rFonts w:ascii="Garamond" w:cs="Garamond" w:eastAsia="Garamond" w:hAnsi="Garamond"/>
              </w:rPr>
              <m:t xml:space="preserve">i</m:t>
            </m:r>
          </m:sub>
        </m:sSub>
      </m:oMath>
      <w:r w:rsidDel="00000000" w:rsidR="00000000" w:rsidRPr="00000000">
        <w:rPr>
          <w:rtl w:val="0"/>
        </w:rPr>
      </w:r>
    </w:p>
    <w:p w:rsidR="00000000" w:rsidDel="00000000" w:rsidP="00000000" w:rsidRDefault="00000000" w:rsidRPr="00000000" w14:paraId="0000004E">
      <w:pPr>
        <w:spacing w:after="200" w:lineRule="auto"/>
        <w:jc w:val="both"/>
        <w:rPr>
          <w:rFonts w:ascii="Garamond" w:cs="Garamond" w:eastAsia="Garamond" w:hAnsi="Garamond"/>
        </w:rPr>
      </w:pPr>
      <w:r w:rsidDel="00000000" w:rsidR="00000000" w:rsidRPr="00000000">
        <w:rPr>
          <w:rFonts w:ascii="Garamond" w:cs="Garamond" w:eastAsia="Garamond" w:hAnsi="Garamond"/>
          <w:rtl w:val="0"/>
        </w:rPr>
        <w:t xml:space="preserve">where Y</w:t>
      </w:r>
      <w:r w:rsidDel="00000000" w:rsidR="00000000" w:rsidRPr="00000000">
        <w:rPr>
          <w:rFonts w:ascii="Garamond" w:cs="Garamond" w:eastAsia="Garamond" w:hAnsi="Garamond"/>
          <w:i w:val="1"/>
          <w:vertAlign w:val="subscript"/>
          <w:rtl w:val="0"/>
        </w:rPr>
        <w:t xml:space="preserve">i</w:t>
      </w:r>
      <w:r w:rsidDel="00000000" w:rsidR="00000000" w:rsidRPr="00000000">
        <w:rPr>
          <w:rFonts w:ascii="Garamond" w:cs="Garamond" w:eastAsia="Garamond" w:hAnsi="Garamond"/>
          <w:i w:val="1"/>
          <w:rtl w:val="0"/>
        </w:rPr>
        <w:t xml:space="preserve"> </w:t>
      </w:r>
      <w:r w:rsidDel="00000000" w:rsidR="00000000" w:rsidRPr="00000000">
        <w:rPr>
          <w:rFonts w:ascii="Garamond" w:cs="Garamond" w:eastAsia="Garamond" w:hAnsi="Garamond"/>
          <w:rtl w:val="0"/>
        </w:rPr>
        <w:t xml:space="preserve">is the primary outcome variable, SNAP enrollment, for individual </w:t>
      </w:r>
      <w:r w:rsidDel="00000000" w:rsidR="00000000" w:rsidRPr="00000000">
        <w:rPr>
          <w:rFonts w:ascii="Garamond" w:cs="Garamond" w:eastAsia="Garamond" w:hAnsi="Garamond"/>
          <w:i w:val="1"/>
          <w:rtl w:val="0"/>
        </w:rPr>
        <w:t xml:space="preserve">i.</w:t>
      </w:r>
      <w:r w:rsidDel="00000000" w:rsidR="00000000" w:rsidRPr="00000000">
        <w:rPr>
          <w:rFonts w:ascii="Garamond" w:cs="Garamond" w:eastAsia="Garamond" w:hAnsi="Garamond"/>
          <w:rtl w:val="0"/>
        </w:rPr>
        <w:t xml:space="preserve"> T</w:t>
      </w:r>
      <w:r w:rsidDel="00000000" w:rsidR="00000000" w:rsidRPr="00000000">
        <w:rPr>
          <w:rFonts w:ascii="Garamond" w:cs="Garamond" w:eastAsia="Garamond" w:hAnsi="Garamond"/>
          <w:i w:val="1"/>
          <w:vertAlign w:val="subscript"/>
          <w:rtl w:val="0"/>
        </w:rPr>
        <w:t xml:space="preserve">i</w:t>
      </w:r>
      <w:r w:rsidDel="00000000" w:rsidR="00000000" w:rsidRPr="00000000">
        <w:rPr>
          <w:rFonts w:ascii="Garamond" w:cs="Garamond" w:eastAsia="Garamond" w:hAnsi="Garamond"/>
          <w:rtl w:val="0"/>
        </w:rPr>
        <w:t xml:space="preserve"> is  a binary indicator variable that equals 1 if the individual was randomly assigned to the treatment group (i.e., received the text message reminders) and 0 if assigned to the control group. In the case of non-compliance, T</w:t>
      </w:r>
      <w:r w:rsidDel="00000000" w:rsidR="00000000" w:rsidRPr="00000000">
        <w:rPr>
          <w:rFonts w:ascii="Garamond" w:cs="Garamond" w:eastAsia="Garamond" w:hAnsi="Garamond"/>
          <w:i w:val="1"/>
          <w:vertAlign w:val="subscript"/>
          <w:rtl w:val="0"/>
        </w:rPr>
        <w:t xml:space="preserve">i</w:t>
      </w:r>
      <w:r w:rsidDel="00000000" w:rsidR="00000000" w:rsidRPr="00000000">
        <w:rPr>
          <w:rFonts w:ascii="Garamond" w:cs="Garamond" w:eastAsia="Garamond" w:hAnsi="Garamond"/>
          <w:rtl w:val="0"/>
        </w:rPr>
        <w:t xml:space="preserve"> takes on the value of the original random assignment. </w:t>
      </w:r>
      <m:oMath>
        <m:sSub>
          <m:sSubPr>
            <m:ctrlPr>
              <w:rPr>
                <w:rFonts w:ascii="Garamond" w:cs="Garamond" w:eastAsia="Garamond" w:hAnsi="Garamond"/>
              </w:rPr>
            </m:ctrlPr>
          </m:sSubPr>
          <m:e>
            <m:r>
              <m:t>α</m:t>
            </m:r>
          </m:e>
          <m:sub>
            <m:r>
              <w:rPr>
                <w:rFonts w:ascii="Garamond" w:cs="Garamond" w:eastAsia="Garamond" w:hAnsi="Garamond"/>
              </w:rPr>
              <m:t xml:space="preserve">s</m:t>
            </m:r>
          </m:sub>
        </m:sSub>
      </m:oMath>
      <w:r w:rsidDel="00000000" w:rsidR="00000000" w:rsidRPr="00000000">
        <w:rPr>
          <w:rFonts w:ascii="Garamond" w:cs="Garamond" w:eastAsia="Garamond" w:hAnsi="Garamond"/>
          <w:rtl w:val="0"/>
        </w:rPr>
        <w:t xml:space="preserve"> represents strata fixed effects (e.g., </w:t>
      </w:r>
      <w:r w:rsidDel="00000000" w:rsidR="00000000" w:rsidRPr="00000000">
        <w:rPr>
          <w:rFonts w:ascii="Garamond" w:cs="Garamond" w:eastAsia="Garamond" w:hAnsi="Garamond"/>
          <w:rtl w:val="0"/>
        </w:rPr>
        <w:t xml:space="preserve">randomization-block indicators</w:t>
      </w:r>
      <w:r w:rsidDel="00000000" w:rsidR="00000000" w:rsidRPr="00000000">
        <w:rPr>
          <w:rFonts w:ascii="Garamond" w:cs="Garamond" w:eastAsia="Garamond" w:hAnsi="Garamond"/>
          <w:rtl w:val="0"/>
        </w:rPr>
        <w:t xml:space="preserve">). We will also control for the month/year of randomization fixed effects (</w:t>
      </w:r>
      <m:oMath>
        <m:sSub>
          <m:sSubPr>
            <m:ctrlPr>
              <w:rPr>
                <w:rFonts w:ascii="Garamond" w:cs="Garamond" w:eastAsia="Garamond" w:hAnsi="Garamond"/>
              </w:rPr>
            </m:ctrlPr>
          </m:sSubPr>
          <m:e>
            <m:r>
              <m:t>λ</m:t>
            </m:r>
          </m:e>
          <m:sub>
            <m:r>
              <w:rPr>
                <w:rFonts w:ascii="Garamond" w:cs="Garamond" w:eastAsia="Garamond" w:hAnsi="Garamond"/>
              </w:rPr>
              <m:t xml:space="preserve">t</m:t>
            </m:r>
          </m:sub>
        </m:sSub>
      </m:oMath>
      <w:r w:rsidDel="00000000" w:rsidR="00000000" w:rsidRPr="00000000">
        <w:rPr>
          <w:rFonts w:ascii="Garamond" w:cs="Garamond" w:eastAsia="Garamond" w:hAnsi="Garamond"/>
          <w:rtl w:val="0"/>
        </w:rPr>
        <w:t xml:space="preserve">). The term </w:t>
      </w:r>
      <m:oMath>
        <m:sSub>
          <m:sSubPr>
            <m:ctrlPr>
              <w:rPr>
                <w:rFonts w:ascii="Garamond" w:cs="Garamond" w:eastAsia="Garamond" w:hAnsi="Garamond"/>
              </w:rPr>
            </m:ctrlPr>
          </m:sSubPr>
          <m:e>
            <m:r>
              <m:t>ϵ</m:t>
            </m:r>
          </m:e>
          <m:sub>
            <m:r>
              <w:rPr>
                <w:rFonts w:ascii="Garamond" w:cs="Garamond" w:eastAsia="Garamond" w:hAnsi="Garamond"/>
              </w:rPr>
              <m:t xml:space="preserve">ist</m:t>
            </m:r>
          </m:sub>
        </m:sSub>
      </m:oMath>
      <w:r w:rsidDel="00000000" w:rsidR="00000000" w:rsidRPr="00000000">
        <w:rPr>
          <w:rFonts w:ascii="Garamond" w:cs="Garamond" w:eastAsia="Garamond" w:hAnsi="Garamond"/>
          <w:rtl w:val="0"/>
        </w:rPr>
        <w:t xml:space="preserve">​ is the error term. The coefficient of interest, </w:t>
      </w:r>
      <m:oMath>
        <m:sSub>
          <m:sSubPr>
            <m:ctrlPr>
              <w:rPr>
                <w:rFonts w:ascii="Garamond" w:cs="Garamond" w:eastAsia="Garamond" w:hAnsi="Garamond"/>
              </w:rPr>
            </m:ctrlPr>
          </m:sSubPr>
          <m:e>
            <m:r>
              <m:t>β</m:t>
            </m:r>
          </m:e>
          <m:sub>
            <m:r>
              <w:rPr>
                <w:rFonts w:ascii="Garamond" w:cs="Garamond" w:eastAsia="Garamond" w:hAnsi="Garamond"/>
              </w:rPr>
              <m:t xml:space="preserve">1</m:t>
            </m:r>
          </m:sub>
        </m:sSub>
      </m:oMath>
      <w:r w:rsidDel="00000000" w:rsidR="00000000" w:rsidRPr="00000000">
        <w:rPr>
          <w:rFonts w:ascii="Garamond" w:cs="Garamond" w:eastAsia="Garamond" w:hAnsi="Garamond"/>
          <w:rtl w:val="0"/>
        </w:rPr>
        <w:t xml:space="preserve">​, estimates the average difference in outcomes between the treatment and control groups, capturing the causal effect of being offered the text message reminders, conditional on strata fixed effects. This coefficient, </w:t>
      </w:r>
      <m:oMath>
        <m:sSub>
          <m:sSubPr>
            <m:ctrlPr>
              <w:rPr>
                <w:rFonts w:ascii="Garamond" w:cs="Garamond" w:eastAsia="Garamond" w:hAnsi="Garamond"/>
              </w:rPr>
            </m:ctrlPr>
          </m:sSubPr>
          <m:e>
            <m:r>
              <m:t>β</m:t>
            </m:r>
          </m:e>
          <m:sub>
            <m:r>
              <w:rPr>
                <w:rFonts w:ascii="Garamond" w:cs="Garamond" w:eastAsia="Garamond" w:hAnsi="Garamond"/>
              </w:rPr>
              <m:t xml:space="preserve">1</m:t>
            </m:r>
          </m:sub>
        </m:sSub>
      </m:oMath>
      <w:r w:rsidDel="00000000" w:rsidR="00000000" w:rsidRPr="00000000">
        <w:rPr>
          <w:rFonts w:ascii="Garamond" w:cs="Garamond" w:eastAsia="Garamond" w:hAnsi="Garamond"/>
          <w:rtl w:val="0"/>
        </w:rPr>
        <w:t xml:space="preserve">​, is referred to as the intention-to-treat (ITT) effect. This is our preferred specification, provided that baseline characteristics are balanced across the treatment and control groups.</w:t>
      </w:r>
    </w:p>
    <w:p w:rsidR="00000000" w:rsidDel="00000000" w:rsidP="00000000" w:rsidRDefault="00000000" w:rsidRPr="00000000" w14:paraId="0000004F">
      <w:pPr>
        <w:spacing w:after="200" w:lineRule="auto"/>
        <w:jc w:val="both"/>
        <w:rPr>
          <w:rFonts w:ascii="Garamond" w:cs="Garamond" w:eastAsia="Garamond" w:hAnsi="Garamond"/>
        </w:rPr>
      </w:pPr>
      <w:r w:rsidDel="00000000" w:rsidR="00000000" w:rsidRPr="00000000">
        <w:rPr>
          <w:rFonts w:ascii="Garamond" w:cs="Garamond" w:eastAsia="Garamond" w:hAnsi="Garamond"/>
          <w:rtl w:val="0"/>
        </w:rPr>
        <w:t xml:space="preserve">We will also estimate treatment effects conditional on control vector </w:t>
      </w:r>
      <m:oMath>
        <m:sSub>
          <m:sSubPr>
            <m:ctrlPr>
              <w:rPr>
                <w:rFonts w:ascii="Garamond" w:cs="Garamond" w:eastAsia="Garamond" w:hAnsi="Garamond"/>
              </w:rPr>
            </m:ctrlPr>
          </m:sSubPr>
          <m:e>
            <m:r>
              <w:rPr>
                <w:rFonts w:ascii="Garamond" w:cs="Garamond" w:eastAsia="Garamond" w:hAnsi="Garamond"/>
              </w:rPr>
              <m:t xml:space="preserve">X</m:t>
            </m:r>
          </m:e>
          <m:sub>
            <m:r>
              <w:rPr>
                <w:rFonts w:ascii="Garamond" w:cs="Garamond" w:eastAsia="Garamond" w:hAnsi="Garamond"/>
              </w:rPr>
              <m:t xml:space="preserve">i</m:t>
            </m:r>
          </m:sub>
        </m:sSub>
      </m:oMath>
      <w:r w:rsidDel="00000000" w:rsidR="00000000" w:rsidRPr="00000000">
        <w:rPr>
          <w:rFonts w:ascii="Garamond" w:cs="Garamond" w:eastAsia="Garamond" w:hAnsi="Garamond"/>
          <w:rtl w:val="0"/>
        </w:rPr>
        <w:t xml:space="preserve"> of baseline characteristics to account for any sampling variation in the composition of treatment and control groups:</w:t>
      </w:r>
    </w:p>
    <w:p w:rsidR="00000000" w:rsidDel="00000000" w:rsidP="00000000" w:rsidRDefault="00000000" w:rsidRPr="00000000" w14:paraId="00000050">
      <w:pPr>
        <w:ind w:left="360" w:firstLine="0"/>
        <w:rPr>
          <w:rFonts w:ascii="Garamond" w:cs="Garamond" w:eastAsia="Garamond" w:hAnsi="Garamond"/>
        </w:rPr>
      </w:pPr>
      <w:r w:rsidDel="00000000" w:rsidR="00000000" w:rsidRPr="00000000">
        <w:rPr>
          <w:rtl w:val="0"/>
        </w:rPr>
      </w:r>
    </w:p>
    <w:p w:rsidR="00000000" w:rsidDel="00000000" w:rsidP="00000000" w:rsidRDefault="00000000" w:rsidRPr="00000000" w14:paraId="00000051">
      <w:pPr>
        <w:ind w:left="360" w:firstLine="0"/>
        <w:jc w:val="center"/>
        <w:rPr>
          <w:rFonts w:ascii="Garamond" w:cs="Garamond" w:eastAsia="Garamond" w:hAnsi="Garamond"/>
        </w:rPr>
      </w:pPr>
      <m:oMath>
        <m:sSub>
          <m:sSubPr>
            <m:ctrlPr>
              <w:rPr>
                <w:rFonts w:ascii="Garamond" w:cs="Garamond" w:eastAsia="Garamond" w:hAnsi="Garamond"/>
              </w:rPr>
            </m:ctrlPr>
          </m:sSubPr>
          <m:e>
            <m:r>
              <w:rPr>
                <w:rFonts w:ascii="Garamond" w:cs="Garamond" w:eastAsia="Garamond" w:hAnsi="Garamond"/>
              </w:rPr>
              <m:t xml:space="preserve">Y</m:t>
            </m:r>
          </m:e>
          <m:sub>
            <m:r>
              <w:rPr>
                <w:rFonts w:ascii="Garamond" w:cs="Garamond" w:eastAsia="Garamond" w:hAnsi="Garamond"/>
              </w:rPr>
              <m:t xml:space="preserve">i</m:t>
            </m:r>
          </m:sub>
        </m:sSub>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β</m:t>
            </m:r>
          </m:e>
          <m:sub>
            <m:r>
              <w:rPr>
                <w:rFonts w:ascii="Garamond" w:cs="Garamond" w:eastAsia="Garamond" w:hAnsi="Garamond"/>
              </w:rPr>
              <m:t xml:space="preserve">0</m:t>
            </m:r>
          </m:sub>
        </m:sSub>
        <m:sSub>
          <m:sSubPr>
            <m:ctrlPr>
              <w:rPr>
                <w:rFonts w:ascii="Garamond" w:cs="Garamond" w:eastAsia="Garamond" w:hAnsi="Garamond"/>
              </w:rPr>
            </m:ctrlPr>
          </m:sSubPr>
          <m:e>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β</m:t>
                </m:r>
              </m:e>
              <m:sub>
                <m:r>
                  <w:rPr>
                    <w:rFonts w:ascii="Garamond" w:cs="Garamond" w:eastAsia="Garamond" w:hAnsi="Garamond"/>
                  </w:rPr>
                  <m:t xml:space="preserve">1</m:t>
                </m:r>
              </m:sub>
            </m:sSub>
            <m:r>
              <w:rPr>
                <w:rFonts w:ascii="Garamond" w:cs="Garamond" w:eastAsia="Garamond" w:hAnsi="Garamond"/>
              </w:rPr>
              <m:t xml:space="preserve">T</m:t>
            </m:r>
          </m:e>
          <m:sub>
            <m:r>
              <w:rPr>
                <w:rFonts w:ascii="Garamond" w:cs="Garamond" w:eastAsia="Garamond" w:hAnsi="Garamond"/>
              </w:rPr>
              <m:t xml:space="preserve">i</m:t>
            </m:r>
          </m:sub>
        </m:sSub>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 xml:space="preserve">X</m:t>
            </m:r>
          </m:e>
          <m:sub>
            <m:r>
              <w:rPr>
                <w:rFonts w:ascii="Garamond" w:cs="Garamond" w:eastAsia="Garamond" w:hAnsi="Garamond"/>
              </w:rPr>
              <m:t xml:space="preserve">i</m:t>
            </m:r>
          </m:sub>
        </m:sSub>
        <m:r>
          <w:rPr>
            <w:rFonts w:ascii="Garamond" w:cs="Garamond" w:eastAsia="Garamond" w:hAnsi="Garamond"/>
          </w:rPr>
          <m:t>δ</m:t>
        </m:r>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α</m:t>
            </m:r>
          </m:e>
          <m:sub>
            <m:r>
              <w:rPr>
                <w:rFonts w:ascii="Garamond" w:cs="Garamond" w:eastAsia="Garamond" w:hAnsi="Garamond"/>
              </w:rPr>
              <m:t xml:space="preserve">s</m:t>
            </m:r>
          </m:sub>
        </m:sSub>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λ</m:t>
            </m:r>
          </m:e>
          <m:sub>
            <m:r>
              <w:rPr>
                <w:rFonts w:ascii="Garamond" w:cs="Garamond" w:eastAsia="Garamond" w:hAnsi="Garamond"/>
              </w:rPr>
              <m:t xml:space="preserve">t</m:t>
            </m:r>
          </m:sub>
        </m:sSub>
        <m:r>
          <w:rPr>
            <w:rFonts w:ascii="Garamond" w:cs="Garamond" w:eastAsia="Garamond" w:hAnsi="Garamond"/>
          </w:rPr>
          <m:t xml:space="preserve">+</m:t>
        </m:r>
        <m:sSub>
          <m:sSubPr>
            <m:ctrlPr>
              <w:rPr>
                <w:rFonts w:ascii="Garamond" w:cs="Garamond" w:eastAsia="Garamond" w:hAnsi="Garamond"/>
              </w:rPr>
            </m:ctrlPr>
          </m:sSubPr>
          <m:e>
            <m:r>
              <w:rPr>
                <w:rFonts w:ascii="Garamond" w:cs="Garamond" w:eastAsia="Garamond" w:hAnsi="Garamond"/>
              </w:rPr>
              <m:t>ϵ</m:t>
            </m:r>
          </m:e>
          <m:sub>
            <m:r>
              <w:rPr>
                <w:rFonts w:ascii="Garamond" w:cs="Garamond" w:eastAsia="Garamond" w:hAnsi="Garamond"/>
              </w:rPr>
              <m:t xml:space="preserve">islt</m:t>
            </m:r>
          </m:sub>
        </m:sSub>
      </m:oMath>
      <w:r w:rsidDel="00000000" w:rsidR="00000000" w:rsidRPr="00000000">
        <w:rPr>
          <w:rtl w:val="0"/>
        </w:rPr>
      </w:r>
    </w:p>
    <w:p w:rsidR="00000000" w:rsidDel="00000000" w:rsidP="00000000" w:rsidRDefault="00000000" w:rsidRPr="00000000" w14:paraId="00000052">
      <w:pPr>
        <w:ind w:left="360" w:firstLine="0"/>
        <w:rPr>
          <w:rFonts w:ascii="Garamond" w:cs="Garamond" w:eastAsia="Garamond" w:hAnsi="Garamond"/>
        </w:rPr>
      </w:pPr>
      <w:r w:rsidDel="00000000" w:rsidR="00000000" w:rsidRPr="00000000">
        <w:rPr>
          <w:rtl w:val="0"/>
        </w:rPr>
      </w:r>
    </w:p>
    <w:p w:rsidR="00000000" w:rsidDel="00000000" w:rsidP="00000000" w:rsidRDefault="00000000" w:rsidRPr="00000000" w14:paraId="00000053">
      <w:pPr>
        <w:spacing w:after="200" w:lineRule="auto"/>
        <w:ind w:left="0" w:firstLine="0"/>
        <w:rPr>
          <w:rFonts w:ascii="Garamond" w:cs="Garamond" w:eastAsia="Garamond" w:hAnsi="Garamond"/>
        </w:rPr>
      </w:pPr>
      <w:r w:rsidDel="00000000" w:rsidR="00000000" w:rsidRPr="00000000">
        <w:rPr>
          <w:rFonts w:ascii="Garamond" w:cs="Garamond" w:eastAsia="Garamond" w:hAnsi="Garamond"/>
          <w:rtl w:val="0"/>
        </w:rPr>
        <w:t xml:space="preserve">where </w:t>
      </w:r>
      <m:oMath>
        <m:sSub>
          <m:sSubPr>
            <m:ctrlPr>
              <w:rPr>
                <w:rFonts w:ascii="Garamond" w:cs="Garamond" w:eastAsia="Garamond" w:hAnsi="Garamond"/>
              </w:rPr>
            </m:ctrlPr>
          </m:sSubPr>
          <m:e>
            <m:r>
              <w:rPr>
                <w:rFonts w:ascii="Garamond" w:cs="Garamond" w:eastAsia="Garamond" w:hAnsi="Garamond"/>
              </w:rPr>
              <m:t xml:space="preserve">X</m:t>
            </m:r>
          </m:e>
          <m:sub>
            <m:r>
              <w:rPr>
                <w:rFonts w:ascii="Garamond" w:cs="Garamond" w:eastAsia="Garamond" w:hAnsi="Garamond"/>
              </w:rPr>
              <m:t xml:space="preserve">i</m:t>
            </m:r>
          </m:sub>
        </m:sSub>
      </m:oMath>
      <w:r w:rsidDel="00000000" w:rsidR="00000000" w:rsidRPr="00000000">
        <w:rPr>
          <w:rFonts w:ascii="Garamond" w:cs="Garamond" w:eastAsia="Garamond" w:hAnsi="Garamond"/>
          <w:rtl w:val="0"/>
        </w:rPr>
        <w:t xml:space="preserve"> includes a set of individual-level characteristics collected at baseline </w:t>
      </w:r>
      <w:r w:rsidDel="00000000" w:rsidR="00000000" w:rsidRPr="00000000">
        <w:rPr>
          <w:rFonts w:ascii="Garamond" w:cs="Garamond" w:eastAsia="Garamond" w:hAnsi="Garamond"/>
          <w:rtl w:val="0"/>
        </w:rPr>
        <w:t xml:space="preserve">such as baseline, </w:t>
      </w:r>
      <w:r w:rsidDel="00000000" w:rsidR="00000000" w:rsidRPr="00000000">
        <w:rPr>
          <w:rFonts w:ascii="Garamond" w:cs="Garamond" w:eastAsia="Garamond" w:hAnsi="Garamond"/>
          <w:rtl w:val="0"/>
        </w:rPr>
        <w:t xml:space="preserve">such as age, gender, household type, and prior SNAP application history. Standard errors will be clustered at the strata-level, and we will also report permuted p-values for our main outcomes.</w:t>
      </w:r>
      <w:r w:rsidDel="00000000" w:rsidR="00000000" w:rsidRPr="00000000">
        <w:rPr>
          <w:rFonts w:ascii="Garamond" w:cs="Garamond" w:eastAsia="Garamond" w:hAnsi="Garamond"/>
          <w:vertAlign w:val="superscript"/>
        </w:rPr>
        <w:footnoteReference w:customMarkFollows="0" w:id="0"/>
      </w:r>
      <w:r w:rsidDel="00000000" w:rsidR="00000000" w:rsidRPr="00000000">
        <w:rPr>
          <w:rtl w:val="0"/>
        </w:rPr>
      </w:r>
    </w:p>
    <w:p w:rsidR="00000000" w:rsidDel="00000000" w:rsidP="00000000" w:rsidRDefault="00000000" w:rsidRPr="00000000" w14:paraId="00000054">
      <w:pPr>
        <w:numPr>
          <w:ilvl w:val="1"/>
          <w:numId w:val="7"/>
        </w:numPr>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Standard Errors</w:t>
      </w:r>
    </w:p>
    <w:p w:rsidR="00000000" w:rsidDel="00000000" w:rsidP="00000000" w:rsidRDefault="00000000" w:rsidRPr="00000000" w14:paraId="00000055">
      <w:pPr>
        <w:spacing w:after="200" w:line="259" w:lineRule="auto"/>
        <w:ind w:left="0" w:firstLine="0"/>
        <w:jc w:val="both"/>
        <w:rPr>
          <w:rFonts w:ascii="Garamond" w:cs="Garamond" w:eastAsia="Garamond" w:hAnsi="Garamond"/>
          <w:i w:val="1"/>
        </w:rPr>
      </w:pPr>
      <w:r w:rsidDel="00000000" w:rsidR="00000000" w:rsidRPr="00000000">
        <w:rPr>
          <w:rFonts w:ascii="Garamond" w:cs="Garamond" w:eastAsia="Garamond" w:hAnsi="Garamond"/>
          <w:rtl w:val="0"/>
        </w:rPr>
        <w:t xml:space="preserve">We will use simple heteroskedasticity-robust standard errors.</w:t>
      </w:r>
      <w:r w:rsidDel="00000000" w:rsidR="00000000" w:rsidRPr="00000000">
        <w:rPr>
          <w:rtl w:val="0"/>
        </w:rPr>
      </w:r>
    </w:p>
    <w:p w:rsidR="00000000" w:rsidDel="00000000" w:rsidP="00000000" w:rsidRDefault="00000000" w:rsidRPr="00000000" w14:paraId="00000056">
      <w:pPr>
        <w:numPr>
          <w:ilvl w:val="1"/>
          <w:numId w:val="7"/>
        </w:numPr>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Covariates</w:t>
      </w:r>
      <w:r w:rsidDel="00000000" w:rsidR="00000000" w:rsidRPr="00000000">
        <w:rPr>
          <w:rtl w:val="0"/>
        </w:rPr>
      </w:r>
    </w:p>
    <w:p w:rsidR="00000000" w:rsidDel="00000000" w:rsidP="00000000" w:rsidRDefault="00000000" w:rsidRPr="00000000" w14:paraId="00000057">
      <w:pPr>
        <w:spacing w:after="240" w:before="0" w:lineRule="auto"/>
        <w:rPr>
          <w:rFonts w:ascii="Garamond" w:cs="Garamond" w:eastAsia="Garamond" w:hAnsi="Garamond"/>
        </w:rPr>
      </w:pPr>
      <w:r w:rsidDel="00000000" w:rsidR="00000000" w:rsidRPr="00000000">
        <w:rPr>
          <w:rFonts w:ascii="Garamond" w:cs="Garamond" w:eastAsia="Garamond" w:hAnsi="Garamond"/>
          <w:rtl w:val="0"/>
        </w:rPr>
        <w:t xml:space="preserve">To increase the precision of our estimates, the following covariates will be included in the regression models:</w:t>
      </w:r>
    </w:p>
    <w:p w:rsidR="00000000" w:rsidDel="00000000" w:rsidP="00000000" w:rsidRDefault="00000000" w:rsidRPr="00000000" w14:paraId="00000058">
      <w:pPr>
        <w:numPr>
          <w:ilvl w:val="0"/>
          <w:numId w:val="4"/>
        </w:numPr>
        <w:spacing w:after="0" w:afterAutospacing="0" w:before="0" w:lineRule="auto"/>
        <w:ind w:left="1440" w:hanging="360"/>
        <w:rPr>
          <w:rFonts w:ascii="Garamond" w:cs="Garamond" w:eastAsia="Garamond" w:hAnsi="Garamond"/>
        </w:rPr>
      </w:pPr>
      <w:r w:rsidDel="00000000" w:rsidR="00000000" w:rsidRPr="00000000">
        <w:rPr>
          <w:rFonts w:ascii="Garamond" w:cs="Garamond" w:eastAsia="Garamond" w:hAnsi="Garamond"/>
          <w:rtl w:val="0"/>
        </w:rPr>
        <w:t xml:space="preserve">Demographics:</w:t>
      </w:r>
    </w:p>
    <w:p w:rsidR="00000000" w:rsidDel="00000000" w:rsidP="00000000" w:rsidRDefault="00000000" w:rsidRPr="00000000" w14:paraId="00000059">
      <w:pPr>
        <w:numPr>
          <w:ilvl w:val="1"/>
          <w:numId w:val="4"/>
        </w:numPr>
        <w:ind w:left="2160" w:hanging="360"/>
        <w:rPr>
          <w:rFonts w:ascii="Garamond" w:cs="Garamond" w:eastAsia="Garamond" w:hAnsi="Garamond"/>
        </w:rPr>
      </w:pPr>
      <w:r w:rsidDel="00000000" w:rsidR="00000000" w:rsidRPr="00000000">
        <w:rPr>
          <w:rFonts w:ascii="Garamond" w:cs="Garamond" w:eastAsia="Garamond" w:hAnsi="Garamond"/>
          <w:rtl w:val="0"/>
        </w:rPr>
        <w:t xml:space="preserve">Race and ethnicity (set of mutually exclusive variables)</w:t>
      </w:r>
    </w:p>
    <w:p w:rsidR="00000000" w:rsidDel="00000000" w:rsidP="00000000" w:rsidRDefault="00000000" w:rsidRPr="00000000" w14:paraId="0000005A">
      <w:pPr>
        <w:numPr>
          <w:ilvl w:val="1"/>
          <w:numId w:val="4"/>
        </w:numPr>
        <w:ind w:left="2160" w:hanging="360"/>
        <w:rPr>
          <w:rFonts w:ascii="Garamond" w:cs="Garamond" w:eastAsia="Garamond" w:hAnsi="Garamond"/>
        </w:rPr>
      </w:pPr>
      <w:r w:rsidDel="00000000" w:rsidR="00000000" w:rsidRPr="00000000">
        <w:rPr>
          <w:rFonts w:ascii="Garamond" w:cs="Garamond" w:eastAsia="Garamond" w:hAnsi="Garamond"/>
          <w:rtl w:val="0"/>
        </w:rPr>
        <w:t xml:space="preserve">Gender (1 = female, 0 otherwise)</w:t>
      </w:r>
    </w:p>
    <w:p w:rsidR="00000000" w:rsidDel="00000000" w:rsidP="00000000" w:rsidRDefault="00000000" w:rsidRPr="00000000" w14:paraId="0000005B">
      <w:pPr>
        <w:numPr>
          <w:ilvl w:val="1"/>
          <w:numId w:val="4"/>
        </w:numPr>
        <w:ind w:left="2160" w:hanging="360"/>
        <w:rPr>
          <w:rFonts w:ascii="Garamond" w:cs="Garamond" w:eastAsia="Garamond" w:hAnsi="Garamond"/>
        </w:rPr>
      </w:pPr>
      <w:r w:rsidDel="00000000" w:rsidR="00000000" w:rsidRPr="00000000">
        <w:rPr>
          <w:rFonts w:ascii="Garamond" w:cs="Garamond" w:eastAsia="Garamond" w:hAnsi="Garamond"/>
          <w:rtl w:val="0"/>
        </w:rPr>
        <w:t xml:space="preserve">Age (and age squared to capture potential non-linear effects)</w:t>
      </w:r>
    </w:p>
    <w:p w:rsidR="00000000" w:rsidDel="00000000" w:rsidP="00000000" w:rsidRDefault="00000000" w:rsidRPr="00000000" w14:paraId="0000005C">
      <w:pPr>
        <w:numPr>
          <w:ilvl w:val="1"/>
          <w:numId w:val="4"/>
        </w:numPr>
        <w:ind w:left="2160" w:hanging="360"/>
        <w:rPr>
          <w:rFonts w:ascii="Garamond" w:cs="Garamond" w:eastAsia="Garamond" w:hAnsi="Garamond"/>
        </w:rPr>
      </w:pPr>
      <w:r w:rsidDel="00000000" w:rsidR="00000000" w:rsidRPr="00000000">
        <w:rPr>
          <w:rFonts w:ascii="Garamond" w:cs="Garamond" w:eastAsia="Garamond" w:hAnsi="Garamond"/>
          <w:rtl w:val="0"/>
        </w:rPr>
        <w:t xml:space="preserve">Marital status</w:t>
      </w:r>
    </w:p>
    <w:p w:rsidR="00000000" w:rsidDel="00000000" w:rsidP="00000000" w:rsidRDefault="00000000" w:rsidRPr="00000000" w14:paraId="0000005D">
      <w:pPr>
        <w:numPr>
          <w:ilvl w:val="1"/>
          <w:numId w:val="4"/>
        </w:numPr>
        <w:ind w:left="2160" w:hanging="360"/>
        <w:rPr>
          <w:rFonts w:ascii="Garamond" w:cs="Garamond" w:eastAsia="Garamond" w:hAnsi="Garamond"/>
        </w:rPr>
      </w:pPr>
      <w:r w:rsidDel="00000000" w:rsidR="00000000" w:rsidRPr="00000000">
        <w:rPr>
          <w:rFonts w:ascii="Garamond" w:cs="Garamond" w:eastAsia="Garamond" w:hAnsi="Garamond"/>
          <w:rtl w:val="0"/>
        </w:rPr>
        <w:t xml:space="preserve">Veteran status</w:t>
      </w:r>
    </w:p>
    <w:p w:rsidR="00000000" w:rsidDel="00000000" w:rsidP="00000000" w:rsidRDefault="00000000" w:rsidRPr="00000000" w14:paraId="0000005E">
      <w:pPr>
        <w:numPr>
          <w:ilvl w:val="1"/>
          <w:numId w:val="4"/>
        </w:numPr>
        <w:ind w:left="2160" w:hanging="360"/>
        <w:rPr>
          <w:rFonts w:ascii="Garamond" w:cs="Garamond" w:eastAsia="Garamond" w:hAnsi="Garamond"/>
        </w:rPr>
      </w:pPr>
      <w:r w:rsidDel="00000000" w:rsidR="00000000" w:rsidRPr="00000000">
        <w:rPr>
          <w:rFonts w:ascii="Garamond" w:cs="Garamond" w:eastAsia="Garamond" w:hAnsi="Garamond"/>
          <w:rtl w:val="0"/>
        </w:rPr>
        <w:t xml:space="preserve">Disability status</w:t>
      </w:r>
    </w:p>
    <w:p w:rsidR="00000000" w:rsidDel="00000000" w:rsidP="00000000" w:rsidRDefault="00000000" w:rsidRPr="00000000" w14:paraId="0000005F">
      <w:pPr>
        <w:numPr>
          <w:ilvl w:val="1"/>
          <w:numId w:val="4"/>
        </w:numPr>
        <w:ind w:left="2160" w:hanging="360"/>
        <w:rPr>
          <w:rFonts w:ascii="Garamond" w:cs="Garamond" w:eastAsia="Garamond" w:hAnsi="Garamond"/>
        </w:rPr>
      </w:pPr>
      <w:r w:rsidDel="00000000" w:rsidR="00000000" w:rsidRPr="00000000">
        <w:rPr>
          <w:rFonts w:ascii="Garamond" w:cs="Garamond" w:eastAsia="Garamond" w:hAnsi="Garamond"/>
          <w:rtl w:val="0"/>
        </w:rPr>
        <w:t xml:space="preserve">Employment status</w:t>
      </w:r>
    </w:p>
    <w:p w:rsidR="00000000" w:rsidDel="00000000" w:rsidP="00000000" w:rsidRDefault="00000000" w:rsidRPr="00000000" w14:paraId="00000060">
      <w:pPr>
        <w:numPr>
          <w:ilvl w:val="0"/>
          <w:numId w:val="4"/>
        </w:numPr>
        <w:spacing w:after="0" w:afterAutospacing="0" w:before="0" w:lineRule="auto"/>
        <w:ind w:left="1440" w:hanging="360"/>
        <w:rPr>
          <w:rFonts w:ascii="Garamond" w:cs="Garamond" w:eastAsia="Garamond" w:hAnsi="Garamond"/>
        </w:rPr>
      </w:pPr>
      <w:r w:rsidDel="00000000" w:rsidR="00000000" w:rsidRPr="00000000">
        <w:rPr>
          <w:rFonts w:ascii="Garamond" w:cs="Garamond" w:eastAsia="Garamond" w:hAnsi="Garamond"/>
          <w:rtl w:val="0"/>
        </w:rPr>
        <w:t xml:space="preserve">Household characteristics</w:t>
      </w:r>
    </w:p>
    <w:p w:rsidR="00000000" w:rsidDel="00000000" w:rsidP="00000000" w:rsidRDefault="00000000" w:rsidRPr="00000000" w14:paraId="00000061">
      <w:pPr>
        <w:numPr>
          <w:ilvl w:val="1"/>
          <w:numId w:val="4"/>
        </w:numPr>
        <w:ind w:left="2160" w:hanging="360"/>
        <w:rPr>
          <w:rFonts w:ascii="Garamond" w:cs="Garamond" w:eastAsia="Garamond" w:hAnsi="Garamond"/>
        </w:rPr>
      </w:pPr>
      <w:r w:rsidDel="00000000" w:rsidR="00000000" w:rsidRPr="00000000">
        <w:rPr>
          <w:rFonts w:ascii="Garamond" w:cs="Garamond" w:eastAsia="Garamond" w:hAnsi="Garamond"/>
          <w:rtl w:val="0"/>
        </w:rPr>
        <w:t xml:space="preserve">Number of individuals in the household</w:t>
      </w:r>
    </w:p>
    <w:p w:rsidR="00000000" w:rsidDel="00000000" w:rsidP="00000000" w:rsidRDefault="00000000" w:rsidRPr="00000000" w14:paraId="00000062">
      <w:pPr>
        <w:numPr>
          <w:ilvl w:val="0"/>
          <w:numId w:val="4"/>
        </w:numPr>
        <w:ind w:left="1440" w:hanging="360"/>
        <w:rPr>
          <w:rFonts w:ascii="Garamond" w:cs="Garamond" w:eastAsia="Garamond" w:hAnsi="Garamond"/>
        </w:rPr>
      </w:pPr>
      <w:r w:rsidDel="00000000" w:rsidR="00000000" w:rsidRPr="00000000">
        <w:rPr>
          <w:rFonts w:ascii="Garamond" w:cs="Garamond" w:eastAsia="Garamond" w:hAnsi="Garamond"/>
          <w:rtl w:val="0"/>
        </w:rPr>
        <w:t xml:space="preserve">Prior use of NTFB services</w:t>
      </w:r>
      <w:r w:rsidDel="00000000" w:rsidR="00000000" w:rsidRPr="00000000">
        <w:rPr>
          <w:rtl w:val="0"/>
        </w:rPr>
      </w:r>
    </w:p>
    <w:p w:rsidR="00000000" w:rsidDel="00000000" w:rsidP="00000000" w:rsidRDefault="00000000" w:rsidRPr="00000000" w14:paraId="00000063">
      <w:pPr>
        <w:numPr>
          <w:ilvl w:val="1"/>
          <w:numId w:val="4"/>
        </w:numPr>
        <w:spacing w:after="0" w:before="0" w:lineRule="auto"/>
        <w:ind w:left="2160" w:hanging="360"/>
        <w:rPr>
          <w:rFonts w:ascii="Garamond" w:cs="Garamond" w:eastAsia="Garamond" w:hAnsi="Garamond"/>
        </w:rPr>
      </w:pPr>
      <w:r w:rsidDel="00000000" w:rsidR="00000000" w:rsidRPr="00000000">
        <w:rPr>
          <w:rFonts w:ascii="Garamond" w:cs="Garamond" w:eastAsia="Garamond" w:hAnsi="Garamond"/>
          <w:rtl w:val="0"/>
        </w:rPr>
        <w:t xml:space="preserve">Number of prior contacts with NTFB within the two years leading up to randomization.</w:t>
      </w:r>
    </w:p>
    <w:p w:rsidR="00000000" w:rsidDel="00000000" w:rsidP="00000000" w:rsidRDefault="00000000" w:rsidRPr="00000000" w14:paraId="00000064">
      <w:pPr>
        <w:spacing w:after="0" w:before="0" w:lineRule="auto"/>
        <w:ind w:left="2160" w:firstLine="0"/>
        <w:rPr>
          <w:rFonts w:ascii="Garamond" w:cs="Garamond" w:eastAsia="Garamond" w:hAnsi="Garamond"/>
        </w:rPr>
      </w:pPr>
      <w:r w:rsidDel="00000000" w:rsidR="00000000" w:rsidRPr="00000000">
        <w:rPr>
          <w:rtl w:val="0"/>
        </w:rPr>
      </w:r>
    </w:p>
    <w:p w:rsidR="00000000" w:rsidDel="00000000" w:rsidP="00000000" w:rsidRDefault="00000000" w:rsidRPr="00000000" w14:paraId="00000065">
      <w:pPr>
        <w:numPr>
          <w:ilvl w:val="1"/>
          <w:numId w:val="7"/>
        </w:numPr>
        <w:ind w:left="720" w:hanging="360"/>
        <w:rPr>
          <w:rFonts w:ascii="Garamond" w:cs="Garamond" w:eastAsia="Garamond" w:hAnsi="Garamond"/>
          <w:i w:val="1"/>
        </w:rPr>
      </w:pPr>
      <w:r w:rsidDel="00000000" w:rsidR="00000000" w:rsidRPr="00000000">
        <w:rPr>
          <w:rFonts w:ascii="Garamond" w:cs="Garamond" w:eastAsia="Garamond" w:hAnsi="Garamond"/>
          <w:i w:val="1"/>
          <w:rtl w:val="0"/>
        </w:rPr>
        <w:t xml:space="preserve">Multiple Hypothesis Testing</w:t>
      </w:r>
      <w:r w:rsidDel="00000000" w:rsidR="00000000" w:rsidRPr="00000000">
        <w:rPr>
          <w:rtl w:val="0"/>
        </w:rPr>
      </w:r>
    </w:p>
    <w:p w:rsidR="00000000" w:rsidDel="00000000" w:rsidP="00000000" w:rsidRDefault="00000000" w:rsidRPr="00000000" w14:paraId="00000066">
      <w:pPr>
        <w:ind w:left="720" w:firstLine="0"/>
        <w:rPr>
          <w:rFonts w:ascii="Garamond" w:cs="Garamond" w:eastAsia="Garamond" w:hAnsi="Garamond"/>
        </w:rPr>
      </w:pPr>
      <w:r w:rsidDel="00000000" w:rsidR="00000000" w:rsidRPr="00000000">
        <w:rPr>
          <w:rFonts w:ascii="Garamond" w:cs="Garamond" w:eastAsia="Garamond" w:hAnsi="Garamond"/>
          <w:rtl w:val="0"/>
        </w:rPr>
        <w:t xml:space="preserve">Given that the primary outcome of interest is SNAP enrollment, our analysis will focus on this single outcome domain. To address concerns about multiple hypothesis testing, we will report conventional p-values for our main analysis. As our study focuses on a single primary outcome, concerns about inflated Type I error rates due to multiple comparisons are minimal. However, we will remain transparent in our reporting by providing detailed descriptions of all analyses conducted, including any exploratory analyses that may extend beyond our primary hypotheses.</w:t>
      </w:r>
    </w:p>
    <w:p w:rsidR="00000000" w:rsidDel="00000000" w:rsidP="00000000" w:rsidRDefault="00000000" w:rsidRPr="00000000" w14:paraId="00000067">
      <w:pPr>
        <w:ind w:left="720" w:firstLine="0"/>
        <w:rPr>
          <w:rFonts w:ascii="Garamond" w:cs="Garamond" w:eastAsia="Garamond" w:hAnsi="Garamond"/>
          <w:b w:val="1"/>
        </w:rPr>
      </w:pPr>
      <w:r w:rsidDel="00000000" w:rsidR="00000000" w:rsidRPr="00000000">
        <w:rPr>
          <w:rFonts w:ascii="Garamond" w:cs="Garamond" w:eastAsia="Garamond" w:hAnsi="Garamond"/>
          <w:rtl w:val="0"/>
        </w:rPr>
        <w:t xml:space="preserve">In all analyses, heteroskedasticity-robust standard errors will be used to account for potential heteroskedasticity in the error terms. Additionally, standard errors will be clustered at the level of the organization by month to account for potential correlations within the treatment and control groups over time.</w:t>
      </w:r>
      <w:r w:rsidDel="00000000" w:rsidR="00000000" w:rsidRPr="00000000">
        <w:rPr>
          <w:rtl w:val="0"/>
        </w:rPr>
      </w:r>
    </w:p>
    <w:p w:rsidR="00000000" w:rsidDel="00000000" w:rsidP="00000000" w:rsidRDefault="00000000" w:rsidRPr="00000000" w14:paraId="00000068">
      <w:pPr>
        <w:spacing w:after="200" w:lineRule="auto"/>
        <w:ind w:left="0" w:firstLine="0"/>
        <w:rPr>
          <w:rFonts w:ascii="Garamond" w:cs="Garamond" w:eastAsia="Garamond" w:hAnsi="Garamond"/>
          <w:b w:val="1"/>
        </w:rPr>
      </w:pPr>
      <w:r w:rsidDel="00000000" w:rsidR="00000000" w:rsidRPr="00000000">
        <w:rPr>
          <w:rtl w:val="0"/>
        </w:rPr>
      </w:r>
    </w:p>
    <w:p w:rsidR="00000000" w:rsidDel="00000000" w:rsidP="00000000" w:rsidRDefault="00000000" w:rsidRPr="00000000" w14:paraId="00000069">
      <w:pPr>
        <w:spacing w:after="200" w:lineRule="auto"/>
        <w:ind w:left="0" w:firstLine="0"/>
        <w:rPr>
          <w:rFonts w:ascii="Garamond" w:cs="Garamond" w:eastAsia="Garamond" w:hAnsi="Garamond"/>
          <w:b w:val="1"/>
        </w:rPr>
      </w:pPr>
      <w:r w:rsidDel="00000000" w:rsidR="00000000" w:rsidRPr="00000000">
        <w:br w:type="page"/>
      </w:r>
      <w:r w:rsidDel="00000000" w:rsidR="00000000" w:rsidRPr="00000000">
        <w:rPr>
          <w:rtl w:val="0"/>
        </w:rPr>
      </w:r>
    </w:p>
    <w:p w:rsidR="00000000" w:rsidDel="00000000" w:rsidP="00000000" w:rsidRDefault="00000000" w:rsidRPr="00000000" w14:paraId="0000006A">
      <w:pPr>
        <w:spacing w:after="200" w:lineRule="auto"/>
        <w:ind w:left="0" w:firstLine="0"/>
        <w:rPr>
          <w:rFonts w:ascii="Garamond" w:cs="Garamond" w:eastAsia="Garamond" w:hAnsi="Garamond"/>
          <w:b w:val="1"/>
        </w:rPr>
      </w:pPr>
      <w:r w:rsidDel="00000000" w:rsidR="00000000" w:rsidRPr="00000000">
        <w:rPr>
          <w:rFonts w:ascii="Garamond" w:cs="Garamond" w:eastAsia="Garamond" w:hAnsi="Garamond"/>
          <w:b w:val="1"/>
          <w:rtl w:val="0"/>
        </w:rPr>
        <w:t xml:space="preserve">References</w:t>
      </w:r>
      <w:r w:rsidDel="00000000" w:rsidR="00000000" w:rsidRPr="00000000">
        <w:rPr>
          <w:rtl w:val="0"/>
        </w:rPr>
      </w:r>
    </w:p>
    <w:p w:rsidR="00000000" w:rsidDel="00000000" w:rsidP="00000000" w:rsidRDefault="00000000" w:rsidRPr="00000000" w14:paraId="0000006B">
      <w:pPr>
        <w:spacing w:after="200" w:line="240" w:lineRule="auto"/>
        <w:ind w:left="720"/>
        <w:rPr>
          <w:rFonts w:ascii="Garamond" w:cs="Garamond" w:eastAsia="Garamond" w:hAnsi="Garamond"/>
        </w:rPr>
      </w:pPr>
      <w:r w:rsidDel="00000000" w:rsidR="00000000" w:rsidRPr="00000000">
        <w:rPr>
          <w:rFonts w:ascii="Garamond" w:cs="Garamond" w:eastAsia="Garamond" w:hAnsi="Garamond"/>
          <w:color w:val="222222"/>
          <w:highlight w:val="white"/>
          <w:rtl w:val="0"/>
        </w:rPr>
        <w:t xml:space="preserve">Abadie, A., Athey, S., Imbens, G. W., &amp; Wooldridge, J. M. (2023). When should you adjust standard errors for clustering?. </w:t>
      </w:r>
      <w:r w:rsidDel="00000000" w:rsidR="00000000" w:rsidRPr="00000000">
        <w:rPr>
          <w:rFonts w:ascii="Garamond" w:cs="Garamond" w:eastAsia="Garamond" w:hAnsi="Garamond"/>
          <w:i w:val="1"/>
          <w:color w:val="222222"/>
          <w:highlight w:val="white"/>
          <w:rtl w:val="0"/>
        </w:rPr>
        <w:t xml:space="preserve">The Quarterly Journal of Economics</w:t>
      </w:r>
      <w:r w:rsidDel="00000000" w:rsidR="00000000" w:rsidRPr="00000000">
        <w:rPr>
          <w:rFonts w:ascii="Garamond" w:cs="Garamond" w:eastAsia="Garamond" w:hAnsi="Garamond"/>
          <w:color w:val="222222"/>
          <w:highlight w:val="white"/>
          <w:rtl w:val="0"/>
        </w:rPr>
        <w:t xml:space="preserve">, </w:t>
      </w:r>
      <w:r w:rsidDel="00000000" w:rsidR="00000000" w:rsidRPr="00000000">
        <w:rPr>
          <w:rFonts w:ascii="Garamond" w:cs="Garamond" w:eastAsia="Garamond" w:hAnsi="Garamond"/>
          <w:i w:val="1"/>
          <w:color w:val="222222"/>
          <w:highlight w:val="white"/>
          <w:rtl w:val="0"/>
        </w:rPr>
        <w:t xml:space="preserve">138</w:t>
      </w:r>
      <w:r w:rsidDel="00000000" w:rsidR="00000000" w:rsidRPr="00000000">
        <w:rPr>
          <w:rFonts w:ascii="Garamond" w:cs="Garamond" w:eastAsia="Garamond" w:hAnsi="Garamond"/>
          <w:color w:val="222222"/>
          <w:highlight w:val="white"/>
          <w:rtl w:val="0"/>
        </w:rPr>
        <w:t xml:space="preserve">(1), 1-35.</w:t>
      </w:r>
      <w:r w:rsidDel="00000000" w:rsidR="00000000" w:rsidRPr="00000000">
        <w:rPr>
          <w:rtl w:val="0"/>
        </w:rPr>
      </w:r>
    </w:p>
    <w:p w:rsidR="00000000" w:rsidDel="00000000" w:rsidP="00000000" w:rsidRDefault="00000000" w:rsidRPr="00000000" w14:paraId="0000006C">
      <w:pPr>
        <w:spacing w:after="200" w:lineRule="auto"/>
        <w:ind w:left="431.99999999999994" w:hanging="431.99999999999994"/>
        <w:rPr>
          <w:rFonts w:ascii="Garamond" w:cs="Garamond" w:eastAsia="Garamond" w:hAnsi="Garamond"/>
        </w:rPr>
      </w:pPr>
      <w:r w:rsidDel="00000000" w:rsidR="00000000" w:rsidRPr="00000000">
        <w:rPr>
          <w:rFonts w:ascii="Garamond" w:cs="Garamond" w:eastAsia="Garamond" w:hAnsi="Garamond"/>
          <w:rtl w:val="0"/>
        </w:rPr>
        <w:t xml:space="preserve">Daponte, B. O., Sanders, S., &amp; Taylor, L. (1999). Why do low-income households not use food stamps? Evidence from an experiment. The Journal of Human Resources, 34(3), 612–628.</w:t>
      </w:r>
      <w:hyperlink r:id="rId7">
        <w:r w:rsidDel="00000000" w:rsidR="00000000" w:rsidRPr="00000000">
          <w:rPr>
            <w:rFonts w:ascii="Garamond" w:cs="Garamond" w:eastAsia="Garamond" w:hAnsi="Garamond"/>
            <w:color w:val="1155cc"/>
            <w:u w:val="single"/>
            <w:rtl w:val="0"/>
          </w:rPr>
          <w:t xml:space="preserve"> https://doi.org/10.2307/146382</w:t>
        </w:r>
      </w:hyperlink>
      <w:r w:rsidDel="00000000" w:rsidR="00000000" w:rsidRPr="00000000">
        <w:rPr>
          <w:rtl w:val="0"/>
        </w:rPr>
      </w:r>
    </w:p>
    <w:p w:rsidR="00000000" w:rsidDel="00000000" w:rsidP="00000000" w:rsidRDefault="00000000" w:rsidRPr="00000000" w14:paraId="0000006D">
      <w:pPr>
        <w:spacing w:after="200" w:lineRule="auto"/>
        <w:ind w:left="431.99999999999994" w:hanging="431.99999999999994"/>
        <w:rPr>
          <w:rFonts w:ascii="Garamond" w:cs="Garamond" w:eastAsia="Garamond" w:hAnsi="Garamond"/>
        </w:rPr>
      </w:pPr>
      <w:r w:rsidDel="00000000" w:rsidR="00000000" w:rsidRPr="00000000">
        <w:rPr>
          <w:rFonts w:ascii="Garamond" w:cs="Garamond" w:eastAsia="Garamond" w:hAnsi="Garamond"/>
          <w:rtl w:val="0"/>
        </w:rPr>
        <w:t xml:space="preserve">Giannella, E., Homonoff, T. A., Rino, G., &amp; Somerville, J. (2023). Administrative Burden and Procedural Denials: Experimental Evidence from Snap. Journal of Public Economics, 217, 104783.</w:t>
      </w:r>
      <w:hyperlink r:id="rId8">
        <w:r w:rsidDel="00000000" w:rsidR="00000000" w:rsidRPr="00000000">
          <w:rPr>
            <w:rFonts w:ascii="Garamond" w:cs="Garamond" w:eastAsia="Garamond" w:hAnsi="Garamond"/>
            <w:color w:val="1155cc"/>
            <w:u w:val="single"/>
            <w:rtl w:val="0"/>
          </w:rPr>
          <w:t xml:space="preserve"> https://doi.org/10.2139/ssrn.4448289</w:t>
        </w:r>
      </w:hyperlink>
      <w:r w:rsidDel="00000000" w:rsidR="00000000" w:rsidRPr="00000000">
        <w:rPr>
          <w:rtl w:val="0"/>
        </w:rPr>
      </w:r>
    </w:p>
    <w:p w:rsidR="00000000" w:rsidDel="00000000" w:rsidP="00000000" w:rsidRDefault="00000000" w:rsidRPr="00000000" w14:paraId="0000006E">
      <w:pPr>
        <w:spacing w:after="200" w:lineRule="auto"/>
        <w:ind w:left="431.99999999999994" w:hanging="431.99999999999994"/>
        <w:rPr>
          <w:rFonts w:ascii="Garamond" w:cs="Garamond" w:eastAsia="Garamond" w:hAnsi="Garamond"/>
        </w:rPr>
      </w:pPr>
      <w:r w:rsidDel="00000000" w:rsidR="00000000" w:rsidRPr="00000000">
        <w:rPr>
          <w:rFonts w:ascii="Garamond" w:cs="Garamond" w:eastAsia="Garamond" w:hAnsi="Garamond"/>
          <w:rtl w:val="0"/>
        </w:rPr>
        <w:t xml:space="preserve">Gundersen, C. (2013). Food Insecurity Is an Ongoing National Concern. Advances in Nutrition, 4(1), 36–41. </w:t>
      </w:r>
      <w:hyperlink r:id="rId9">
        <w:r w:rsidDel="00000000" w:rsidR="00000000" w:rsidRPr="00000000">
          <w:rPr>
            <w:rFonts w:ascii="Garamond" w:cs="Garamond" w:eastAsia="Garamond" w:hAnsi="Garamond"/>
            <w:color w:val="1155cc"/>
            <w:u w:val="single"/>
            <w:rtl w:val="0"/>
          </w:rPr>
          <w:t xml:space="preserve">https://doi.org/10.3945/an.112.003244</w:t>
        </w:r>
      </w:hyperlink>
      <w:r w:rsidDel="00000000" w:rsidR="00000000" w:rsidRPr="00000000">
        <w:rPr>
          <w:rFonts w:ascii="Garamond" w:cs="Garamond" w:eastAsia="Garamond" w:hAnsi="Garamond"/>
          <w:rtl w:val="0"/>
        </w:rPr>
        <w:t xml:space="preserve"> </w:t>
      </w:r>
      <w:r w:rsidDel="00000000" w:rsidR="00000000" w:rsidRPr="00000000">
        <w:rPr>
          <w:rtl w:val="0"/>
        </w:rPr>
      </w:r>
    </w:p>
    <w:p w:rsidR="00000000" w:rsidDel="00000000" w:rsidP="00000000" w:rsidRDefault="00000000" w:rsidRPr="00000000" w14:paraId="0000006F">
      <w:pPr>
        <w:spacing w:line="240" w:lineRule="auto"/>
        <w:rPr>
          <w:rFonts w:ascii="Garamond" w:cs="Garamond" w:eastAsia="Garamond" w:hAnsi="Garamond"/>
        </w:rPr>
      </w:pPr>
      <w:r w:rsidDel="00000000" w:rsidR="00000000" w:rsidRPr="00000000">
        <w:rPr>
          <w:rFonts w:ascii="Garamond" w:cs="Garamond" w:eastAsia="Garamond" w:hAnsi="Garamond"/>
          <w:rtl w:val="0"/>
        </w:rPr>
        <w:t xml:space="preserve">Rogers, P. (2024). Retargeting Social Media Outreach for SNAP Take-up. Management Science.</w:t>
      </w:r>
    </w:p>
    <w:p w:rsidR="00000000" w:rsidDel="00000000" w:rsidP="00000000" w:rsidRDefault="00000000" w:rsidRPr="00000000" w14:paraId="0000007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after="200" w:line="240" w:lineRule="auto"/>
        <w:ind w:left="431.99999999999994"/>
        <w:rPr>
          <w:rFonts w:ascii="Garamond" w:cs="Garamond" w:eastAsia="Garamond" w:hAnsi="Garamond"/>
          <w:highlight w:val="yellow"/>
        </w:rPr>
      </w:pPr>
      <w:r w:rsidDel="00000000" w:rsidR="00000000" w:rsidRPr="00000000">
        <w:rPr>
          <w:rFonts w:ascii="Garamond" w:cs="Garamond" w:eastAsia="Garamond" w:hAnsi="Garamond"/>
          <w:rtl w:val="0"/>
        </w:rPr>
        <w:t xml:space="preserve">Suttles, S., Babb, A., &amp; Knudsen, D. C. (2024). Submitted and Denied: Understanding variation in case status across Supplemental Nutrition assistance program (SNAP) applications. Food Policy, 123, 102588. https://doi.org/10.1016/j.foodpol.2023.102588</w:t>
      </w:r>
      <w:r w:rsidDel="00000000" w:rsidR="00000000" w:rsidRPr="00000000">
        <w:rPr>
          <w:rtl w:val="0"/>
        </w:rPr>
      </w:r>
    </w:p>
    <w:p w:rsidR="00000000" w:rsidDel="00000000" w:rsidP="00000000" w:rsidRDefault="00000000" w:rsidRPr="00000000" w14:paraId="00000072">
      <w:pPr>
        <w:spacing w:after="200" w:lineRule="auto"/>
        <w:ind w:left="431.99999999999994" w:hanging="431.99999999999994"/>
        <w:rPr>
          <w:rFonts w:ascii="Garamond" w:cs="Garamond" w:eastAsia="Garamond" w:hAnsi="Garamond"/>
          <w:b w:val="1"/>
          <w:color w:val="1155cc"/>
          <w:u w:val="single"/>
        </w:rPr>
      </w:pPr>
      <w:r w:rsidDel="00000000" w:rsidR="00000000" w:rsidRPr="00000000">
        <w:rPr>
          <w:rFonts w:ascii="Garamond" w:cs="Garamond" w:eastAsia="Garamond" w:hAnsi="Garamond"/>
          <w:rtl w:val="0"/>
        </w:rPr>
        <w:t xml:space="preserve">United States Department of Agriculture, Food and Nutrition Service. (n.d.). Overview of the Supplemental Nutrition Assistance Program (SNAP). Retrieved from</w:t>
      </w:r>
      <w:hyperlink r:id="rId10">
        <w:r w:rsidDel="00000000" w:rsidR="00000000" w:rsidRPr="00000000">
          <w:rPr>
            <w:rFonts w:ascii="Garamond" w:cs="Garamond" w:eastAsia="Garamond" w:hAnsi="Garamond"/>
            <w:color w:val="1155cc"/>
            <w:u w:val="single"/>
            <w:rtl w:val="0"/>
          </w:rPr>
          <w:t xml:space="preserve"> https://www.fns.usda.gov/snap/supplemental-nutrition-assistance-program</w:t>
        </w:r>
      </w:hyperlink>
      <w:r w:rsidDel="00000000" w:rsidR="00000000" w:rsidRPr="00000000">
        <w:rPr>
          <w:rtl w:val="0"/>
        </w:rPr>
      </w:r>
    </w:p>
    <w:p w:rsidR="00000000" w:rsidDel="00000000" w:rsidP="00000000" w:rsidRDefault="00000000" w:rsidRPr="00000000" w14:paraId="00000073">
      <w:pPr>
        <w:rPr>
          <w:rFonts w:ascii="Garamond" w:cs="Garamond" w:eastAsia="Garamond" w:hAnsi="Garamond"/>
          <w:b w:val="1"/>
        </w:rPr>
      </w:pPr>
      <w:r w:rsidDel="00000000" w:rsidR="00000000" w:rsidRPr="00000000">
        <w:rPr>
          <w:rtl w:val="0"/>
        </w:rPr>
      </w:r>
    </w:p>
    <w:sectPr>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ind w:left="9360" w:firstLine="0"/>
      <w:rPr>
        <w:rFonts w:ascii="Garamond" w:cs="Garamond" w:eastAsia="Garamond" w:hAnsi="Garamond"/>
      </w:rPr>
    </w:pPr>
    <w:r w:rsidDel="00000000" w:rsidR="00000000" w:rsidRPr="00000000">
      <w:rPr>
        <w:rFonts w:ascii="Garamond" w:cs="Garamond" w:eastAsia="Garamond" w:hAnsi="Garamond"/>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5">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Our randomized design falls within the standard framework described in </w:t>
      </w:r>
      <w:r w:rsidDel="00000000" w:rsidR="00000000" w:rsidRPr="00000000">
        <w:rPr>
          <w:rFonts w:ascii="Garamond" w:cs="Garamond" w:eastAsia="Garamond" w:hAnsi="Garamond"/>
          <w:color w:val="222222"/>
          <w:highlight w:val="white"/>
          <w:rtl w:val="0"/>
        </w:rPr>
        <w:t xml:space="preserve">Abadie </w:t>
      </w:r>
      <w:r w:rsidDel="00000000" w:rsidR="00000000" w:rsidRPr="00000000">
        <w:rPr>
          <w:rFonts w:ascii="Garamond" w:cs="Garamond" w:eastAsia="Garamond" w:hAnsi="Garamond"/>
          <w:sz w:val="20"/>
          <w:szCs w:val="20"/>
          <w:rtl w:val="0"/>
        </w:rPr>
        <w:t xml:space="preserve">et al. (2023). We will cluster standard errors at the level that is most recommended at the time of our analysis. According to </w:t>
      </w:r>
      <w:r w:rsidDel="00000000" w:rsidR="00000000" w:rsidRPr="00000000">
        <w:rPr>
          <w:rFonts w:ascii="Garamond" w:cs="Garamond" w:eastAsia="Garamond" w:hAnsi="Garamond"/>
          <w:color w:val="222222"/>
          <w:highlight w:val="white"/>
          <w:rtl w:val="0"/>
        </w:rPr>
        <w:t xml:space="preserve">Abadie </w:t>
      </w:r>
      <w:r w:rsidDel="00000000" w:rsidR="00000000" w:rsidRPr="00000000">
        <w:rPr>
          <w:rFonts w:ascii="Garamond" w:cs="Garamond" w:eastAsia="Garamond" w:hAnsi="Garamond"/>
          <w:sz w:val="20"/>
          <w:szCs w:val="20"/>
          <w:rtl w:val="0"/>
        </w:rPr>
        <w:t xml:space="preserve">et al. (2023), </w:t>
      </w:r>
      <w:r w:rsidDel="00000000" w:rsidR="00000000" w:rsidRPr="00000000">
        <w:rPr>
          <w:rFonts w:ascii="Garamond" w:cs="Garamond" w:eastAsia="Garamond" w:hAnsi="Garamond"/>
          <w:sz w:val="20"/>
          <w:szCs w:val="20"/>
          <w:rtl w:val="0"/>
        </w:rPr>
        <w:t xml:space="preserve">the “right” level may even be at the individual level</w:t>
      </w:r>
      <w:r w:rsidDel="00000000" w:rsidR="00000000" w:rsidRPr="00000000">
        <w:rPr>
          <w:rFonts w:ascii="Garamond" w:cs="Garamond" w:eastAsia="Garamond" w:hAnsi="Garamond"/>
          <w:sz w:val="20"/>
          <w:szCs w:val="20"/>
          <w:rtl w:val="0"/>
        </w:rPr>
        <w:t xml:space="preserve">.</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Roman"/>
      <w:lvlText w:val="%1."/>
      <w:lvlJc w:val="right"/>
      <w:pPr>
        <w:ind w:left="720" w:hanging="360"/>
      </w:pPr>
      <w:rPr>
        <w:rFonts w:ascii="Garamond" w:cs="Garamond" w:eastAsia="Garamond" w:hAnsi="Garamond"/>
        <w:b w:val="0"/>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rFonts w:ascii="Garamond" w:cs="Garamond" w:eastAsia="Garamond" w:hAnsi="Garamond"/>
        <w:b w:val="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left="720" w:hanging="360"/>
    </w:pPr>
    <w:rPr>
      <w:rFonts w:ascii="Garamond" w:cs="Garamond" w:eastAsia="Garamond" w:hAnsi="Garamond"/>
      <w:b w:val="1"/>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yperlink" Target="https://www.fns.usda.gov/snap/supplemental-nutrition-assistance-program" TargetMode="External"/><Relationship Id="rId9" Type="http://schemas.openxmlformats.org/officeDocument/2006/relationships/hyperlink" Target="https://doi.org/10.3945/an.112.003244"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doi.org/10.2307/146382" TargetMode="External"/><Relationship Id="rId8" Type="http://schemas.openxmlformats.org/officeDocument/2006/relationships/hyperlink" Target="https://doi.org/10.2139/ssrn.444828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