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7AA7B" w14:textId="2A2DA93B" w:rsidR="005E5B1E" w:rsidRDefault="00265A30" w:rsidP="00265A30">
      <w:pPr>
        <w:jc w:val="center"/>
      </w:pPr>
      <w:r>
        <w:t>Pre-Analysis Plan</w:t>
      </w:r>
    </w:p>
    <w:p w14:paraId="3A539AD1" w14:textId="77777777" w:rsidR="000D2C26" w:rsidRDefault="000D2C26" w:rsidP="00265A30">
      <w:pPr>
        <w:jc w:val="center"/>
      </w:pPr>
    </w:p>
    <w:p w14:paraId="12B565EF" w14:textId="518F7D44" w:rsidR="00265A30" w:rsidRPr="000D2C26" w:rsidRDefault="00265A30" w:rsidP="00265A30">
      <w:pPr>
        <w:jc w:val="center"/>
        <w:rPr>
          <w:rFonts w:ascii="Calibri Light" w:eastAsia="Palatino Linotype" w:hAnsi="Calibri Light" w:cs="Calibri Light"/>
          <w:b/>
          <w:bCs/>
          <w:sz w:val="28"/>
          <w:szCs w:val="28"/>
        </w:rPr>
      </w:pPr>
      <w:r w:rsidRPr="000D2C26">
        <w:rPr>
          <w:rFonts w:ascii="Calibri Light" w:eastAsia="Palatino Linotype" w:hAnsi="Calibri Light" w:cs="Calibri Light"/>
          <w:b/>
          <w:bCs/>
          <w:sz w:val="28"/>
          <w:szCs w:val="28"/>
        </w:rPr>
        <w:t>The Impact of Renter Education on Risk of Eviction for Tenants with and without Rental Assistance</w:t>
      </w:r>
    </w:p>
    <w:p w14:paraId="0390B65F" w14:textId="72D47319" w:rsidR="000D2C26" w:rsidRPr="000D2C26" w:rsidRDefault="00265A30" w:rsidP="00265A30">
      <w:pPr>
        <w:jc w:val="center"/>
        <w:rPr>
          <w:rFonts w:ascii="Calibri Light" w:eastAsia="Palatino Linotype" w:hAnsi="Calibri Light" w:cs="Calibri Light"/>
          <w:lang w:val="it-IT"/>
        </w:rPr>
      </w:pPr>
      <w:r w:rsidRPr="000D2C26">
        <w:rPr>
          <w:rFonts w:ascii="Calibri Light" w:eastAsia="Palatino Linotype" w:hAnsi="Calibri Light" w:cs="Calibri Light"/>
          <w:lang w:val="it-IT"/>
        </w:rPr>
        <w:t>Stephanie Casey Pierce</w:t>
      </w:r>
      <w:r w:rsidR="000D2C26" w:rsidRPr="000D2C26">
        <w:rPr>
          <w:rFonts w:ascii="Calibri Light" w:eastAsia="Palatino Linotype" w:hAnsi="Calibri Light" w:cs="Calibri Light"/>
          <w:lang w:val="it-IT"/>
        </w:rPr>
        <w:t>, University of Tennessee-Knoxville</w:t>
      </w:r>
    </w:p>
    <w:p w14:paraId="18701E5F" w14:textId="1CB51404" w:rsidR="00265A30" w:rsidRPr="000D2C26" w:rsidRDefault="00265A30" w:rsidP="00265A30">
      <w:pPr>
        <w:jc w:val="center"/>
        <w:rPr>
          <w:rFonts w:ascii="Calibri Light" w:eastAsia="Palatino Linotype" w:hAnsi="Calibri Light" w:cs="Calibri Light"/>
          <w:lang w:val="it-IT"/>
        </w:rPr>
      </w:pPr>
      <w:r w:rsidRPr="000D2C26">
        <w:rPr>
          <w:rFonts w:ascii="Calibri Light" w:eastAsia="Palatino Linotype" w:hAnsi="Calibri Light" w:cs="Calibri Light"/>
          <w:lang w:val="it-IT"/>
        </w:rPr>
        <w:t>Matthew Freedman</w:t>
      </w:r>
      <w:r w:rsidR="000D2C26" w:rsidRPr="000D2C26">
        <w:rPr>
          <w:rFonts w:ascii="Calibri Light" w:eastAsia="Palatino Linotype" w:hAnsi="Calibri Light" w:cs="Calibri Light"/>
          <w:lang w:val="it-IT"/>
        </w:rPr>
        <w:t>, University of California -Irvine</w:t>
      </w:r>
    </w:p>
    <w:p w14:paraId="6FAE70C7" w14:textId="77777777" w:rsidR="00265A30" w:rsidRDefault="00265A30" w:rsidP="00265A30">
      <w:pPr>
        <w:jc w:val="center"/>
      </w:pPr>
    </w:p>
    <w:p w14:paraId="5E220520" w14:textId="288AE02F" w:rsidR="00924979" w:rsidRDefault="00924979" w:rsidP="00924979">
      <w:pPr>
        <w:pStyle w:val="ListParagraph"/>
        <w:numPr>
          <w:ilvl w:val="0"/>
          <w:numId w:val="2"/>
        </w:numPr>
        <w:rPr>
          <w:rFonts w:ascii="Calibri Light" w:hAnsi="Calibri Light" w:cs="Calibri Light"/>
          <w:b/>
          <w:bCs/>
          <w:sz w:val="28"/>
          <w:szCs w:val="28"/>
        </w:rPr>
      </w:pPr>
      <w:r w:rsidRPr="000D2C26">
        <w:rPr>
          <w:rFonts w:ascii="Calibri Light" w:hAnsi="Calibri Light" w:cs="Calibri Light"/>
          <w:b/>
          <w:bCs/>
          <w:sz w:val="28"/>
          <w:szCs w:val="28"/>
        </w:rPr>
        <w:t>Introduction</w:t>
      </w:r>
    </w:p>
    <w:p w14:paraId="07A0B755" w14:textId="77777777" w:rsidR="000D2C26" w:rsidRPr="000D2C26" w:rsidRDefault="000D2C26" w:rsidP="000D2C26">
      <w:pPr>
        <w:pStyle w:val="ListParagraph"/>
        <w:ind w:left="360"/>
        <w:rPr>
          <w:rFonts w:ascii="Calibri Light" w:hAnsi="Calibri Light" w:cs="Calibri Light"/>
          <w:b/>
          <w:bCs/>
          <w:sz w:val="28"/>
          <w:szCs w:val="28"/>
        </w:rPr>
      </w:pPr>
    </w:p>
    <w:p w14:paraId="5FA62DF5" w14:textId="42B9AB68" w:rsidR="00924979" w:rsidRPr="000D2C26" w:rsidRDefault="00924979" w:rsidP="0092497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Abstract</w:t>
      </w:r>
    </w:p>
    <w:p w14:paraId="6D47BE47" w14:textId="4C83AE76" w:rsidR="00924979" w:rsidRPr="000D2C26" w:rsidRDefault="00924979" w:rsidP="000D2C26">
      <w:pPr>
        <w:rPr>
          <w:rFonts w:ascii="Calibri Light" w:hAnsi="Calibri Light" w:cs="Calibri Light"/>
        </w:rPr>
      </w:pPr>
      <w:r w:rsidRPr="000D2C26">
        <w:rPr>
          <w:rFonts w:ascii="Calibri Light" w:hAnsi="Calibri Light" w:cs="Calibri Light"/>
        </w:rPr>
        <w:t>A growing body of research finds that residential evictions are associated with negative social, economic, and health consequences for households and communities (Desmond, 2012; Ghimire et al., 2021; Hatch &amp; Yun, 2021; Leifheit et al., 2021; Pierce, 2020; Slee &amp; Desmond, 2021). The recent COVID pandemic ushered in new policies to prevent and stabilize tenants, such as Emergency Rental Assistance (ERA) and temporary eviction moratoria, the effects of which are still being evaluated (e.g., Reina et al., 2021). However, ERA, eviction moratoria, and other pandemic-era programs are funded by temporary emergency allocations set to expire at the end of 2022 or early 2023. Yet, local governments may have existing funds and programs that may be used for eviction prevention in the absence of pandemic programs or new, permanent policies. The proposed study seeks to evaluate the effect of two such programs—a county-level rental assistance program and a non-profit eviction education program funded in part by local government grants—using experimental and quasi-experimental research designs. The specific ai</w:t>
      </w:r>
      <w:r w:rsidR="000D2C26" w:rsidRPr="000D2C26">
        <w:rPr>
          <w:rFonts w:ascii="Calibri Light" w:hAnsi="Calibri Light" w:cs="Calibri Light"/>
        </w:rPr>
        <w:t>m</w:t>
      </w:r>
      <w:r w:rsidRPr="000D2C26">
        <w:rPr>
          <w:rFonts w:ascii="Calibri Light" w:hAnsi="Calibri Light" w:cs="Calibri Light"/>
        </w:rPr>
        <w:t xml:space="preserve"> of this </w:t>
      </w:r>
      <w:r w:rsidR="000D2C26" w:rsidRPr="000D2C26">
        <w:rPr>
          <w:rFonts w:ascii="Calibri Light" w:hAnsi="Calibri Light" w:cs="Calibri Light"/>
        </w:rPr>
        <w:t>is</w:t>
      </w:r>
      <w:r w:rsidRPr="000D2C26">
        <w:rPr>
          <w:rFonts w:ascii="Calibri Light" w:hAnsi="Calibri Light" w:cs="Calibri Light"/>
        </w:rPr>
        <w:t xml:space="preserve"> to</w:t>
      </w:r>
      <w:r w:rsidR="000D2C26" w:rsidRPr="000D2C26">
        <w:rPr>
          <w:rFonts w:ascii="Calibri Light" w:hAnsi="Calibri Light" w:cs="Calibri Light"/>
        </w:rPr>
        <w:t xml:space="preserve"> e</w:t>
      </w:r>
      <w:r w:rsidRPr="000D2C26">
        <w:rPr>
          <w:rFonts w:ascii="Calibri Light" w:hAnsi="Calibri Light" w:cs="Calibri Light"/>
        </w:rPr>
        <w:t>valuate the impact of receiving emergency rental assistance with and without renter education on housing stability, stress, and other measures of social and economic well-being</w:t>
      </w:r>
      <w:r w:rsidR="000D2C26" w:rsidRPr="000D2C26">
        <w:rPr>
          <w:rFonts w:ascii="Calibri Light" w:hAnsi="Calibri Light" w:cs="Calibri Light"/>
        </w:rPr>
        <w:t>.</w:t>
      </w:r>
    </w:p>
    <w:p w14:paraId="37023211" w14:textId="77777777" w:rsidR="00924979" w:rsidRPr="000D2C26" w:rsidRDefault="00924979" w:rsidP="00924979">
      <w:pPr>
        <w:pStyle w:val="ListParagraph"/>
        <w:ind w:left="360"/>
        <w:rPr>
          <w:rFonts w:ascii="Calibri Light" w:hAnsi="Calibri Light" w:cs="Calibri Light"/>
          <w:b/>
          <w:bCs/>
        </w:rPr>
      </w:pPr>
    </w:p>
    <w:p w14:paraId="5002CEBD" w14:textId="77C214B7" w:rsidR="00924979" w:rsidRPr="000D2C26" w:rsidRDefault="00924979" w:rsidP="0092497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Motivation</w:t>
      </w:r>
    </w:p>
    <w:p w14:paraId="295F8DA5" w14:textId="77777777"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r w:rsidRPr="000D2C26">
        <w:rPr>
          <w:rFonts w:ascii="Calibri Light" w:hAnsi="Calibri Light" w:cs="Calibri Light"/>
          <w:color w:val="333333"/>
          <w:sz w:val="22"/>
          <w:szCs w:val="22"/>
        </w:rPr>
        <w:t>In the United States, some 3.6 million residential eviction cases are filed annually, putting at least 6 percent of the nation’s rental households at risk of eviction each year (Garnham et al., 2022). Forced residential eviction has been linked to a host of individual- and neighborhood-level consequences, including homelessness (Collinson &amp; Reed, 2018); financial strain (Humphries et al., 2018), job and wage loss (Desmond &amp; Gershenson, 2016), poor health outcomes (Vásquez-Vera et al., 2017); and reduced civic participation (Slee &amp; Desmond, 2021). Further, reflecting a history of discriminatory policies that have made it more difficult for households racialized as Black to own a home, evictions disproportionately affect Black neighborhoods, and specifically Black, female-headed households (Desmond, 2016; Desmond &amp; Gershenson, 2017). Until recent years, research on the causes and consequences of eviction was scarce, but interest popular and academic interest in the topic has grown rapidly since 2016, following the publication of New York Times bestseller, </w:t>
      </w:r>
      <w:r w:rsidRPr="000D2C26">
        <w:rPr>
          <w:rStyle w:val="Emphasis"/>
          <w:rFonts w:ascii="Calibri Light" w:eastAsiaTheme="majorEastAsia" w:hAnsi="Calibri Light" w:cs="Calibri Light"/>
          <w:color w:val="333333"/>
          <w:sz w:val="22"/>
          <w:szCs w:val="22"/>
        </w:rPr>
        <w:t>Evicted </w:t>
      </w:r>
      <w:r w:rsidRPr="000D2C26">
        <w:rPr>
          <w:rFonts w:ascii="Calibri Light" w:hAnsi="Calibri Light" w:cs="Calibri Light"/>
          <w:color w:val="333333"/>
          <w:sz w:val="22"/>
          <w:szCs w:val="22"/>
        </w:rPr>
        <w:t>(Desmond, 2016). Consequently, the burst of attention from both scholars and policymakers set the stage for rapid policy innovation aimed at eviction prevention when the onset of the Covid-19 pandemic drove record high unemployment (Smith et al., 2021). Though a combination of local, state, and federal eviction moratoria staved off a feared tsunami of evictions during 2020 (Coronavirus Aid, Relief, and Economic Security Act, 2020; National Low Income Housing Project, 2021), by the end of 2020, household surveys and other analyses suggested that millions of renters were either behind on their rent or struggling to afford rent (Consumer Financial Protection Bureau, 2021). </w:t>
      </w:r>
    </w:p>
    <w:p w14:paraId="51C9AB10" w14:textId="77777777"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p>
    <w:p w14:paraId="40B46086" w14:textId="77777777"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r w:rsidRPr="000D2C26">
        <w:rPr>
          <w:rFonts w:ascii="Calibri Light" w:hAnsi="Calibri Light" w:cs="Calibri Light"/>
          <w:color w:val="333333"/>
          <w:sz w:val="22"/>
          <w:szCs w:val="22"/>
        </w:rPr>
        <w:t xml:space="preserve">In response to the COVID-19 pandemic and fears of mass evictions, Congress allocated more than $46 billion to launch the Emergency Rental Assistance (ERA) program to provide funds to state, U.S. territory, </w:t>
      </w:r>
      <w:r w:rsidRPr="000D2C26">
        <w:rPr>
          <w:rFonts w:ascii="Calibri Light" w:hAnsi="Calibri Light" w:cs="Calibri Light"/>
          <w:color w:val="333333"/>
          <w:sz w:val="22"/>
          <w:szCs w:val="22"/>
        </w:rPr>
        <w:lastRenderedPageBreak/>
        <w:t>local, and tribal governments for preventing eviction (U.S. Department of the Treasury 2022). ERA is the first federal eviction prevention program, but funds for the program begin to expire at the end of 2022 (U.S. Department of the Treasury 2022). While scholars have begun evaluating the efficacy of the ERA program, less attention has been directed to identifying alternative eviction-prevention strategies when ERA funds have been exhausted. One such alternative strategy is an emergency assistance program administered by the Franklin County, Ohio, Office of Job and Family Services (Franklin County JFS). The Prevention, Retention, and Contingency (PRC) program is funded by federal Temporary Assistance for Needy Families (TANF) funds. It provides up to $1,500 to low-income families for emergency expenses such as rent, utilities, and transportation. Franklin County JFS also administers ERA funds, but unlike ERA, the PRC program, which was created in 2003, has an ongoing, stable funding stream and will continue to exist after the end of the ERA program. Moreover, all states receive and administer TANF funds,</w:t>
      </w:r>
      <w:hyperlink r:id="rId6" w:anchor="_ftn1" w:history="1">
        <w:r w:rsidRPr="000D2C26">
          <w:rPr>
            <w:rStyle w:val="Hyperlink"/>
            <w:rFonts w:ascii="Calibri Light" w:eastAsiaTheme="majorEastAsia" w:hAnsi="Calibri Light" w:cs="Calibri Light"/>
            <w:b/>
            <w:bCs/>
            <w:color w:val="222222"/>
            <w:sz w:val="22"/>
            <w:szCs w:val="22"/>
            <w:vertAlign w:val="superscript"/>
          </w:rPr>
          <w:t>[1]</w:t>
        </w:r>
      </w:hyperlink>
      <w:r w:rsidRPr="000D2C26">
        <w:rPr>
          <w:rFonts w:ascii="Calibri Light" w:hAnsi="Calibri Light" w:cs="Calibri Light"/>
          <w:color w:val="333333"/>
          <w:sz w:val="22"/>
          <w:szCs w:val="22"/>
        </w:rPr>
        <w:t> and thus could create similar rental assistance options for low-income residents in a post-ERA world. </w:t>
      </w:r>
    </w:p>
    <w:p w14:paraId="62E7DB1B" w14:textId="77777777"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p>
    <w:p w14:paraId="73CD8042" w14:textId="77777777"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r w:rsidRPr="000D2C26">
        <w:rPr>
          <w:rFonts w:ascii="Calibri Light" w:hAnsi="Calibri Light" w:cs="Calibri Light"/>
          <w:color w:val="333333"/>
          <w:sz w:val="22"/>
          <w:szCs w:val="22"/>
        </w:rPr>
        <w:t xml:space="preserve">A second eviction-prevention program in Franklin County pre-dates the ERA program. Offered through a non-profit organization, Community Mediation Services (CMS), renter education classes aim to provide tenants with information to help them manage disputes with their landlords and avoid mistakes that could lead to their eviction. As with the PRC program, there is little scholarship on the effect of tenant education programs on housing stability. Scholarship on homeownership education counseling for homebuyers is mixed (Peck et al. 2021; Jefferson et al. 2012). However, foreclosure prevention counseling, offered to homeowners who are at risk of default or foreclosure, has yielded somewhat more consistent, positive </w:t>
      </w:r>
      <w:proofErr w:type="gramStart"/>
      <w:r w:rsidRPr="000D2C26">
        <w:rPr>
          <w:rFonts w:ascii="Calibri Light" w:hAnsi="Calibri Light" w:cs="Calibri Light"/>
          <w:color w:val="333333"/>
          <w:sz w:val="22"/>
          <w:szCs w:val="22"/>
        </w:rPr>
        <w:t>results  (</w:t>
      </w:r>
      <w:proofErr w:type="gramEnd"/>
      <w:r w:rsidRPr="000D2C26">
        <w:rPr>
          <w:rFonts w:ascii="Calibri Light" w:hAnsi="Calibri Light" w:cs="Calibri Light"/>
          <w:color w:val="333333"/>
          <w:sz w:val="22"/>
          <w:szCs w:val="22"/>
        </w:rPr>
        <w:t>Anthony and Verghese 2019; Jefferson et al. 2012). This suggests that renter education—especially renter education aimed at tenants at risk of eviction—could be a tool to help reduce eviction risk.</w:t>
      </w:r>
    </w:p>
    <w:p w14:paraId="2DBE61EF" w14:textId="77777777" w:rsidR="00924979" w:rsidRPr="000D2C26" w:rsidRDefault="00924979" w:rsidP="00924979">
      <w:pPr>
        <w:pStyle w:val="NormalWeb"/>
        <w:shd w:val="clear" w:color="auto" w:fill="FFFFFF"/>
        <w:spacing w:before="0" w:beforeAutospacing="0" w:after="0" w:afterAutospacing="0"/>
        <w:ind w:left="360"/>
        <w:rPr>
          <w:rFonts w:ascii="Calibri Light" w:hAnsi="Calibri Light" w:cs="Calibri Light"/>
          <w:color w:val="333333"/>
          <w:sz w:val="22"/>
          <w:szCs w:val="22"/>
        </w:rPr>
      </w:pPr>
    </w:p>
    <w:p w14:paraId="7BBFCE56" w14:textId="72B83318" w:rsidR="00924979" w:rsidRPr="000D2C26" w:rsidRDefault="00924979" w:rsidP="00924979">
      <w:pPr>
        <w:pStyle w:val="NormalWeb"/>
        <w:shd w:val="clear" w:color="auto" w:fill="FFFFFF"/>
        <w:spacing w:before="0" w:beforeAutospacing="0" w:after="0" w:afterAutospacing="0"/>
        <w:rPr>
          <w:rFonts w:ascii="Calibri Light" w:hAnsi="Calibri Light" w:cs="Calibri Light"/>
          <w:color w:val="333333"/>
          <w:sz w:val="22"/>
          <w:szCs w:val="22"/>
        </w:rPr>
      </w:pPr>
      <w:r w:rsidRPr="000D2C26">
        <w:rPr>
          <w:rFonts w:ascii="Calibri Light" w:hAnsi="Calibri Light" w:cs="Calibri Light"/>
          <w:color w:val="333333"/>
          <w:sz w:val="22"/>
          <w:szCs w:val="22"/>
        </w:rPr>
        <w:t xml:space="preserve">In 2021, Franklin County JFS received a State and Local Innovation Initiative Grant from the Abdul Latif Jameel Poverty Action Lab (J-PAL) for the purposes of designing a randomized-controlled trial (RCT) to evaluate the effect of the CMS renter education program—which receives funding from Franklin County JFS—on PRC recipients. Franklin County JFS requested that the Principal Investigators (PIs) Pierce and Freedman lead the development of the research design. The research protocol detailed here is the result of a year-long collaboration between the PIs, Franklin County JFS, CMS, and J-PAL technical support staff. PIs Pierce and Freedman have received unconditional approval from J-PAL to fund a second proposal for a pilot study of the RCT described below. </w:t>
      </w:r>
    </w:p>
    <w:p w14:paraId="26718BDC" w14:textId="77777777" w:rsidR="00924979" w:rsidRPr="000D2C26" w:rsidRDefault="00924979" w:rsidP="00924979">
      <w:pPr>
        <w:rPr>
          <w:rFonts w:ascii="Calibri Light" w:hAnsi="Calibri Light" w:cs="Calibri Light"/>
          <w:b/>
          <w:bCs/>
        </w:rPr>
      </w:pPr>
    </w:p>
    <w:p w14:paraId="7A83F518" w14:textId="77777777" w:rsidR="00924979" w:rsidRPr="000D2C26" w:rsidRDefault="00924979" w:rsidP="00924979">
      <w:pPr>
        <w:pStyle w:val="ListParagraph"/>
        <w:ind w:left="360"/>
        <w:rPr>
          <w:rFonts w:ascii="Calibri Light" w:hAnsi="Calibri Light" w:cs="Calibri Light"/>
          <w:b/>
          <w:bCs/>
        </w:rPr>
      </w:pPr>
    </w:p>
    <w:p w14:paraId="344C0399" w14:textId="555E8A05" w:rsidR="00924979" w:rsidRPr="000D2C26" w:rsidRDefault="00924979" w:rsidP="0092497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Research Questions</w:t>
      </w:r>
    </w:p>
    <w:p w14:paraId="50E421ED" w14:textId="47A1CBFC" w:rsidR="00924979" w:rsidRPr="00924979" w:rsidRDefault="00924979" w:rsidP="00924979">
      <w:pPr>
        <w:rPr>
          <w:rFonts w:ascii="Calibri Light" w:hAnsi="Calibri Light" w:cs="Calibri Light"/>
        </w:rPr>
      </w:pPr>
      <w:r w:rsidRPr="00924979">
        <w:rPr>
          <w:rFonts w:ascii="Calibri Light" w:hAnsi="Calibri Light" w:cs="Calibri Light"/>
        </w:rPr>
        <w:t xml:space="preserve">Our primary research question </w:t>
      </w:r>
      <w:r w:rsidRPr="000D2C26">
        <w:rPr>
          <w:rFonts w:ascii="Calibri Light" w:hAnsi="Calibri Light" w:cs="Calibri Light"/>
        </w:rPr>
        <w:t>is</w:t>
      </w:r>
      <w:r w:rsidRPr="00924979">
        <w:rPr>
          <w:rFonts w:ascii="Calibri Light" w:hAnsi="Calibri Light" w:cs="Calibri Light"/>
        </w:rPr>
        <w:t xml:space="preserve"> as follows:</w:t>
      </w:r>
    </w:p>
    <w:p w14:paraId="5AF6564A" w14:textId="77777777" w:rsidR="00924979" w:rsidRPr="000D2C26" w:rsidRDefault="00924979" w:rsidP="00924979">
      <w:pPr>
        <w:numPr>
          <w:ilvl w:val="0"/>
          <w:numId w:val="5"/>
        </w:numPr>
        <w:rPr>
          <w:rFonts w:ascii="Calibri Light" w:hAnsi="Calibri Light" w:cs="Calibri Light"/>
        </w:rPr>
      </w:pPr>
      <w:r w:rsidRPr="00924979">
        <w:rPr>
          <w:rFonts w:ascii="Calibri Light" w:hAnsi="Calibri Light" w:cs="Calibri Light"/>
        </w:rPr>
        <w:t>R1: Does rental education lower the risk of eviction within six months of participation among applicants to a rental assistance program?</w:t>
      </w:r>
    </w:p>
    <w:p w14:paraId="4065BA04" w14:textId="295D3C8B" w:rsidR="00924979" w:rsidRPr="00924979" w:rsidRDefault="00924979" w:rsidP="00924979">
      <w:pPr>
        <w:numPr>
          <w:ilvl w:val="0"/>
          <w:numId w:val="5"/>
        </w:numPr>
        <w:rPr>
          <w:rFonts w:ascii="Calibri Light" w:hAnsi="Calibri Light" w:cs="Calibri Light"/>
        </w:rPr>
      </w:pPr>
      <w:r w:rsidRPr="000D2C26">
        <w:rPr>
          <w:rFonts w:ascii="Calibri Light" w:hAnsi="Calibri Light" w:cs="Calibri Light"/>
        </w:rPr>
        <w:t>R2: Does rental education more effective at lowering the risk of eviction among rental assistance recipients versus rental assistance applicants who do not receive funds?</w:t>
      </w:r>
    </w:p>
    <w:p w14:paraId="7B5D15B6" w14:textId="77777777" w:rsidR="00924979" w:rsidRPr="00924979" w:rsidRDefault="00924979" w:rsidP="00924979">
      <w:pPr>
        <w:rPr>
          <w:rFonts w:ascii="Calibri Light" w:hAnsi="Calibri Light" w:cs="Calibri Light"/>
        </w:rPr>
      </w:pPr>
    </w:p>
    <w:p w14:paraId="43FE13C2" w14:textId="0F38C91A" w:rsidR="00924979" w:rsidRPr="00924979" w:rsidRDefault="00924979" w:rsidP="00924979">
      <w:pPr>
        <w:rPr>
          <w:rFonts w:ascii="Calibri Light" w:hAnsi="Calibri Light" w:cs="Calibri Light"/>
        </w:rPr>
      </w:pPr>
      <w:r w:rsidRPr="00924979">
        <w:rPr>
          <w:rFonts w:ascii="Calibri Light" w:hAnsi="Calibri Light" w:cs="Calibri Light"/>
        </w:rPr>
        <w:t xml:space="preserve">This project employs a randomized controlled trial (RCT) that tests the impact of participating in a rental education program on applicants for a local rental assistance program. This research contributes to academic literature on evictions and housing stability and has practical implications for policy and public administration. County-level workforce agencies that administer Temporary Assistance for Needy Families (TANF) dollars may have the authority to create emergency assistance programs for individuals—including emergency rental assistant programs, yet it is unclear how many county agencies operate such programs and use these programs to provide rental assistance. By exploring whether providing such assistance </w:t>
      </w:r>
      <w:r w:rsidRPr="00924979">
        <w:rPr>
          <w:rFonts w:ascii="Calibri Light" w:hAnsi="Calibri Light" w:cs="Calibri Light"/>
        </w:rPr>
        <w:lastRenderedPageBreak/>
        <w:t>effectively lowers the risk of eviction among low-income tenants, we will develop important evidence for local governments interested in using available funding tools to prevent eviction. Moreover, we aim to discover whether layering rental assistance with renter education can further reduce eviction risk. </w:t>
      </w:r>
    </w:p>
    <w:p w14:paraId="629BD648" w14:textId="77777777" w:rsidR="00924979" w:rsidRPr="000D2C26" w:rsidRDefault="00924979" w:rsidP="00924979">
      <w:pPr>
        <w:rPr>
          <w:rFonts w:ascii="Calibri Light" w:hAnsi="Calibri Light" w:cs="Calibri Light"/>
          <w:b/>
          <w:bCs/>
        </w:rPr>
      </w:pPr>
    </w:p>
    <w:p w14:paraId="3CB80FE7" w14:textId="74A6479B" w:rsidR="00924979" w:rsidRDefault="00924979" w:rsidP="00924979">
      <w:pPr>
        <w:pStyle w:val="ListParagraph"/>
        <w:numPr>
          <w:ilvl w:val="0"/>
          <w:numId w:val="2"/>
        </w:numPr>
        <w:rPr>
          <w:rFonts w:ascii="Calibri Light" w:hAnsi="Calibri Light" w:cs="Calibri Light"/>
          <w:b/>
          <w:bCs/>
          <w:sz w:val="28"/>
          <w:szCs w:val="28"/>
        </w:rPr>
      </w:pPr>
      <w:r w:rsidRPr="000D2C26">
        <w:rPr>
          <w:rFonts w:ascii="Calibri Light" w:hAnsi="Calibri Light" w:cs="Calibri Light"/>
          <w:b/>
          <w:bCs/>
          <w:sz w:val="28"/>
          <w:szCs w:val="28"/>
        </w:rPr>
        <w:t>Research Strategy</w:t>
      </w:r>
    </w:p>
    <w:p w14:paraId="0B794B35" w14:textId="77777777" w:rsidR="000D2C26" w:rsidRPr="000D2C26" w:rsidRDefault="000D2C26" w:rsidP="000D2C26">
      <w:pPr>
        <w:pStyle w:val="ListParagraph"/>
        <w:ind w:left="360"/>
        <w:rPr>
          <w:rFonts w:ascii="Calibri Light" w:hAnsi="Calibri Light" w:cs="Calibri Light"/>
          <w:b/>
          <w:bCs/>
          <w:sz w:val="28"/>
          <w:szCs w:val="28"/>
        </w:rPr>
      </w:pPr>
    </w:p>
    <w:p w14:paraId="4789D806" w14:textId="3101F860" w:rsidR="00A51794" w:rsidRPr="000D2C26" w:rsidRDefault="00A51794" w:rsidP="00A51794">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Sampling</w:t>
      </w:r>
    </w:p>
    <w:p w14:paraId="7243088F" w14:textId="335AB81A" w:rsidR="00A51794" w:rsidRPr="000D2C26" w:rsidRDefault="00A51794" w:rsidP="00A51794">
      <w:pPr>
        <w:pStyle w:val="ListParagraph"/>
        <w:numPr>
          <w:ilvl w:val="2"/>
          <w:numId w:val="2"/>
        </w:numPr>
        <w:rPr>
          <w:rFonts w:ascii="Calibri Light" w:hAnsi="Calibri Light" w:cs="Calibri Light"/>
          <w:b/>
          <w:bCs/>
        </w:rPr>
      </w:pPr>
      <w:r w:rsidRPr="000D2C26">
        <w:rPr>
          <w:rFonts w:ascii="Calibri Light" w:hAnsi="Calibri Light" w:cs="Calibri Light"/>
          <w:b/>
          <w:bCs/>
        </w:rPr>
        <w:t>Sampling Frame</w:t>
      </w:r>
    </w:p>
    <w:p w14:paraId="2F4FA875" w14:textId="59B0074F" w:rsidR="00A51794" w:rsidRPr="000D2C26" w:rsidRDefault="00A51794" w:rsidP="00A51794">
      <w:pPr>
        <w:pStyle w:val="ListParagraph"/>
        <w:rPr>
          <w:rFonts w:ascii="Calibri Light" w:hAnsi="Calibri Light" w:cs="Calibri Light"/>
        </w:rPr>
      </w:pPr>
      <w:r w:rsidRPr="000D2C26">
        <w:rPr>
          <w:rFonts w:ascii="Calibri Light" w:hAnsi="Calibri Light" w:cs="Calibri Light"/>
        </w:rPr>
        <w:t>Our theoretical population is low-income tenants in the United States. For this study, our sampling frame</w:t>
      </w:r>
      <w:r w:rsidRPr="000D2C26">
        <w:rPr>
          <w:rFonts w:ascii="Calibri Light" w:hAnsi="Calibri Light" w:cs="Calibri Light"/>
        </w:rPr>
        <w:t xml:space="preserve"> focuses on adult applicants seeking rental assistance from the Franklin County JFS PRC program</w:t>
      </w:r>
      <w:r w:rsidRPr="000D2C26">
        <w:rPr>
          <w:rFonts w:ascii="Calibri Light" w:hAnsi="Calibri Light" w:cs="Calibri Light"/>
        </w:rPr>
        <w:t xml:space="preserve"> beginning in the first quarter of 2024. To be included in the sample, PRC applicants must 1) be over the age of 18; 2) live in Franklin County, OH; and 3) have applied for rental assistance from the PRC program, rather than another type of assistance. Prospective participants must confirm that they meet all three of these criteria before </w:t>
      </w:r>
      <w:proofErr w:type="gramStart"/>
      <w:r w:rsidRPr="000D2C26">
        <w:rPr>
          <w:rFonts w:ascii="Calibri Light" w:hAnsi="Calibri Light" w:cs="Calibri Light"/>
        </w:rPr>
        <w:t>they may</w:t>
      </w:r>
      <w:proofErr w:type="gramEnd"/>
      <w:r w:rsidRPr="000D2C26">
        <w:rPr>
          <w:rFonts w:ascii="Calibri Light" w:hAnsi="Calibri Light" w:cs="Calibri Light"/>
        </w:rPr>
        <w:t xml:space="preserve"> enroll in the study. PRC rental recipients earn less than 150% of the federal poverty limit (FPL), have children who live with them who are under the age of 18, are at risk of missing a rental payment or have already missed a rental payment, and have not received PRC assistance within the previous 12 months. However, while these criteria characterize recipients, we do not screen participants using these additional criteria for study participation. For this study, we expect to contact 3,600 PRC applicants and enroll approximately 1,267 participants. </w:t>
      </w:r>
    </w:p>
    <w:p w14:paraId="3C94945E" w14:textId="77777777" w:rsidR="00A51794" w:rsidRPr="000D2C26" w:rsidRDefault="00A51794" w:rsidP="00A51794">
      <w:pPr>
        <w:pStyle w:val="ListParagraph"/>
        <w:rPr>
          <w:rFonts w:ascii="Calibri Light" w:hAnsi="Calibri Light" w:cs="Calibri Light"/>
        </w:rPr>
      </w:pPr>
    </w:p>
    <w:p w14:paraId="1F08FD9D" w14:textId="7D2FEFA4" w:rsidR="00A51794" w:rsidRPr="000D2C26" w:rsidRDefault="00A51794" w:rsidP="00A51794">
      <w:pPr>
        <w:pStyle w:val="ListParagraph"/>
        <w:rPr>
          <w:rFonts w:ascii="Calibri Light" w:hAnsi="Calibri Light" w:cs="Calibri Light"/>
        </w:rPr>
      </w:pPr>
      <w:r w:rsidRPr="000D2C26">
        <w:rPr>
          <w:rFonts w:ascii="Calibri Light" w:hAnsi="Calibri Light" w:cs="Calibri Light"/>
        </w:rPr>
        <w:t>Our sample population should have strong external validity relative to other low-income renters in Franklin County, in Ohio, and in the Midwest in cities with similar rental prices. However, PRC applicants may be different from typical renters at risk of eviction because they have identified and applied for an eviction-prevention program that is not well-known. If PRC applicants are more motivated to avoid eviction than other tenants are, they may</w:t>
      </w:r>
      <w:r w:rsidR="00AF12E8" w:rsidRPr="000D2C26">
        <w:rPr>
          <w:rFonts w:ascii="Calibri Light" w:hAnsi="Calibri Light" w:cs="Calibri Light"/>
        </w:rPr>
        <w:t xml:space="preserve"> be</w:t>
      </w:r>
      <w:r w:rsidRPr="000D2C26">
        <w:rPr>
          <w:rFonts w:ascii="Calibri Light" w:hAnsi="Calibri Light" w:cs="Calibri Light"/>
        </w:rPr>
        <w:t xml:space="preserve"> </w:t>
      </w:r>
      <w:r w:rsidR="00AF12E8" w:rsidRPr="000D2C26">
        <w:rPr>
          <w:rFonts w:ascii="Calibri Light" w:hAnsi="Calibri Light" w:cs="Calibri Light"/>
        </w:rPr>
        <w:t xml:space="preserve">more receptive to participating in and learning from a renter education workshop. </w:t>
      </w:r>
    </w:p>
    <w:p w14:paraId="2389AE20" w14:textId="77777777" w:rsidR="00A51794" w:rsidRPr="000D2C26" w:rsidRDefault="00A51794" w:rsidP="00A51794">
      <w:pPr>
        <w:pStyle w:val="ListParagraph"/>
        <w:rPr>
          <w:rFonts w:ascii="Calibri Light" w:hAnsi="Calibri Light" w:cs="Calibri Light"/>
        </w:rPr>
      </w:pPr>
    </w:p>
    <w:p w14:paraId="4081B5E7" w14:textId="4FFA21B7" w:rsidR="00AF12E8" w:rsidRPr="000D2C26" w:rsidRDefault="00A51794" w:rsidP="00AF12E8">
      <w:pPr>
        <w:pStyle w:val="ListParagraph"/>
        <w:numPr>
          <w:ilvl w:val="2"/>
          <w:numId w:val="2"/>
        </w:numPr>
        <w:rPr>
          <w:rFonts w:ascii="Calibri Light" w:hAnsi="Calibri Light" w:cs="Calibri Light"/>
          <w:b/>
          <w:bCs/>
        </w:rPr>
      </w:pPr>
      <w:r w:rsidRPr="000D2C26">
        <w:rPr>
          <w:rFonts w:ascii="Calibri Light" w:hAnsi="Calibri Light" w:cs="Calibri Light"/>
          <w:b/>
          <w:bCs/>
        </w:rPr>
        <w:t>Statistical Power</w:t>
      </w:r>
    </w:p>
    <w:p w14:paraId="348FFEE7" w14:textId="77777777" w:rsidR="00D81B45" w:rsidRPr="000D2C26" w:rsidRDefault="00D81B45" w:rsidP="00D81B45">
      <w:pPr>
        <w:pStyle w:val="ListParagraph"/>
        <w:rPr>
          <w:rFonts w:ascii="Calibri Light" w:hAnsi="Calibri Light" w:cs="Calibri Light"/>
        </w:rPr>
      </w:pPr>
      <w:r w:rsidRPr="000D2C26">
        <w:rPr>
          <w:rFonts w:ascii="Calibri Light" w:hAnsi="Calibri Light" w:cs="Calibri Light"/>
        </w:rPr>
        <w:t>Our power calculations are derived from the equation proposed by McConnell &amp; Vera-Hernadez (2015) for determining sample size for a study with a binary outcome:</w:t>
      </w:r>
    </w:p>
    <w:p w14:paraId="1332C39B" w14:textId="77777777" w:rsidR="00D81B45" w:rsidRPr="000D2C26" w:rsidRDefault="00D81B45" w:rsidP="00D81B45">
      <w:pPr>
        <w:pStyle w:val="ListParagraph"/>
        <w:rPr>
          <w:rFonts w:ascii="Calibri Light" w:hAnsi="Calibri Light" w:cs="Calibri Light"/>
        </w:rPr>
      </w:pPr>
    </w:p>
    <w:p w14:paraId="1D86C310" w14:textId="77777777" w:rsidR="00D81B45" w:rsidRPr="000D2C26" w:rsidRDefault="00D81B45" w:rsidP="00D81B45">
      <w:pPr>
        <w:pStyle w:val="ListParagraph"/>
        <w:jc w:val="center"/>
        <w:rPr>
          <w:rFonts w:ascii="Calibri Light" w:hAnsi="Calibri Light" w:cs="Calibri Light"/>
        </w:rPr>
      </w:pPr>
      <m:oMathPara>
        <m:oMath>
          <m:sSup>
            <m:sSupPr>
              <m:ctrlPr>
                <w:rPr>
                  <w:rFonts w:ascii="Cambria Math" w:hAnsi="Cambria Math" w:cs="Calibri Light"/>
                  <w:i/>
                </w:rPr>
              </m:ctrlPr>
            </m:sSupPr>
            <m:e>
              <m:r>
                <w:rPr>
                  <w:rFonts w:ascii="Cambria Math" w:hAnsi="Cambria Math" w:cs="Calibri Light"/>
                </w:rPr>
                <m:t>N</m:t>
              </m:r>
            </m:e>
            <m:sup>
              <m:r>
                <w:rPr>
                  <w:rFonts w:ascii="Cambria Math" w:hAnsi="Cambria Math" w:cs="Calibri Light"/>
                </w:rPr>
                <m:t>*</m:t>
              </m:r>
            </m:sup>
          </m:sSup>
          <m:r>
            <w:rPr>
              <w:rFonts w:ascii="Cambria Math" w:hAnsi="Cambria Math" w:cs="Calibri Light"/>
            </w:rPr>
            <m:t>=</m:t>
          </m:r>
          <m:d>
            <m:dPr>
              <m:ctrlPr>
                <w:rPr>
                  <w:rFonts w:ascii="Cambria Math" w:hAnsi="Cambria Math" w:cs="Calibri Light"/>
                  <w:i/>
                </w:rPr>
              </m:ctrlPr>
            </m:dPr>
            <m:e>
              <m:f>
                <m:fPr>
                  <m:ctrlPr>
                    <w:rPr>
                      <w:rFonts w:ascii="Cambria Math" w:hAnsi="Cambria Math" w:cs="Calibri Light"/>
                      <w:i/>
                    </w:rPr>
                  </m:ctrlPr>
                </m:fPr>
                <m:num>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1</m:t>
                      </m:r>
                    </m:sub>
                  </m:sSub>
                  <m:d>
                    <m:dPr>
                      <m:ctrlPr>
                        <w:rPr>
                          <w:rFonts w:ascii="Cambria Math" w:hAnsi="Cambria Math" w:cs="Calibri Light"/>
                          <w:i/>
                        </w:rPr>
                      </m:ctrlPr>
                    </m:dPr>
                    <m:e>
                      <m:r>
                        <w:rPr>
                          <w:rFonts w:ascii="Cambria Math" w:hAnsi="Cambria Math" w:cs="Calibri Light"/>
                        </w:rPr>
                        <m:t>1-</m:t>
                      </m:r>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1</m:t>
                          </m:r>
                        </m:sub>
                      </m:sSub>
                    </m:e>
                  </m:d>
                </m:num>
                <m:den>
                  <m:r>
                    <w:rPr>
                      <w:rFonts w:ascii="Cambria Math" w:hAnsi="Cambria Math" w:cs="Calibri Light"/>
                    </w:rPr>
                    <m:t>π</m:t>
                  </m:r>
                </m:den>
              </m:f>
              <m:r>
                <w:rPr>
                  <w:rFonts w:ascii="Cambria Math" w:hAnsi="Cambria Math" w:cs="Calibri Light"/>
                </w:rPr>
                <m:t>+</m:t>
              </m:r>
              <m:f>
                <m:fPr>
                  <m:ctrlPr>
                    <w:rPr>
                      <w:rFonts w:ascii="Cambria Math" w:hAnsi="Cambria Math" w:cs="Calibri Light"/>
                      <w:i/>
                    </w:rPr>
                  </m:ctrlPr>
                </m:fPr>
                <m:num>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0</m:t>
                      </m:r>
                    </m:sub>
                  </m:sSub>
                  <m:d>
                    <m:dPr>
                      <m:ctrlPr>
                        <w:rPr>
                          <w:rFonts w:ascii="Cambria Math" w:hAnsi="Cambria Math" w:cs="Calibri Light"/>
                          <w:i/>
                        </w:rPr>
                      </m:ctrlPr>
                    </m:dPr>
                    <m:e>
                      <m:r>
                        <w:rPr>
                          <w:rFonts w:ascii="Cambria Math" w:hAnsi="Cambria Math" w:cs="Calibri Light"/>
                        </w:rPr>
                        <m:t>1-</m:t>
                      </m:r>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0</m:t>
                          </m:r>
                        </m:sub>
                      </m:sSub>
                    </m:e>
                  </m:d>
                </m:num>
                <m:den>
                  <m:r>
                    <w:rPr>
                      <w:rFonts w:ascii="Cambria Math" w:hAnsi="Cambria Math" w:cs="Calibri Light"/>
                    </w:rPr>
                    <m:t>1-π</m:t>
                  </m:r>
                </m:den>
              </m:f>
            </m:e>
          </m:d>
          <m:f>
            <m:fPr>
              <m:ctrlPr>
                <w:rPr>
                  <w:rFonts w:ascii="Cambria Math" w:hAnsi="Cambria Math" w:cs="Calibri Light"/>
                  <w:i/>
                </w:rPr>
              </m:ctrlPr>
            </m:fPr>
            <m:num>
              <m:sSup>
                <m:sSupPr>
                  <m:ctrlPr>
                    <w:rPr>
                      <w:rFonts w:ascii="Cambria Math" w:hAnsi="Cambria Math" w:cs="Calibri Light"/>
                      <w:i/>
                    </w:rPr>
                  </m:ctrlPr>
                </m:sSupPr>
                <m:e>
                  <m:r>
                    <w:rPr>
                      <w:rFonts w:ascii="Cambria Math" w:hAnsi="Cambria Math" w:cs="Calibri Light"/>
                    </w:rPr>
                    <m:t>(</m:t>
                  </m:r>
                  <m:sSub>
                    <m:sSubPr>
                      <m:ctrlPr>
                        <w:rPr>
                          <w:rFonts w:ascii="Cambria Math" w:hAnsi="Cambria Math" w:cs="Calibri Light"/>
                          <w:i/>
                        </w:rPr>
                      </m:ctrlPr>
                    </m:sSubPr>
                    <m:e>
                      <m:r>
                        <w:rPr>
                          <w:rFonts w:ascii="Cambria Math" w:hAnsi="Cambria Math" w:cs="Calibri Light"/>
                        </w:rPr>
                        <m:t>z</m:t>
                      </m:r>
                    </m:e>
                    <m:sub>
                      <m:r>
                        <w:rPr>
                          <w:rFonts w:ascii="Cambria Math" w:hAnsi="Cambria Math" w:cs="Calibri Light"/>
                        </w:rPr>
                        <m:t>β</m:t>
                      </m:r>
                    </m:sub>
                  </m:sSub>
                  <m:r>
                    <w:rPr>
                      <w:rFonts w:ascii="Cambria Math" w:hAnsi="Cambria Math" w:cs="Calibri Light"/>
                    </w:rPr>
                    <m:t>+</m:t>
                  </m:r>
                  <m:sSub>
                    <m:sSubPr>
                      <m:ctrlPr>
                        <w:rPr>
                          <w:rFonts w:ascii="Cambria Math" w:hAnsi="Cambria Math" w:cs="Calibri Light"/>
                          <w:i/>
                        </w:rPr>
                      </m:ctrlPr>
                    </m:sSubPr>
                    <m:e>
                      <m:r>
                        <w:rPr>
                          <w:rFonts w:ascii="Cambria Math" w:hAnsi="Cambria Math" w:cs="Calibri Light"/>
                        </w:rPr>
                        <m:t>z</m:t>
                      </m:r>
                    </m:e>
                    <m:sub>
                      <m:f>
                        <m:fPr>
                          <m:type m:val="lin"/>
                          <m:ctrlPr>
                            <w:rPr>
                              <w:rFonts w:ascii="Cambria Math" w:hAnsi="Cambria Math" w:cs="Calibri Light"/>
                              <w:i/>
                            </w:rPr>
                          </m:ctrlPr>
                        </m:fPr>
                        <m:num>
                          <m:r>
                            <w:rPr>
                              <w:rFonts w:ascii="Cambria Math" w:hAnsi="Cambria Math" w:cs="Calibri Light"/>
                            </w:rPr>
                            <m:t>α</m:t>
                          </m:r>
                        </m:num>
                        <m:den>
                          <m:r>
                            <w:rPr>
                              <w:rFonts w:ascii="Cambria Math" w:hAnsi="Cambria Math" w:cs="Calibri Light"/>
                            </w:rPr>
                            <m:t>2</m:t>
                          </m:r>
                        </m:den>
                      </m:f>
                    </m:sub>
                  </m:sSub>
                  <m:r>
                    <w:rPr>
                      <w:rFonts w:ascii="Cambria Math" w:hAnsi="Cambria Math" w:cs="Calibri Light"/>
                    </w:rPr>
                    <m:t>)</m:t>
                  </m:r>
                </m:e>
                <m:sup>
                  <m:r>
                    <w:rPr>
                      <w:rFonts w:ascii="Cambria Math" w:hAnsi="Cambria Math" w:cs="Calibri Light"/>
                    </w:rPr>
                    <m:t>2</m:t>
                  </m:r>
                </m:sup>
              </m:sSup>
            </m:num>
            <m:den>
              <m:sSup>
                <m:sSupPr>
                  <m:ctrlPr>
                    <w:rPr>
                      <w:rFonts w:ascii="Cambria Math" w:hAnsi="Cambria Math" w:cs="Calibri Light"/>
                      <w:i/>
                    </w:rPr>
                  </m:ctrlPr>
                </m:sSupPr>
                <m:e>
                  <m:d>
                    <m:dPr>
                      <m:ctrlPr>
                        <w:rPr>
                          <w:rFonts w:ascii="Cambria Math" w:hAnsi="Cambria Math" w:cs="Calibri Light"/>
                          <w:i/>
                        </w:rPr>
                      </m:ctrlPr>
                    </m:dPr>
                    <m:e>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1</m:t>
                          </m:r>
                        </m:sub>
                      </m:sSub>
                      <m:r>
                        <w:rPr>
                          <w:rFonts w:ascii="Cambria Math" w:hAnsi="Cambria Math" w:cs="Calibri Light"/>
                        </w:rPr>
                        <m:t>-</m:t>
                      </m:r>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0</m:t>
                          </m:r>
                        </m:sub>
                      </m:sSub>
                    </m:e>
                  </m:d>
                </m:e>
                <m:sup>
                  <m:r>
                    <w:rPr>
                      <w:rFonts w:ascii="Cambria Math" w:hAnsi="Cambria Math" w:cs="Calibri Light"/>
                    </w:rPr>
                    <m:t>2</m:t>
                  </m:r>
                </m:sup>
              </m:sSup>
            </m:den>
          </m:f>
        </m:oMath>
      </m:oMathPara>
    </w:p>
    <w:p w14:paraId="55F607AA" w14:textId="77777777" w:rsidR="00D81B45" w:rsidRPr="000D2C26" w:rsidRDefault="00D81B45" w:rsidP="00D81B45">
      <w:pPr>
        <w:pStyle w:val="ListParagraph"/>
        <w:rPr>
          <w:rFonts w:ascii="Calibri Light" w:hAnsi="Calibri Light" w:cs="Calibri Light"/>
        </w:rPr>
      </w:pPr>
    </w:p>
    <w:p w14:paraId="5A90F034" w14:textId="77777777" w:rsidR="00D81B45" w:rsidRPr="000D2C26" w:rsidRDefault="00D81B45" w:rsidP="00D81B45">
      <w:pPr>
        <w:pStyle w:val="ListParagraph"/>
        <w:rPr>
          <w:rFonts w:ascii="Calibri Light" w:eastAsiaTheme="minorEastAsia" w:hAnsi="Calibri Light" w:cs="Calibri Light"/>
        </w:rPr>
      </w:pPr>
      <w:r w:rsidRPr="000D2C26">
        <w:rPr>
          <w:rFonts w:ascii="Calibri Light" w:hAnsi="Calibri Light" w:cs="Calibri Light"/>
        </w:rPr>
        <w:t xml:space="preserve">where </w:t>
      </w:r>
      <w:r w:rsidRPr="000D2C26">
        <w:rPr>
          <w:rFonts w:ascii="Calibri Light" w:hAnsi="Calibri Light" w:cs="Calibri Light"/>
          <w:i/>
          <w:iCs/>
        </w:rPr>
        <w:t>p</w:t>
      </w:r>
      <w:r w:rsidRPr="000D2C26">
        <w:rPr>
          <w:rFonts w:ascii="Calibri Light" w:hAnsi="Calibri Light" w:cs="Calibri Light"/>
        </w:rPr>
        <w:t xml:space="preserve"> equals the probability of success and</w:t>
      </w:r>
      <m:oMath>
        <m:r>
          <w:rPr>
            <w:rFonts w:ascii="Cambria Math" w:hAnsi="Cambria Math" w:cs="Calibri Light"/>
          </w:rPr>
          <m:t xml:space="preserve"> p</m:t>
        </m:r>
        <m:d>
          <m:dPr>
            <m:ctrlPr>
              <w:rPr>
                <w:rFonts w:ascii="Cambria Math" w:hAnsi="Cambria Math" w:cs="Calibri Light"/>
                <w:i/>
              </w:rPr>
            </m:ctrlPr>
          </m:dPr>
          <m:e>
            <m:r>
              <w:rPr>
                <w:rFonts w:ascii="Cambria Math" w:hAnsi="Cambria Math" w:cs="Calibri Light"/>
              </w:rPr>
              <m:t>1-p</m:t>
            </m:r>
          </m:e>
        </m:d>
      </m:oMath>
      <w:r w:rsidRPr="000D2C26">
        <w:rPr>
          <w:rFonts w:ascii="Calibri Light" w:hAnsi="Calibri Light" w:cs="Calibri Light"/>
        </w:rPr>
        <w:t xml:space="preserve"> yields the variance of the binary outcome, </w:t>
      </w:r>
      <m:oMath>
        <m:r>
          <w:rPr>
            <w:rFonts w:ascii="Cambria Math" w:hAnsi="Cambria Math" w:cs="Calibri Light"/>
          </w:rPr>
          <m:t>π</m:t>
        </m:r>
      </m:oMath>
      <w:r w:rsidRPr="000D2C26">
        <w:rPr>
          <w:rFonts w:ascii="Calibri Light" w:eastAsiaTheme="minorEastAsia" w:hAnsi="Calibri Light" w:cs="Calibri Light"/>
        </w:rPr>
        <w:t xml:space="preserve"> is the proportion of the sample that is treated, </w:t>
      </w:r>
      <m:oMath>
        <m:sSub>
          <m:sSubPr>
            <m:ctrlPr>
              <w:rPr>
                <w:rFonts w:ascii="Cambria Math" w:hAnsi="Cambria Math" w:cs="Calibri Light"/>
                <w:i/>
              </w:rPr>
            </m:ctrlPr>
          </m:sSubPr>
          <m:e>
            <m:sSub>
              <m:sSubPr>
                <m:ctrlPr>
                  <w:rPr>
                    <w:rFonts w:ascii="Cambria Math" w:hAnsi="Cambria Math" w:cs="Calibri Light"/>
                    <w:i/>
                  </w:rPr>
                </m:ctrlPr>
              </m:sSubPr>
              <m:e>
                <m:r>
                  <w:rPr>
                    <w:rFonts w:ascii="Cambria Math" w:hAnsi="Cambria Math" w:cs="Calibri Light"/>
                  </w:rPr>
                  <m:t>z</m:t>
                </m:r>
              </m:e>
              <m:sub>
                <m:r>
                  <w:rPr>
                    <w:rFonts w:ascii="Cambria Math" w:hAnsi="Cambria Math" w:cs="Calibri Light"/>
                  </w:rPr>
                  <m:t>β</m:t>
                </m:r>
              </m:sub>
            </m:sSub>
            <m:r>
              <w:rPr>
                <w:rFonts w:ascii="Cambria Math" w:hAnsi="Cambria Math" w:cs="Calibri Light"/>
              </w:rPr>
              <m:t>+z</m:t>
            </m:r>
          </m:e>
          <m:sub>
            <m:f>
              <m:fPr>
                <m:type m:val="lin"/>
                <m:ctrlPr>
                  <w:rPr>
                    <w:rFonts w:ascii="Cambria Math" w:hAnsi="Cambria Math" w:cs="Calibri Light"/>
                    <w:i/>
                  </w:rPr>
                </m:ctrlPr>
              </m:fPr>
              <m:num>
                <m:r>
                  <w:rPr>
                    <w:rFonts w:ascii="Cambria Math" w:hAnsi="Cambria Math" w:cs="Calibri Light"/>
                  </w:rPr>
                  <m:t>α</m:t>
                </m:r>
              </m:num>
              <m:den>
                <m:r>
                  <w:rPr>
                    <w:rFonts w:ascii="Cambria Math" w:hAnsi="Cambria Math" w:cs="Calibri Light"/>
                  </w:rPr>
                  <m:t>2</m:t>
                </m:r>
              </m:den>
            </m:f>
          </m:sub>
        </m:sSub>
      </m:oMath>
      <w:r w:rsidRPr="000D2C26">
        <w:rPr>
          <w:rFonts w:ascii="Calibri Light" w:eastAsiaTheme="minorEastAsia" w:hAnsi="Calibri Light" w:cs="Calibri Light"/>
        </w:rPr>
        <w:t xml:space="preserve"> represents the Z-score and significance level at which the null hypothesis will be rejected, and </w:t>
      </w:r>
      <m:oMath>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1</m:t>
            </m:r>
          </m:sub>
        </m:sSub>
        <m:r>
          <w:rPr>
            <w:rFonts w:ascii="Cambria Math" w:hAnsi="Cambria Math" w:cs="Calibri Light"/>
          </w:rPr>
          <m:t>-</m:t>
        </m:r>
        <m:sSub>
          <m:sSubPr>
            <m:ctrlPr>
              <w:rPr>
                <w:rFonts w:ascii="Cambria Math" w:hAnsi="Cambria Math" w:cs="Calibri Light"/>
                <w:i/>
              </w:rPr>
            </m:ctrlPr>
          </m:sSubPr>
          <m:e>
            <m:r>
              <w:rPr>
                <w:rFonts w:ascii="Cambria Math" w:hAnsi="Cambria Math" w:cs="Calibri Light"/>
              </w:rPr>
              <m:t>p</m:t>
            </m:r>
          </m:e>
          <m:sub>
            <m:r>
              <w:rPr>
                <w:rFonts w:ascii="Cambria Math" w:hAnsi="Cambria Math" w:cs="Calibri Light"/>
              </w:rPr>
              <m:t>0</m:t>
            </m:r>
          </m:sub>
        </m:sSub>
      </m:oMath>
      <w:r w:rsidRPr="000D2C26">
        <w:rPr>
          <w:rFonts w:ascii="Calibri Light" w:eastAsiaTheme="minorEastAsia" w:hAnsi="Calibri Light" w:cs="Calibri Light"/>
        </w:rPr>
        <w:t xml:space="preserve"> represents the Minimum Detectable Effect size (MDE). </w:t>
      </w:r>
    </w:p>
    <w:p w14:paraId="055BE6DE" w14:textId="77777777" w:rsidR="00D81B45" w:rsidRPr="000D2C26" w:rsidRDefault="00D81B45" w:rsidP="00D81B45">
      <w:pPr>
        <w:pStyle w:val="ListParagraph"/>
        <w:rPr>
          <w:rFonts w:ascii="Calibri Light" w:eastAsiaTheme="minorEastAsia" w:hAnsi="Calibri Light" w:cs="Calibri Light"/>
        </w:rPr>
      </w:pPr>
    </w:p>
    <w:p w14:paraId="31B47C4F" w14:textId="77777777" w:rsidR="00D81B45" w:rsidRPr="000D2C26" w:rsidRDefault="00D81B45" w:rsidP="00D81B45">
      <w:pPr>
        <w:pStyle w:val="ListParagraph"/>
        <w:rPr>
          <w:rFonts w:ascii="Calibri Light" w:eastAsiaTheme="minorEastAsia" w:hAnsi="Calibri Light" w:cs="Calibri Light"/>
        </w:rPr>
      </w:pPr>
      <w:r w:rsidRPr="000D2C26">
        <w:rPr>
          <w:rFonts w:ascii="Calibri Light" w:eastAsiaTheme="minorEastAsia" w:hAnsi="Calibri Light" w:cs="Calibri Light"/>
        </w:rPr>
        <w:t xml:space="preserve">For our power calculations, we assume that </w:t>
      </w:r>
      <w:r w:rsidRPr="000D2C26">
        <w:rPr>
          <w:rFonts w:ascii="Calibri Light" w:eastAsiaTheme="minorEastAsia" w:hAnsi="Calibri Light" w:cs="Calibri Light"/>
          <w:i/>
          <w:iCs/>
        </w:rPr>
        <w:t>p =</w:t>
      </w:r>
      <w:r w:rsidRPr="000D2C26">
        <w:rPr>
          <w:rFonts w:ascii="Calibri Light" w:eastAsiaTheme="minorEastAsia" w:hAnsi="Calibri Light" w:cs="Calibri Light"/>
        </w:rPr>
        <w:t xml:space="preserve"> 28%, which represents the eviction rate of PRC participants who received assistance between April 2020 and August 2021. This eviction rate was calculated by a JFS staff member who manually matched eviction records to PRC participants’ names. We had hoped to calculate a more exact measure using all PRC applicants—not just recipients—over a longer </w:t>
      </w:r>
      <w:proofErr w:type="gramStart"/>
      <w:r w:rsidRPr="000D2C26">
        <w:rPr>
          <w:rFonts w:ascii="Calibri Light" w:eastAsiaTheme="minorEastAsia" w:hAnsi="Calibri Light" w:cs="Calibri Light"/>
        </w:rPr>
        <w:t>period of time</w:t>
      </w:r>
      <w:proofErr w:type="gramEnd"/>
      <w:r w:rsidRPr="000D2C26">
        <w:rPr>
          <w:rFonts w:ascii="Calibri Light" w:eastAsiaTheme="minorEastAsia" w:hAnsi="Calibri Light" w:cs="Calibri Light"/>
        </w:rPr>
        <w:t xml:space="preserve">, as recent years have been characterized by significant fluctuations in eviction rates due to eviction moratoria and the federal Emergency Rental Assistance (ERA) program. We are awaiting the finalization of data use agreements between </w:t>
      </w:r>
      <w:r w:rsidRPr="000D2C26">
        <w:rPr>
          <w:rFonts w:ascii="Calibri Light" w:eastAsiaTheme="minorEastAsia" w:hAnsi="Calibri Light" w:cs="Calibri Light"/>
        </w:rPr>
        <w:lastRenderedPageBreak/>
        <w:t>Franklin County, the University of Tennessee, and the University of California-Irvine, which will allow us to calculate a more exact rate.</w:t>
      </w:r>
    </w:p>
    <w:p w14:paraId="7411BC3C" w14:textId="77777777" w:rsidR="00D81B45" w:rsidRPr="000D2C26" w:rsidRDefault="00D81B45" w:rsidP="00D81B45">
      <w:pPr>
        <w:pStyle w:val="ListParagraph"/>
        <w:rPr>
          <w:rFonts w:ascii="Calibri Light" w:eastAsiaTheme="minorEastAsia" w:hAnsi="Calibri Light" w:cs="Calibri Light"/>
        </w:rPr>
      </w:pPr>
    </w:p>
    <w:p w14:paraId="0A3B174E" w14:textId="676F4C52" w:rsidR="00AF12E8" w:rsidRPr="000D2C26" w:rsidRDefault="00D81B45" w:rsidP="00D81B45">
      <w:pPr>
        <w:pStyle w:val="ListParagraph"/>
        <w:rPr>
          <w:rFonts w:ascii="Calibri Light" w:hAnsi="Calibri Light" w:cs="Calibri Light"/>
          <w:b/>
          <w:bCs/>
        </w:rPr>
      </w:pPr>
      <w:r w:rsidRPr="000D2C26">
        <w:rPr>
          <w:rFonts w:ascii="Calibri Light" w:hAnsi="Calibri Light" w:cs="Calibri Light"/>
        </w:rPr>
        <w:t>We assume an alpha of 0.05, a ratio of 3:1 for the treatment vs. control group, and an MDE of 0.13. This suggests that we would expect to detect an effect if the difference between the treatment and control groups were 13 percentage points, or a 15% eviction rate among the treatment group vs. a 28% eviction rate in the control group. While this may seem like a large MDE, it is important to note that the overall eviction rate within Franklin County is about 7% among tenant households, on average (Pierce, 2020) and about 5% among tenant households nationwide (Eviction Lab, 2016). Given the difference between the general eviction rate and the eviction rate among PRC applicants, it seems reasonable to assume that there is room for a significant reduction in the eviction rate.</w:t>
      </w:r>
    </w:p>
    <w:p w14:paraId="5FB1546A" w14:textId="77777777" w:rsidR="00A51794" w:rsidRPr="000D2C26" w:rsidRDefault="00A51794" w:rsidP="00A51794">
      <w:pPr>
        <w:pStyle w:val="ListParagraph"/>
        <w:rPr>
          <w:rFonts w:ascii="Calibri Light" w:hAnsi="Calibri Light" w:cs="Calibri Light"/>
          <w:b/>
          <w:bCs/>
        </w:rPr>
      </w:pPr>
    </w:p>
    <w:p w14:paraId="2991F6AF" w14:textId="57D5FF62" w:rsidR="00A51794" w:rsidRPr="000D2C26" w:rsidRDefault="00A51794" w:rsidP="00A51794">
      <w:pPr>
        <w:pStyle w:val="ListParagraph"/>
        <w:numPr>
          <w:ilvl w:val="2"/>
          <w:numId w:val="2"/>
        </w:numPr>
        <w:rPr>
          <w:rFonts w:ascii="Calibri Light" w:hAnsi="Calibri Light" w:cs="Calibri Light"/>
          <w:b/>
          <w:bCs/>
        </w:rPr>
      </w:pPr>
      <w:r w:rsidRPr="000D2C26">
        <w:rPr>
          <w:rFonts w:ascii="Calibri Light" w:hAnsi="Calibri Light" w:cs="Calibri Light"/>
          <w:b/>
          <w:bCs/>
        </w:rPr>
        <w:t>Assignment to Treatment</w:t>
      </w:r>
    </w:p>
    <w:p w14:paraId="69268258" w14:textId="77777777" w:rsidR="00D81B45" w:rsidRPr="000D2C26" w:rsidRDefault="00D81B45" w:rsidP="000D2C26">
      <w:pPr>
        <w:pStyle w:val="ListParagraph"/>
        <w:rPr>
          <w:rFonts w:ascii="Calibri Light" w:hAnsi="Calibri Light" w:cs="Calibri Light"/>
          <w:bCs/>
        </w:rPr>
      </w:pPr>
      <w:r w:rsidRPr="000D2C26">
        <w:rPr>
          <w:rFonts w:ascii="Calibri Light" w:hAnsi="Calibri Light" w:cs="Calibri Light"/>
          <w:bCs/>
        </w:rPr>
        <w:t>To better understand the interaction between rental education and rental assistance, we recruit and randomize participants when they apply for but before they are determined eligible or ineligible for rental assistance. As shown in Figure 1, our final participant sample will include both PRC recipients and non-recipients randomized to the control and treatment groups.</w:t>
      </w:r>
    </w:p>
    <w:p w14:paraId="5A10C7F1" w14:textId="77777777" w:rsidR="00D81B45" w:rsidRPr="000D2C26" w:rsidRDefault="00D81B45" w:rsidP="00D81B45">
      <w:pPr>
        <w:pStyle w:val="ListParagraph"/>
        <w:ind w:left="360"/>
        <w:rPr>
          <w:rFonts w:ascii="Calibri Light" w:hAnsi="Calibri Light" w:cs="Calibri Light"/>
          <w:bCs/>
        </w:rPr>
      </w:pPr>
    </w:p>
    <w:p w14:paraId="2B7C1BFB" w14:textId="77777777" w:rsidR="00D81B45" w:rsidRPr="000D2C26" w:rsidRDefault="00D81B45" w:rsidP="000D2C26">
      <w:pPr>
        <w:pStyle w:val="ListParagraph"/>
        <w:rPr>
          <w:rFonts w:ascii="Calibri Light" w:hAnsi="Calibri Light" w:cs="Calibri Light"/>
          <w:b/>
          <w:bCs/>
        </w:rPr>
      </w:pPr>
      <w:r w:rsidRPr="000D2C26">
        <w:rPr>
          <w:rFonts w:ascii="Calibri Light" w:hAnsi="Calibri Light" w:cs="Calibri Light"/>
          <w:b/>
          <w:bCs/>
        </w:rPr>
        <w:t>Figure 1</w:t>
      </w:r>
    </w:p>
    <w:p w14:paraId="534A3649" w14:textId="77777777" w:rsidR="00D81B45" w:rsidRPr="000D2C26" w:rsidRDefault="00D81B45" w:rsidP="00D81B45">
      <w:pPr>
        <w:pStyle w:val="ListParagraph"/>
        <w:ind w:left="360"/>
        <w:rPr>
          <w:rFonts w:ascii="Calibri Light" w:hAnsi="Calibri Light" w:cs="Calibri Light"/>
        </w:rPr>
      </w:pPr>
    </w:p>
    <w:tbl>
      <w:tblPr>
        <w:tblStyle w:val="TableGrid"/>
        <w:tblW w:w="0" w:type="auto"/>
        <w:tblInd w:w="1012" w:type="dxa"/>
        <w:tblLook w:val="04A0" w:firstRow="1" w:lastRow="0" w:firstColumn="1" w:lastColumn="0" w:noHBand="0" w:noVBand="1"/>
      </w:tblPr>
      <w:tblGrid>
        <w:gridCol w:w="1269"/>
        <w:gridCol w:w="1589"/>
        <w:gridCol w:w="2248"/>
        <w:gridCol w:w="2248"/>
      </w:tblGrid>
      <w:tr w:rsidR="00D81B45" w:rsidRPr="000D2C26" w14:paraId="3EC20DF3" w14:textId="77777777" w:rsidTr="000D2C26">
        <w:tc>
          <w:tcPr>
            <w:tcW w:w="1269" w:type="dxa"/>
            <w:tcBorders>
              <w:top w:val="nil"/>
              <w:left w:val="nil"/>
              <w:bottom w:val="nil"/>
              <w:right w:val="nil"/>
            </w:tcBorders>
          </w:tcPr>
          <w:p w14:paraId="61118102" w14:textId="77777777" w:rsidR="00D81B45" w:rsidRPr="000D2C26" w:rsidRDefault="00D81B45" w:rsidP="008376D7">
            <w:pPr>
              <w:pStyle w:val="ListParagraph"/>
              <w:ind w:left="0"/>
              <w:rPr>
                <w:rFonts w:ascii="Calibri Light" w:hAnsi="Calibri Light" w:cs="Calibri Light"/>
              </w:rPr>
            </w:pPr>
          </w:p>
        </w:tc>
        <w:tc>
          <w:tcPr>
            <w:tcW w:w="1589" w:type="dxa"/>
            <w:tcBorders>
              <w:top w:val="nil"/>
              <w:left w:val="nil"/>
              <w:bottom w:val="nil"/>
              <w:right w:val="nil"/>
            </w:tcBorders>
          </w:tcPr>
          <w:p w14:paraId="778F188B" w14:textId="77777777" w:rsidR="00D81B45" w:rsidRPr="000D2C26" w:rsidRDefault="00D81B45" w:rsidP="008376D7">
            <w:pPr>
              <w:pStyle w:val="ListParagraph"/>
              <w:ind w:left="0"/>
              <w:rPr>
                <w:rFonts w:ascii="Calibri Light" w:hAnsi="Calibri Light" w:cs="Calibri Light"/>
              </w:rPr>
            </w:pPr>
          </w:p>
        </w:tc>
        <w:tc>
          <w:tcPr>
            <w:tcW w:w="4496" w:type="dxa"/>
            <w:gridSpan w:val="2"/>
            <w:tcBorders>
              <w:top w:val="nil"/>
              <w:left w:val="nil"/>
              <w:bottom w:val="nil"/>
              <w:right w:val="nil"/>
            </w:tcBorders>
          </w:tcPr>
          <w:p w14:paraId="47AD7F23" w14:textId="77777777" w:rsidR="00D81B45" w:rsidRPr="000D2C26" w:rsidRDefault="00D81B45" w:rsidP="008376D7">
            <w:pPr>
              <w:pStyle w:val="ListParagraph"/>
              <w:ind w:left="0"/>
              <w:jc w:val="center"/>
              <w:rPr>
                <w:rFonts w:ascii="Calibri Light" w:hAnsi="Calibri Light" w:cs="Calibri Light"/>
                <w:u w:val="single"/>
              </w:rPr>
            </w:pPr>
            <w:r w:rsidRPr="000D2C26">
              <w:rPr>
                <w:rFonts w:ascii="Calibri Light" w:hAnsi="Calibri Light" w:cs="Calibri Light"/>
                <w:u w:val="single"/>
              </w:rPr>
              <w:t>Experimental Group</w:t>
            </w:r>
          </w:p>
          <w:p w14:paraId="65F33841" w14:textId="77777777" w:rsidR="00D81B45" w:rsidRPr="000D2C26" w:rsidRDefault="00D81B45" w:rsidP="008376D7">
            <w:pPr>
              <w:pStyle w:val="ListParagraph"/>
              <w:ind w:left="0"/>
              <w:jc w:val="center"/>
              <w:rPr>
                <w:rFonts w:ascii="Calibri Light" w:hAnsi="Calibri Light" w:cs="Calibri Light"/>
                <w:u w:val="single"/>
              </w:rPr>
            </w:pPr>
          </w:p>
        </w:tc>
      </w:tr>
      <w:tr w:rsidR="00D81B45" w:rsidRPr="000D2C26" w14:paraId="322C3251" w14:textId="77777777" w:rsidTr="000D2C26">
        <w:trPr>
          <w:trHeight w:val="423"/>
        </w:trPr>
        <w:tc>
          <w:tcPr>
            <w:tcW w:w="1269" w:type="dxa"/>
            <w:tcBorders>
              <w:top w:val="nil"/>
              <w:left w:val="nil"/>
              <w:bottom w:val="nil"/>
              <w:right w:val="nil"/>
            </w:tcBorders>
          </w:tcPr>
          <w:p w14:paraId="359DF22E" w14:textId="77777777" w:rsidR="00D81B45" w:rsidRPr="000D2C26" w:rsidRDefault="00D81B45" w:rsidP="008376D7">
            <w:pPr>
              <w:pStyle w:val="ListParagraph"/>
              <w:ind w:left="0"/>
              <w:rPr>
                <w:rFonts w:ascii="Calibri Light" w:hAnsi="Calibri Light" w:cs="Calibri Light"/>
              </w:rPr>
            </w:pPr>
          </w:p>
        </w:tc>
        <w:tc>
          <w:tcPr>
            <w:tcW w:w="1589" w:type="dxa"/>
            <w:tcBorders>
              <w:top w:val="nil"/>
              <w:left w:val="nil"/>
              <w:bottom w:val="nil"/>
              <w:right w:val="nil"/>
            </w:tcBorders>
          </w:tcPr>
          <w:p w14:paraId="07608C75" w14:textId="77777777" w:rsidR="00D81B45" w:rsidRPr="000D2C26" w:rsidRDefault="00D81B45" w:rsidP="008376D7">
            <w:pPr>
              <w:pStyle w:val="ListParagraph"/>
              <w:ind w:left="0"/>
              <w:rPr>
                <w:rFonts w:ascii="Calibri Light" w:hAnsi="Calibri Light" w:cs="Calibri Light"/>
              </w:rPr>
            </w:pPr>
          </w:p>
        </w:tc>
        <w:tc>
          <w:tcPr>
            <w:tcW w:w="2248" w:type="dxa"/>
            <w:tcBorders>
              <w:top w:val="nil"/>
              <w:left w:val="nil"/>
              <w:right w:val="dotted" w:sz="4" w:space="0" w:color="auto"/>
            </w:tcBorders>
            <w:vAlign w:val="center"/>
          </w:tcPr>
          <w:p w14:paraId="1DF90B65"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Control</w:t>
            </w:r>
          </w:p>
        </w:tc>
        <w:tc>
          <w:tcPr>
            <w:tcW w:w="2248" w:type="dxa"/>
            <w:tcBorders>
              <w:top w:val="nil"/>
              <w:left w:val="dotted" w:sz="4" w:space="0" w:color="auto"/>
              <w:right w:val="nil"/>
            </w:tcBorders>
            <w:vAlign w:val="center"/>
          </w:tcPr>
          <w:p w14:paraId="7636DF94"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Treatment</w:t>
            </w:r>
          </w:p>
        </w:tc>
      </w:tr>
      <w:tr w:rsidR="00D81B45" w:rsidRPr="000D2C26" w14:paraId="68EA5FE9" w14:textId="77777777" w:rsidTr="000D2C26">
        <w:trPr>
          <w:trHeight w:val="494"/>
        </w:trPr>
        <w:tc>
          <w:tcPr>
            <w:tcW w:w="1269" w:type="dxa"/>
            <w:vMerge w:val="restart"/>
            <w:tcBorders>
              <w:top w:val="nil"/>
              <w:left w:val="nil"/>
              <w:bottom w:val="nil"/>
              <w:right w:val="nil"/>
            </w:tcBorders>
          </w:tcPr>
          <w:p w14:paraId="64932983" w14:textId="77777777" w:rsidR="00D81B45" w:rsidRPr="000D2C26" w:rsidRDefault="00D81B45" w:rsidP="008376D7">
            <w:pPr>
              <w:pStyle w:val="ListParagraph"/>
              <w:ind w:left="0"/>
              <w:jc w:val="center"/>
              <w:rPr>
                <w:rFonts w:ascii="Calibri Light" w:hAnsi="Calibri Light" w:cs="Calibri Light"/>
                <w:u w:val="single"/>
              </w:rPr>
            </w:pPr>
            <w:r w:rsidRPr="000D2C26">
              <w:rPr>
                <w:rFonts w:ascii="Calibri Light" w:hAnsi="Calibri Light" w:cs="Calibri Light"/>
                <w:u w:val="single"/>
              </w:rPr>
              <w:t>Rental Assistance</w:t>
            </w:r>
          </w:p>
          <w:p w14:paraId="7CAC697E" w14:textId="77777777" w:rsidR="00D81B45" w:rsidRPr="000D2C26" w:rsidRDefault="00D81B45" w:rsidP="008376D7">
            <w:pPr>
              <w:pStyle w:val="ListParagraph"/>
              <w:ind w:left="0"/>
              <w:jc w:val="center"/>
              <w:rPr>
                <w:rFonts w:ascii="Calibri Light" w:hAnsi="Calibri Light" w:cs="Calibri Light"/>
                <w:u w:val="single"/>
              </w:rPr>
            </w:pPr>
            <w:r w:rsidRPr="000D2C26">
              <w:rPr>
                <w:rFonts w:ascii="Calibri Light" w:hAnsi="Calibri Light" w:cs="Calibri Light"/>
                <w:u w:val="single"/>
              </w:rPr>
              <w:t>Status</w:t>
            </w:r>
          </w:p>
        </w:tc>
        <w:tc>
          <w:tcPr>
            <w:tcW w:w="1589" w:type="dxa"/>
            <w:tcBorders>
              <w:top w:val="nil"/>
              <w:left w:val="nil"/>
              <w:bottom w:val="dotted" w:sz="4" w:space="0" w:color="auto"/>
            </w:tcBorders>
            <w:vAlign w:val="center"/>
          </w:tcPr>
          <w:p w14:paraId="7D57FDFB"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Non-Recipient</w:t>
            </w:r>
          </w:p>
        </w:tc>
        <w:tc>
          <w:tcPr>
            <w:tcW w:w="2248" w:type="dxa"/>
            <w:vAlign w:val="center"/>
          </w:tcPr>
          <w:p w14:paraId="33B78616"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No Intervention</w:t>
            </w:r>
          </w:p>
        </w:tc>
        <w:tc>
          <w:tcPr>
            <w:tcW w:w="2248" w:type="dxa"/>
            <w:vAlign w:val="center"/>
          </w:tcPr>
          <w:p w14:paraId="229FD63B"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Renter Education Only</w:t>
            </w:r>
          </w:p>
        </w:tc>
      </w:tr>
      <w:tr w:rsidR="00D81B45" w:rsidRPr="000D2C26" w14:paraId="193F454A" w14:textId="77777777" w:rsidTr="000D2C26">
        <w:trPr>
          <w:trHeight w:val="575"/>
        </w:trPr>
        <w:tc>
          <w:tcPr>
            <w:tcW w:w="1269" w:type="dxa"/>
            <w:vMerge/>
            <w:tcBorders>
              <w:top w:val="nil"/>
              <w:left w:val="nil"/>
              <w:bottom w:val="nil"/>
              <w:right w:val="nil"/>
            </w:tcBorders>
          </w:tcPr>
          <w:p w14:paraId="026E5C9E" w14:textId="77777777" w:rsidR="00D81B45" w:rsidRPr="000D2C26" w:rsidRDefault="00D81B45" w:rsidP="008376D7">
            <w:pPr>
              <w:pStyle w:val="ListParagraph"/>
              <w:ind w:left="0"/>
              <w:rPr>
                <w:rFonts w:ascii="Calibri Light" w:hAnsi="Calibri Light" w:cs="Calibri Light"/>
              </w:rPr>
            </w:pPr>
          </w:p>
        </w:tc>
        <w:tc>
          <w:tcPr>
            <w:tcW w:w="1589" w:type="dxa"/>
            <w:tcBorders>
              <w:top w:val="dotted" w:sz="4" w:space="0" w:color="auto"/>
              <w:left w:val="nil"/>
              <w:bottom w:val="nil"/>
            </w:tcBorders>
            <w:vAlign w:val="center"/>
          </w:tcPr>
          <w:p w14:paraId="5EE3CD3F"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Recipient</w:t>
            </w:r>
          </w:p>
        </w:tc>
        <w:tc>
          <w:tcPr>
            <w:tcW w:w="2248" w:type="dxa"/>
            <w:vAlign w:val="center"/>
          </w:tcPr>
          <w:p w14:paraId="6445DE67"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Rental Assistance Only</w:t>
            </w:r>
          </w:p>
        </w:tc>
        <w:tc>
          <w:tcPr>
            <w:tcW w:w="2248" w:type="dxa"/>
            <w:vAlign w:val="center"/>
          </w:tcPr>
          <w:p w14:paraId="6771F134" w14:textId="77777777" w:rsidR="00D81B45" w:rsidRPr="000D2C26" w:rsidRDefault="00D81B45" w:rsidP="008376D7">
            <w:pPr>
              <w:pStyle w:val="ListParagraph"/>
              <w:ind w:left="0"/>
              <w:jc w:val="center"/>
              <w:rPr>
                <w:rFonts w:ascii="Calibri Light" w:hAnsi="Calibri Light" w:cs="Calibri Light"/>
              </w:rPr>
            </w:pPr>
            <w:r w:rsidRPr="000D2C26">
              <w:rPr>
                <w:rFonts w:ascii="Calibri Light" w:hAnsi="Calibri Light" w:cs="Calibri Light"/>
              </w:rPr>
              <w:t>Both Interventions</w:t>
            </w:r>
          </w:p>
        </w:tc>
      </w:tr>
    </w:tbl>
    <w:p w14:paraId="11C26196" w14:textId="77777777" w:rsidR="00D81B45" w:rsidRPr="000D2C26" w:rsidRDefault="00D81B45" w:rsidP="00D81B45">
      <w:pPr>
        <w:rPr>
          <w:rFonts w:ascii="Calibri Light" w:hAnsi="Calibri Light" w:cs="Calibri Light"/>
          <w:b/>
          <w:bCs/>
        </w:rPr>
      </w:pPr>
    </w:p>
    <w:p w14:paraId="4B92FEB1" w14:textId="081C23C3" w:rsidR="00D81B45" w:rsidRPr="000D2C26" w:rsidRDefault="00D81B45" w:rsidP="000D2C26">
      <w:pPr>
        <w:ind w:left="630"/>
        <w:rPr>
          <w:rFonts w:ascii="Calibri Light" w:hAnsi="Calibri Light" w:cs="Calibri Light"/>
        </w:rPr>
      </w:pPr>
      <w:r w:rsidRPr="000D2C26">
        <w:rPr>
          <w:rFonts w:ascii="Calibri Light" w:hAnsi="Calibri Light" w:cs="Calibri Light"/>
        </w:rPr>
        <w:t>The experimental research design draws from online applicants to the Franklin County rental assistance program known as PRC. Franklin County’s PRC program receives PRC applications via mail, email fax, and in person. Franklin County typically processes applications within 1 to 3 business days of application</w:t>
      </w:r>
      <w:r w:rsidRPr="000D2C26">
        <w:rPr>
          <w:rFonts w:ascii="Calibri Light" w:hAnsi="Calibri Light" w:cs="Calibri Light"/>
          <w:u w:val="single"/>
        </w:rPr>
        <w:t xml:space="preserve"> </w:t>
      </w:r>
      <w:r w:rsidRPr="000D2C26">
        <w:rPr>
          <w:rFonts w:ascii="Calibri Light" w:hAnsi="Calibri Light" w:cs="Calibri Light"/>
        </w:rPr>
        <w:t>receipt</w:t>
      </w:r>
      <w:r w:rsidRPr="000D2C26">
        <w:rPr>
          <w:rFonts w:ascii="Calibri Light" w:hAnsi="Calibri Light" w:cs="Calibri Light"/>
        </w:rPr>
        <w:t>.</w:t>
      </w:r>
      <w:r w:rsidRPr="000D2C26">
        <w:rPr>
          <w:rFonts w:ascii="Calibri Light" w:hAnsi="Calibri Light" w:cs="Calibri Light"/>
        </w:rPr>
        <w:t> Immediately upon processing an application,</w:t>
      </w:r>
      <w:r w:rsidRPr="000D2C26">
        <w:rPr>
          <w:rFonts w:ascii="Calibri Light" w:hAnsi="Calibri Light" w:cs="Calibri Light"/>
        </w:rPr>
        <w:t xml:space="preserve"> </w:t>
      </w:r>
      <w:r w:rsidRPr="000D2C26">
        <w:rPr>
          <w:rFonts w:ascii="Calibri Light" w:hAnsi="Calibri Light" w:cs="Calibri Light"/>
        </w:rPr>
        <w:t xml:space="preserve">Franklin County JFS will automatically send the PRC emergency rental assistance applicant an email inviting them to participate in the study. Applicants who affirmatively consent to participate will then be directed to complete an online survey that solicits information about participants’ housing history, housing quality, and knowledge of housing rights. The survey should take approximately 15 minutes to complete. After completing the survey, participants will be randomly assigned to either a treatment or a control group; </w:t>
      </w:r>
      <w:r w:rsidRPr="000D2C26">
        <w:rPr>
          <w:rFonts w:ascii="Calibri Light" w:hAnsi="Calibri Light" w:cs="Calibri Light"/>
        </w:rPr>
        <w:t>75</w:t>
      </w:r>
      <w:r w:rsidRPr="000D2C26">
        <w:rPr>
          <w:rFonts w:ascii="Calibri Light" w:hAnsi="Calibri Light" w:cs="Calibri Light"/>
        </w:rPr>
        <w:t xml:space="preserve"> percent of participants will be assigned to the treatment group and the rest to the control group. Treatment group participants will then be invited to participate in a renter education program to be held within one to four weeks. Control group participants will receive a list of local and online renter education resources but will not be invited to participate in the renter education program. </w:t>
      </w:r>
    </w:p>
    <w:p w14:paraId="19FED8D5" w14:textId="77777777" w:rsidR="00D81B45" w:rsidRPr="000D2C26" w:rsidRDefault="00D81B45" w:rsidP="000D2C26">
      <w:pPr>
        <w:ind w:left="630"/>
        <w:rPr>
          <w:rFonts w:ascii="Calibri Light" w:hAnsi="Calibri Light" w:cs="Calibri Light"/>
        </w:rPr>
      </w:pPr>
    </w:p>
    <w:p w14:paraId="4FE5470D" w14:textId="6A3BFC29" w:rsidR="00D81B45" w:rsidRPr="000D2C26" w:rsidRDefault="00D81B45" w:rsidP="000D2C26">
      <w:pPr>
        <w:ind w:left="630"/>
        <w:rPr>
          <w:rFonts w:ascii="Calibri Light" w:hAnsi="Calibri Light" w:cs="Calibri Light"/>
        </w:rPr>
      </w:pPr>
      <w:r w:rsidRPr="000D2C26">
        <w:rPr>
          <w:rFonts w:ascii="Calibri Light" w:hAnsi="Calibri Light" w:cs="Calibri Light"/>
        </w:rPr>
        <w:t xml:space="preserve">The renter education workshop—the primary treatment—is a 2.5-hour, in-person workshop at which participants will receive detailed information about their rights and responsibilities as tenants. They will learn how to resolve conflicts with landlords, how to navigate the eviction </w:t>
      </w:r>
      <w:r w:rsidRPr="000D2C26">
        <w:rPr>
          <w:rFonts w:ascii="Calibri Light" w:hAnsi="Calibri Light" w:cs="Calibri Light"/>
        </w:rPr>
        <w:lastRenderedPageBreak/>
        <w:t xml:space="preserve">process, and where to find community resources to support housing stability (see Appendix D for a workshop outline and other workshop materials). CMS, the entity that hosts the workshop, has been providing this workshop to community members for over 10 years. Franklin County JFS, the entity that administers the PRC program, currently provides funding to CMS to support its renter education workshops and other activities. </w:t>
      </w:r>
    </w:p>
    <w:p w14:paraId="69AA5FA8" w14:textId="77777777" w:rsidR="00F54C03" w:rsidRPr="000D2C26" w:rsidRDefault="00F54C03" w:rsidP="00D81B45">
      <w:pPr>
        <w:rPr>
          <w:rFonts w:ascii="Calibri Light" w:hAnsi="Calibri Light" w:cs="Calibri Light"/>
        </w:rPr>
      </w:pPr>
    </w:p>
    <w:p w14:paraId="41562D4F" w14:textId="632FDDBB" w:rsidR="00F54C03" w:rsidRPr="000D2C26" w:rsidRDefault="00F54C03" w:rsidP="000D2C26">
      <w:pPr>
        <w:ind w:left="630"/>
        <w:rPr>
          <w:rFonts w:ascii="Calibri Light" w:hAnsi="Calibri Light" w:cs="Calibri Light"/>
        </w:rPr>
      </w:pPr>
      <w:r w:rsidRPr="000D2C26">
        <w:rPr>
          <w:rFonts w:ascii="Calibri Light" w:hAnsi="Calibri Light" w:cs="Calibri Light"/>
        </w:rPr>
        <w:t xml:space="preserve">All treatment and control group participants (excluding any who may have opted out of the study at the time of treatment) will receive an email and text invitation to participate in a second online survey six months after their initial PRC application. The second survey will request information about participants’ current living situation to determine whether any change in residence has occurred since the initial PRC application. This experimental research design allows for the evaluation of the main effect of receiving renter education and the secondary effect of receiving renter education with and without rental assistance. An important element of this design is that study participation will be offered to all PRC applicants prior </w:t>
      </w:r>
      <w:proofErr w:type="gramStart"/>
      <w:r w:rsidRPr="000D2C26">
        <w:rPr>
          <w:rFonts w:ascii="Calibri Light" w:hAnsi="Calibri Light" w:cs="Calibri Light"/>
        </w:rPr>
        <w:t>before applicants know</w:t>
      </w:r>
      <w:proofErr w:type="gramEnd"/>
      <w:r w:rsidRPr="000D2C26">
        <w:rPr>
          <w:rFonts w:ascii="Calibri Light" w:hAnsi="Calibri Light" w:cs="Calibri Light"/>
        </w:rPr>
        <w:t xml:space="preserve"> whether their application for assistance has been approved or denied. Thus, participants will fall into the following four categories—as shown in the matrix in Figure 1—no intervention, PRC Only, renter assistance only, and both PRC and rental assistance. Importantly, while the assignment to the renter education treatment is random, receipt of PRC is not random and is determined by the PRC program. Thus, while we can compare the outcomes of treatment group participants to control group participants and determine whether there appears to be is an added benefit of receiving rental assistance </w:t>
      </w:r>
      <w:r w:rsidRPr="000D2C26">
        <w:rPr>
          <w:rFonts w:ascii="Calibri Light" w:hAnsi="Calibri Light" w:cs="Calibri Light"/>
          <w:i/>
          <w:iCs/>
        </w:rPr>
        <w:t>with</w:t>
      </w:r>
      <w:r w:rsidRPr="000D2C26">
        <w:rPr>
          <w:rFonts w:ascii="Calibri Light" w:hAnsi="Calibri Light" w:cs="Calibri Light"/>
        </w:rPr>
        <w:t> PRC versus receiving renter education alone, the lack of randomization into the PRC program prevents us from identifying a causal effect of PRC on research outcomes.</w:t>
      </w:r>
    </w:p>
    <w:p w14:paraId="7B12F248" w14:textId="77777777" w:rsidR="00A51794" w:rsidRPr="000D2C26" w:rsidRDefault="00A51794" w:rsidP="00F54C03">
      <w:pPr>
        <w:rPr>
          <w:rFonts w:ascii="Calibri Light" w:hAnsi="Calibri Light" w:cs="Calibri Light"/>
          <w:b/>
          <w:bCs/>
        </w:rPr>
      </w:pPr>
    </w:p>
    <w:p w14:paraId="7F7454FC" w14:textId="2A45C31A" w:rsidR="00F54C03" w:rsidRPr="000D2C26" w:rsidRDefault="00A51794" w:rsidP="00F54C03">
      <w:pPr>
        <w:pStyle w:val="ListParagraph"/>
        <w:numPr>
          <w:ilvl w:val="2"/>
          <w:numId w:val="2"/>
        </w:numPr>
        <w:rPr>
          <w:rFonts w:ascii="Calibri Light" w:hAnsi="Calibri Light" w:cs="Calibri Light"/>
          <w:b/>
          <w:bCs/>
        </w:rPr>
      </w:pPr>
      <w:r w:rsidRPr="000D2C26">
        <w:rPr>
          <w:rFonts w:ascii="Calibri Light" w:hAnsi="Calibri Light" w:cs="Calibri Light"/>
          <w:b/>
          <w:bCs/>
        </w:rPr>
        <w:t>Attrition from the Sample</w:t>
      </w:r>
    </w:p>
    <w:p w14:paraId="052512CE" w14:textId="7A7C717D" w:rsidR="00F54C03" w:rsidRPr="00F54C03" w:rsidRDefault="00F54C03" w:rsidP="000D2C26">
      <w:pPr>
        <w:ind w:left="720"/>
        <w:rPr>
          <w:rFonts w:ascii="Calibri Light" w:hAnsi="Calibri Light" w:cs="Calibri Light"/>
        </w:rPr>
      </w:pPr>
      <w:r w:rsidRPr="00F54C03">
        <w:rPr>
          <w:rFonts w:ascii="Calibri Light" w:hAnsi="Calibri Light" w:cs="Calibri Light"/>
        </w:rPr>
        <w:t>Participant recruitment for the RCT will take place for roughly 9 to 12 weeks, beginning in the first quarter of 2024, until approximately 270 to 360 PRC applicants have completed the treatment. These numbers are based upon assumptions related to enrollment, take-up, and treatment participation, detailed in Table 1. </w:t>
      </w:r>
    </w:p>
    <w:p w14:paraId="11E72F49" w14:textId="77777777" w:rsidR="00F54C03" w:rsidRPr="000D2C26" w:rsidRDefault="00F54C03" w:rsidP="00F54C03">
      <w:pPr>
        <w:rPr>
          <w:rFonts w:ascii="Calibri Light" w:hAnsi="Calibri Light" w:cs="Calibri Light"/>
          <w:b/>
          <w:bCs/>
        </w:rPr>
      </w:pPr>
    </w:p>
    <w:p w14:paraId="483A0680" w14:textId="77777777" w:rsidR="00F54C03" w:rsidRPr="000D2C26" w:rsidRDefault="00F54C03" w:rsidP="00F54C03">
      <w:pPr>
        <w:pStyle w:val="ListParagraph"/>
        <w:ind w:left="0"/>
        <w:rPr>
          <w:rFonts w:ascii="Calibri Light" w:hAnsi="Calibri Light" w:cs="Calibri Light"/>
          <w:b/>
          <w:bCs/>
        </w:rPr>
      </w:pPr>
      <w:r w:rsidRPr="000D2C26">
        <w:rPr>
          <w:rFonts w:ascii="Calibri Light" w:hAnsi="Calibri Light" w:cs="Calibri Light"/>
          <w:b/>
          <w:bCs/>
        </w:rPr>
        <w:t>Table 1</w:t>
      </w:r>
    </w:p>
    <w:p w14:paraId="751839EF" w14:textId="77777777" w:rsidR="00F54C03" w:rsidRPr="000D2C26" w:rsidRDefault="00F54C03" w:rsidP="00F54C03">
      <w:pPr>
        <w:pStyle w:val="ListParagraph"/>
        <w:ind w:left="0"/>
        <w:rPr>
          <w:rFonts w:ascii="Calibri Light" w:hAnsi="Calibri Light" w:cs="Calibri Light"/>
          <w:b/>
          <w:bCs/>
        </w:rPr>
      </w:pPr>
    </w:p>
    <w:tbl>
      <w:tblPr>
        <w:tblStyle w:val="Economist"/>
        <w:tblW w:w="9103" w:type="dxa"/>
        <w:tblInd w:w="360" w:type="dxa"/>
        <w:tblLook w:val="04A0" w:firstRow="1" w:lastRow="0" w:firstColumn="1" w:lastColumn="0" w:noHBand="0" w:noVBand="1"/>
      </w:tblPr>
      <w:tblGrid>
        <w:gridCol w:w="2700"/>
        <w:gridCol w:w="1440"/>
        <w:gridCol w:w="1080"/>
        <w:gridCol w:w="1080"/>
        <w:gridCol w:w="1170"/>
        <w:gridCol w:w="1633"/>
      </w:tblGrid>
      <w:tr w:rsidR="00F54C03" w:rsidRPr="000D2C26" w14:paraId="2BEE6DAA" w14:textId="77777777" w:rsidTr="00837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3D737312"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b/>
                <w:bCs/>
              </w:rPr>
              <w:t>Event</w:t>
            </w:r>
          </w:p>
        </w:tc>
        <w:tc>
          <w:tcPr>
            <w:tcW w:w="1440" w:type="dxa"/>
            <w:tcBorders>
              <w:top w:val="single" w:sz="12" w:space="0" w:color="auto"/>
            </w:tcBorders>
          </w:tcPr>
          <w:p w14:paraId="11124D16" w14:textId="77777777" w:rsidR="00F54C03" w:rsidRPr="000D2C26" w:rsidRDefault="00F54C03" w:rsidP="008376D7">
            <w:pPr>
              <w:pStyle w:val="ListParagraph"/>
              <w:ind w:left="0"/>
              <w:jc w:val="right"/>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b/>
                <w:bCs/>
                <w:color w:val="000000"/>
              </w:rPr>
              <w:t>N (per week)</w:t>
            </w:r>
          </w:p>
        </w:tc>
        <w:tc>
          <w:tcPr>
            <w:tcW w:w="1080" w:type="dxa"/>
            <w:tcBorders>
              <w:top w:val="single" w:sz="12" w:space="0" w:color="auto"/>
            </w:tcBorders>
          </w:tcPr>
          <w:p w14:paraId="06240CC7" w14:textId="77777777" w:rsidR="00F54C03" w:rsidRPr="000D2C26" w:rsidRDefault="00F54C03" w:rsidP="008376D7">
            <w:pPr>
              <w:pStyle w:val="ListParagraph"/>
              <w:ind w:left="0"/>
              <w:jc w:val="right"/>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b/>
                <w:bCs/>
                <w:color w:val="000000"/>
              </w:rPr>
              <w:t>Take-Up</w:t>
            </w:r>
          </w:p>
        </w:tc>
        <w:tc>
          <w:tcPr>
            <w:tcW w:w="1080" w:type="dxa"/>
            <w:tcBorders>
              <w:top w:val="single" w:sz="12" w:space="0" w:color="auto"/>
            </w:tcBorders>
          </w:tcPr>
          <w:p w14:paraId="300AE238" w14:textId="77777777" w:rsidR="00F54C03" w:rsidRPr="000D2C26" w:rsidRDefault="00F54C03" w:rsidP="008376D7">
            <w:pPr>
              <w:pStyle w:val="ListParagraph"/>
              <w:ind w:left="0"/>
              <w:jc w:val="right"/>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b/>
                <w:bCs/>
                <w:color w:val="000000"/>
              </w:rPr>
              <w:t>Tx (75%)</w:t>
            </w:r>
          </w:p>
        </w:tc>
        <w:tc>
          <w:tcPr>
            <w:tcW w:w="1170" w:type="dxa"/>
            <w:tcBorders>
              <w:top w:val="single" w:sz="12" w:space="0" w:color="auto"/>
            </w:tcBorders>
          </w:tcPr>
          <w:p w14:paraId="2C955377" w14:textId="77777777" w:rsidR="00F54C03" w:rsidRPr="000D2C26" w:rsidRDefault="00F54C03" w:rsidP="008376D7">
            <w:pPr>
              <w:pStyle w:val="ListParagraph"/>
              <w:ind w:left="0"/>
              <w:jc w:val="right"/>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b/>
                <w:bCs/>
                <w:color w:val="000000"/>
              </w:rPr>
              <w:t>To (25%)</w:t>
            </w:r>
          </w:p>
        </w:tc>
        <w:tc>
          <w:tcPr>
            <w:tcW w:w="1633" w:type="dxa"/>
            <w:tcBorders>
              <w:top w:val="single" w:sz="12" w:space="0" w:color="auto"/>
            </w:tcBorders>
          </w:tcPr>
          <w:p w14:paraId="77AFBCE4" w14:textId="77777777" w:rsidR="00F54C03" w:rsidRPr="000D2C26" w:rsidRDefault="00F54C03" w:rsidP="008376D7">
            <w:pPr>
              <w:pStyle w:val="ListParagraph"/>
              <w:ind w:left="0"/>
              <w:jc w:val="right"/>
              <w:cnfStyle w:val="100000000000" w:firstRow="1" w:lastRow="0" w:firstColumn="0" w:lastColumn="0" w:oddVBand="0" w:evenVBand="0" w:oddHBand="0" w:evenHBand="0" w:firstRowFirstColumn="0" w:firstRowLastColumn="0" w:lastRowFirstColumn="0" w:lastRowLastColumn="0"/>
              <w:rPr>
                <w:rFonts w:ascii="Calibri Light" w:hAnsi="Calibri Light" w:cs="Calibri Light"/>
                <w:b/>
                <w:bCs/>
                <w:color w:val="000000"/>
              </w:rPr>
            </w:pPr>
            <w:r w:rsidRPr="000D2C26">
              <w:rPr>
                <w:rFonts w:ascii="Calibri Light" w:hAnsi="Calibri Light" w:cs="Calibri Light"/>
                <w:b/>
                <w:bCs/>
                <w:color w:val="000000"/>
              </w:rPr>
              <w:t>12 Week Total</w:t>
            </w:r>
          </w:p>
        </w:tc>
      </w:tr>
      <w:tr w:rsidR="00F54C03" w:rsidRPr="000D2C26" w14:paraId="1C1471FF"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74F1EFE4"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PRC Application</w:t>
            </w:r>
          </w:p>
        </w:tc>
        <w:tc>
          <w:tcPr>
            <w:tcW w:w="1440" w:type="dxa"/>
            <w:tcBorders>
              <w:top w:val="single" w:sz="4" w:space="0" w:color="auto"/>
              <w:bottom w:val="nil"/>
            </w:tcBorders>
          </w:tcPr>
          <w:p w14:paraId="008CF591"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300</w:t>
            </w:r>
          </w:p>
        </w:tc>
        <w:tc>
          <w:tcPr>
            <w:tcW w:w="1080" w:type="dxa"/>
            <w:tcBorders>
              <w:top w:val="single" w:sz="4" w:space="0" w:color="auto"/>
              <w:bottom w:val="nil"/>
            </w:tcBorders>
          </w:tcPr>
          <w:p w14:paraId="3AB57958"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080" w:type="dxa"/>
            <w:tcBorders>
              <w:top w:val="single" w:sz="4" w:space="0" w:color="auto"/>
              <w:bottom w:val="nil"/>
            </w:tcBorders>
          </w:tcPr>
          <w:p w14:paraId="5EFCEB40"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170" w:type="dxa"/>
            <w:tcBorders>
              <w:top w:val="single" w:sz="4" w:space="0" w:color="auto"/>
              <w:bottom w:val="nil"/>
            </w:tcBorders>
          </w:tcPr>
          <w:p w14:paraId="27D9EA17"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633" w:type="dxa"/>
            <w:tcBorders>
              <w:top w:val="single" w:sz="4" w:space="0" w:color="auto"/>
              <w:bottom w:val="nil"/>
            </w:tcBorders>
          </w:tcPr>
          <w:p w14:paraId="6DF64726"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3,600</w:t>
            </w:r>
          </w:p>
        </w:tc>
      </w:tr>
      <w:tr w:rsidR="00F54C03" w:rsidRPr="000D2C26" w14:paraId="367E1114"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5765FA68"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Survey Acceptance</w:t>
            </w:r>
          </w:p>
        </w:tc>
        <w:tc>
          <w:tcPr>
            <w:tcW w:w="1440" w:type="dxa"/>
            <w:tcBorders>
              <w:top w:val="nil"/>
            </w:tcBorders>
          </w:tcPr>
          <w:p w14:paraId="7E445F83"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120</w:t>
            </w:r>
          </w:p>
        </w:tc>
        <w:tc>
          <w:tcPr>
            <w:tcW w:w="1080" w:type="dxa"/>
            <w:tcBorders>
              <w:top w:val="nil"/>
            </w:tcBorders>
          </w:tcPr>
          <w:p w14:paraId="20112ED6"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40%</w:t>
            </w:r>
          </w:p>
        </w:tc>
        <w:tc>
          <w:tcPr>
            <w:tcW w:w="1080" w:type="dxa"/>
            <w:tcBorders>
              <w:top w:val="nil"/>
            </w:tcBorders>
          </w:tcPr>
          <w:p w14:paraId="4E3E802A"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170" w:type="dxa"/>
            <w:tcBorders>
              <w:top w:val="nil"/>
            </w:tcBorders>
          </w:tcPr>
          <w:p w14:paraId="4EC79C7B"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633" w:type="dxa"/>
            <w:tcBorders>
              <w:top w:val="nil"/>
            </w:tcBorders>
          </w:tcPr>
          <w:p w14:paraId="5ACAF0A0"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1,440</w:t>
            </w:r>
          </w:p>
        </w:tc>
      </w:tr>
      <w:tr w:rsidR="00F54C03" w:rsidRPr="000D2C26" w14:paraId="6C46A2DC"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1D61F5C6"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Survey Eligibility/Consent</w:t>
            </w:r>
          </w:p>
        </w:tc>
        <w:tc>
          <w:tcPr>
            <w:tcW w:w="1440" w:type="dxa"/>
          </w:tcPr>
          <w:p w14:paraId="521E67AC"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106</w:t>
            </w:r>
          </w:p>
        </w:tc>
        <w:tc>
          <w:tcPr>
            <w:tcW w:w="1080" w:type="dxa"/>
          </w:tcPr>
          <w:p w14:paraId="737C1AE8"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88%</w:t>
            </w:r>
          </w:p>
        </w:tc>
        <w:tc>
          <w:tcPr>
            <w:tcW w:w="1080" w:type="dxa"/>
          </w:tcPr>
          <w:p w14:paraId="7B2125EC"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170" w:type="dxa"/>
          </w:tcPr>
          <w:p w14:paraId="41B8C173"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633" w:type="dxa"/>
          </w:tcPr>
          <w:p w14:paraId="67E23636"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1,267</w:t>
            </w:r>
          </w:p>
        </w:tc>
      </w:tr>
      <w:tr w:rsidR="00F54C03" w:rsidRPr="000D2C26" w14:paraId="39621A5D"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6CE2CBAE"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Survey Completion</w:t>
            </w:r>
          </w:p>
        </w:tc>
        <w:tc>
          <w:tcPr>
            <w:tcW w:w="1440" w:type="dxa"/>
          </w:tcPr>
          <w:p w14:paraId="53ACB27E"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100</w:t>
            </w:r>
          </w:p>
        </w:tc>
        <w:tc>
          <w:tcPr>
            <w:tcW w:w="1080" w:type="dxa"/>
          </w:tcPr>
          <w:p w14:paraId="23487559"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95%</w:t>
            </w:r>
          </w:p>
        </w:tc>
        <w:tc>
          <w:tcPr>
            <w:tcW w:w="1080" w:type="dxa"/>
          </w:tcPr>
          <w:p w14:paraId="2DCAAE8D"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170" w:type="dxa"/>
          </w:tcPr>
          <w:p w14:paraId="53971B2F"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p>
        </w:tc>
        <w:tc>
          <w:tcPr>
            <w:tcW w:w="1633" w:type="dxa"/>
          </w:tcPr>
          <w:p w14:paraId="66FAAA3F"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1,200</w:t>
            </w:r>
          </w:p>
        </w:tc>
      </w:tr>
      <w:tr w:rsidR="00F54C03" w:rsidRPr="000D2C26" w14:paraId="550D8EAB"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039A35B5"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Tx Group Assignment</w:t>
            </w:r>
          </w:p>
        </w:tc>
        <w:tc>
          <w:tcPr>
            <w:tcW w:w="1440" w:type="dxa"/>
          </w:tcPr>
          <w:p w14:paraId="4E0B2503"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100</w:t>
            </w:r>
          </w:p>
        </w:tc>
        <w:tc>
          <w:tcPr>
            <w:tcW w:w="1080" w:type="dxa"/>
          </w:tcPr>
          <w:p w14:paraId="1C97D024"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100%</w:t>
            </w:r>
          </w:p>
        </w:tc>
        <w:tc>
          <w:tcPr>
            <w:tcW w:w="1080" w:type="dxa"/>
          </w:tcPr>
          <w:p w14:paraId="0718A5B6"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75</w:t>
            </w:r>
          </w:p>
        </w:tc>
        <w:tc>
          <w:tcPr>
            <w:tcW w:w="1170" w:type="dxa"/>
          </w:tcPr>
          <w:p w14:paraId="5799E62C"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25</w:t>
            </w:r>
          </w:p>
        </w:tc>
        <w:tc>
          <w:tcPr>
            <w:tcW w:w="1633" w:type="dxa"/>
          </w:tcPr>
          <w:p w14:paraId="46200285"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r w:rsidRPr="000D2C26">
              <w:rPr>
                <w:rFonts w:ascii="Calibri Light" w:hAnsi="Calibri Light" w:cs="Calibri Light"/>
                <w:color w:val="000000"/>
              </w:rPr>
              <w:t>1,200</w:t>
            </w:r>
          </w:p>
        </w:tc>
      </w:tr>
      <w:tr w:rsidR="00F54C03" w:rsidRPr="000D2C26" w14:paraId="7272E0B7"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0427149C"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Treatment Participation</w:t>
            </w:r>
          </w:p>
        </w:tc>
        <w:tc>
          <w:tcPr>
            <w:tcW w:w="1440" w:type="dxa"/>
          </w:tcPr>
          <w:p w14:paraId="6A4E5A05"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55</w:t>
            </w:r>
          </w:p>
        </w:tc>
        <w:tc>
          <w:tcPr>
            <w:tcW w:w="1080" w:type="dxa"/>
          </w:tcPr>
          <w:p w14:paraId="5AE0583E"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40%</w:t>
            </w:r>
          </w:p>
        </w:tc>
        <w:tc>
          <w:tcPr>
            <w:tcW w:w="1080" w:type="dxa"/>
          </w:tcPr>
          <w:p w14:paraId="6BA627F9"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30</w:t>
            </w:r>
          </w:p>
        </w:tc>
        <w:tc>
          <w:tcPr>
            <w:tcW w:w="1170" w:type="dxa"/>
          </w:tcPr>
          <w:p w14:paraId="60587969"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25</w:t>
            </w:r>
          </w:p>
        </w:tc>
        <w:tc>
          <w:tcPr>
            <w:tcW w:w="1633" w:type="dxa"/>
          </w:tcPr>
          <w:p w14:paraId="3D369806"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r w:rsidRPr="000D2C26">
              <w:rPr>
                <w:rFonts w:ascii="Calibri Light" w:hAnsi="Calibri Light" w:cs="Calibri Light"/>
                <w:color w:val="000000"/>
              </w:rPr>
              <w:t>(360 + 300) 662</w:t>
            </w:r>
          </w:p>
        </w:tc>
      </w:tr>
      <w:tr w:rsidR="00F54C03" w:rsidRPr="000D2C26" w14:paraId="1FC340A4" w14:textId="77777777" w:rsidTr="008376D7">
        <w:tc>
          <w:tcPr>
            <w:cnfStyle w:val="001000000000" w:firstRow="0" w:lastRow="0" w:firstColumn="1" w:lastColumn="0" w:oddVBand="0" w:evenVBand="0" w:oddHBand="0" w:evenHBand="0" w:firstRowFirstColumn="0" w:firstRowLastColumn="0" w:lastRowFirstColumn="0" w:lastRowLastColumn="0"/>
            <w:tcW w:w="2700" w:type="dxa"/>
          </w:tcPr>
          <w:p w14:paraId="3C23B1B6" w14:textId="77777777" w:rsidR="00F54C03" w:rsidRPr="000D2C26" w:rsidRDefault="00F54C03" w:rsidP="008376D7">
            <w:pPr>
              <w:pStyle w:val="ListParagraph"/>
              <w:ind w:left="0"/>
              <w:rPr>
                <w:rFonts w:ascii="Calibri Light" w:hAnsi="Calibri Light" w:cs="Calibri Light"/>
                <w:b/>
                <w:bCs/>
              </w:rPr>
            </w:pPr>
            <w:r w:rsidRPr="000D2C26">
              <w:rPr>
                <w:rFonts w:ascii="Calibri Light" w:hAnsi="Calibri Light" w:cs="Calibri Light"/>
                <w:color w:val="000000"/>
              </w:rPr>
              <w:t>Final Survey Completion</w:t>
            </w:r>
          </w:p>
        </w:tc>
        <w:tc>
          <w:tcPr>
            <w:tcW w:w="1440" w:type="dxa"/>
          </w:tcPr>
          <w:p w14:paraId="406555E1"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20</w:t>
            </w:r>
          </w:p>
        </w:tc>
        <w:tc>
          <w:tcPr>
            <w:tcW w:w="1080" w:type="dxa"/>
          </w:tcPr>
          <w:p w14:paraId="0A9C6C83"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b/>
                <w:bCs/>
              </w:rPr>
            </w:pPr>
            <w:r w:rsidRPr="000D2C26">
              <w:rPr>
                <w:rFonts w:ascii="Calibri Light" w:hAnsi="Calibri Light" w:cs="Calibri Light"/>
                <w:color w:val="000000"/>
              </w:rPr>
              <w:t>36%</w:t>
            </w:r>
          </w:p>
        </w:tc>
        <w:tc>
          <w:tcPr>
            <w:tcW w:w="1080" w:type="dxa"/>
          </w:tcPr>
          <w:p w14:paraId="2DFB93EA"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11</w:t>
            </w:r>
          </w:p>
        </w:tc>
        <w:tc>
          <w:tcPr>
            <w:tcW w:w="1170" w:type="dxa"/>
          </w:tcPr>
          <w:p w14:paraId="276645EF"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0D2C26">
              <w:rPr>
                <w:rFonts w:ascii="Calibri Light" w:hAnsi="Calibri Light" w:cs="Calibri Light"/>
              </w:rPr>
              <w:t>9</w:t>
            </w:r>
          </w:p>
        </w:tc>
        <w:tc>
          <w:tcPr>
            <w:tcW w:w="1633" w:type="dxa"/>
          </w:tcPr>
          <w:p w14:paraId="1995B812" w14:textId="77777777" w:rsidR="00F54C03" w:rsidRPr="000D2C26" w:rsidRDefault="00F54C03" w:rsidP="008376D7">
            <w:pPr>
              <w:pStyle w:val="ListParagraph"/>
              <w:ind w:left="0"/>
              <w:jc w:val="right"/>
              <w:cnfStyle w:val="000000000000" w:firstRow="0" w:lastRow="0" w:firstColumn="0" w:lastColumn="0" w:oddVBand="0" w:evenVBand="0" w:oddHBand="0" w:evenHBand="0" w:firstRowFirstColumn="0" w:firstRowLastColumn="0" w:lastRowFirstColumn="0" w:lastRowLastColumn="0"/>
              <w:rPr>
                <w:rFonts w:ascii="Calibri Light" w:hAnsi="Calibri Light" w:cs="Calibri Light"/>
                <w:color w:val="000000"/>
              </w:rPr>
            </w:pPr>
            <w:r w:rsidRPr="000D2C26">
              <w:rPr>
                <w:rFonts w:ascii="Calibri Light" w:hAnsi="Calibri Light" w:cs="Calibri Light"/>
                <w:color w:val="000000"/>
              </w:rPr>
              <w:t>240</w:t>
            </w:r>
          </w:p>
        </w:tc>
      </w:tr>
    </w:tbl>
    <w:p w14:paraId="20938C9A" w14:textId="77777777" w:rsidR="00F54C03" w:rsidRPr="000D2C26" w:rsidRDefault="00F54C03" w:rsidP="00F54C03">
      <w:pPr>
        <w:pStyle w:val="ListParagraph"/>
        <w:ind w:left="270"/>
        <w:rPr>
          <w:rFonts w:ascii="Calibri Light" w:hAnsi="Calibri Light" w:cs="Calibri Light"/>
        </w:rPr>
      </w:pPr>
      <w:r w:rsidRPr="000D2C26">
        <w:rPr>
          <w:rFonts w:ascii="Calibri Light" w:hAnsi="Calibri Light" w:cs="Calibri Light"/>
          <w:b/>
          <w:bCs/>
        </w:rPr>
        <w:t xml:space="preserve">Note:  </w:t>
      </w:r>
      <w:r w:rsidRPr="000D2C26">
        <w:rPr>
          <w:rFonts w:ascii="Calibri Light" w:hAnsi="Calibri Light" w:cs="Calibri Light"/>
        </w:rPr>
        <w:t>Figures are rounded.</w:t>
      </w:r>
    </w:p>
    <w:p w14:paraId="580B654C" w14:textId="77777777" w:rsidR="00F54C03" w:rsidRPr="000D2C26" w:rsidRDefault="00F54C03" w:rsidP="00F54C03">
      <w:pPr>
        <w:rPr>
          <w:rFonts w:ascii="Calibri Light" w:hAnsi="Calibri Light" w:cs="Calibri Light"/>
          <w:b/>
          <w:bCs/>
        </w:rPr>
      </w:pPr>
    </w:p>
    <w:p w14:paraId="20D0F54B" w14:textId="55BEBD95" w:rsidR="00F54C03" w:rsidRPr="000D2C26" w:rsidRDefault="00F54C03" w:rsidP="000D2C26">
      <w:pPr>
        <w:ind w:left="720"/>
        <w:rPr>
          <w:rFonts w:ascii="Calibri Light" w:hAnsi="Calibri Light" w:cs="Calibri Light"/>
        </w:rPr>
      </w:pPr>
      <w:r w:rsidRPr="000D2C26">
        <w:rPr>
          <w:rFonts w:ascii="Calibri Light" w:hAnsi="Calibri Light" w:cs="Calibri Light"/>
        </w:rPr>
        <w:t xml:space="preserve">As shown in Table 1, we expect attrition at all stages of the study, from recruitment through final survey completion. We are basing survey completion estimates on average take-up rates of typical surveys. We do not have strong evidence supporting take-up of the treatment. This is a pilot project, and therefore, we expect to learn more about whether PRC applicants are able and willing to participate in an in-person renter education workshop. We are offering monetary incentives, in the form of gift cards, to participants at each stage of the process </w:t>
      </w:r>
      <w:proofErr w:type="gramStart"/>
      <w:r w:rsidRPr="000D2C26">
        <w:rPr>
          <w:rFonts w:ascii="Calibri Light" w:hAnsi="Calibri Light" w:cs="Calibri Light"/>
        </w:rPr>
        <w:t>in an attempt to</w:t>
      </w:r>
      <w:proofErr w:type="gramEnd"/>
      <w:r w:rsidRPr="000D2C26">
        <w:rPr>
          <w:rFonts w:ascii="Calibri Light" w:hAnsi="Calibri Light" w:cs="Calibri Light"/>
        </w:rPr>
        <w:t xml:space="preserve"> </w:t>
      </w:r>
      <w:r w:rsidRPr="000D2C26">
        <w:rPr>
          <w:rFonts w:ascii="Calibri Light" w:hAnsi="Calibri Light" w:cs="Calibri Light"/>
        </w:rPr>
        <w:lastRenderedPageBreak/>
        <w:t xml:space="preserve">minimize sample attrition. Our power calculations are based on the expectation of significant sample attrition from stages 1 (pre-survey) to three (post-survey).  </w:t>
      </w:r>
    </w:p>
    <w:p w14:paraId="44544DBD" w14:textId="77777777" w:rsidR="00F54C03" w:rsidRPr="000D2C26" w:rsidRDefault="00F54C03" w:rsidP="00F54C03">
      <w:pPr>
        <w:rPr>
          <w:rFonts w:ascii="Calibri Light" w:hAnsi="Calibri Light" w:cs="Calibri Light"/>
          <w:b/>
          <w:bCs/>
        </w:rPr>
      </w:pPr>
    </w:p>
    <w:p w14:paraId="696C38A7" w14:textId="4FCCF924" w:rsidR="00F54C03" w:rsidRPr="000D2C26" w:rsidRDefault="00F54C03" w:rsidP="00F54C03">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Fieldwork</w:t>
      </w:r>
    </w:p>
    <w:p w14:paraId="68AC5156" w14:textId="64F0280F" w:rsidR="00F54C03" w:rsidRPr="000D2C26" w:rsidRDefault="00F54C03" w:rsidP="00F54C03">
      <w:pPr>
        <w:pStyle w:val="ListParagraph"/>
        <w:numPr>
          <w:ilvl w:val="2"/>
          <w:numId w:val="2"/>
        </w:numPr>
        <w:rPr>
          <w:rFonts w:ascii="Calibri Light" w:hAnsi="Calibri Light" w:cs="Calibri Light"/>
          <w:b/>
          <w:bCs/>
        </w:rPr>
      </w:pPr>
      <w:r w:rsidRPr="000D2C26">
        <w:rPr>
          <w:rFonts w:ascii="Calibri Light" w:hAnsi="Calibri Light" w:cs="Calibri Light"/>
          <w:b/>
          <w:bCs/>
        </w:rPr>
        <w:t>Instruments</w:t>
      </w:r>
    </w:p>
    <w:p w14:paraId="0307479F" w14:textId="428F5837" w:rsidR="00381329" w:rsidRPr="000D2C26" w:rsidRDefault="00381329" w:rsidP="000D2C26">
      <w:pPr>
        <w:ind w:left="720"/>
        <w:rPr>
          <w:rFonts w:ascii="Calibri Light" w:eastAsia="Times New Roman" w:hAnsi="Calibri Light" w:cs="Calibri Light"/>
          <w:kern w:val="0"/>
          <w14:ligatures w14:val="none"/>
        </w:rPr>
      </w:pPr>
      <w:r w:rsidRPr="000D2C26">
        <w:rPr>
          <w:rFonts w:ascii="Calibri Light" w:eastAsia="Times New Roman" w:hAnsi="Calibri Light" w:cs="Calibri Light"/>
          <w:kern w:val="0"/>
          <w14:ligatures w14:val="none"/>
        </w:rPr>
        <w:t>W</w:t>
      </w:r>
      <w:r w:rsidRPr="000D2C26">
        <w:rPr>
          <w:rFonts w:ascii="Calibri Light" w:eastAsia="Times New Roman" w:hAnsi="Calibri Light" w:cs="Calibri Light"/>
          <w:kern w:val="0"/>
          <w14:ligatures w14:val="none"/>
        </w:rPr>
        <w:t>e use online</w:t>
      </w:r>
      <w:r w:rsidRPr="000D2C26">
        <w:rPr>
          <w:rFonts w:ascii="Calibri Light" w:eastAsia="Times New Roman" w:hAnsi="Calibri Light" w:cs="Calibri Light"/>
          <w:kern w:val="0"/>
          <w14:ligatures w14:val="none"/>
        </w:rPr>
        <w:t>, pre- and post-treatment</w:t>
      </w:r>
      <w:r w:rsidRPr="000D2C26">
        <w:rPr>
          <w:rFonts w:ascii="Calibri Light" w:eastAsia="Times New Roman" w:hAnsi="Calibri Light" w:cs="Calibri Light"/>
          <w:kern w:val="0"/>
          <w14:ligatures w14:val="none"/>
        </w:rPr>
        <w:t xml:space="preserve"> surveys to collect information on PRC applicants’ housing history, interaction with other benefit programs,</w:t>
      </w:r>
      <w:r w:rsidRPr="000D2C26">
        <w:rPr>
          <w:rFonts w:ascii="Calibri Light" w:eastAsia="Times New Roman" w:hAnsi="Calibri Light" w:cs="Calibri Light"/>
          <w:kern w:val="0"/>
          <w14:ligatures w14:val="none"/>
        </w:rPr>
        <w:t xml:space="preserve"> </w:t>
      </w:r>
      <w:r w:rsidRPr="000D2C26">
        <w:rPr>
          <w:rFonts w:ascii="Calibri Light" w:eastAsia="Times New Roman" w:hAnsi="Calibri Light" w:cs="Calibri Light"/>
          <w:kern w:val="0"/>
          <w14:ligatures w14:val="none"/>
        </w:rPr>
        <w:t xml:space="preserve">self-reported well-being, and interest in rental education. PRC applicants’ responses will be merged with PRC administrative data and will be validated using that data when possible. There are several key indicators that comprise this study, which will be obtained from survey data, PRC administrative data, CMS administrative data, eviction court record data, and </w:t>
      </w:r>
      <w:proofErr w:type="spellStart"/>
      <w:r w:rsidRPr="000D2C26">
        <w:rPr>
          <w:rFonts w:ascii="Calibri Light" w:eastAsia="Times New Roman" w:hAnsi="Calibri Light" w:cs="Calibri Light"/>
          <w:kern w:val="0"/>
          <w14:ligatures w14:val="none"/>
        </w:rPr>
        <w:t>Infutor</w:t>
      </w:r>
      <w:proofErr w:type="spellEnd"/>
      <w:r w:rsidRPr="000D2C26">
        <w:rPr>
          <w:rFonts w:ascii="Calibri Light" w:eastAsia="Times New Roman" w:hAnsi="Calibri Light" w:cs="Calibri Light"/>
          <w:kern w:val="0"/>
          <w14:ligatures w14:val="none"/>
        </w:rPr>
        <w:t xml:space="preserve"> address history data.  </w:t>
      </w:r>
    </w:p>
    <w:p w14:paraId="12C17E27" w14:textId="77777777" w:rsidR="00381329" w:rsidRPr="000D2C26" w:rsidRDefault="00381329" w:rsidP="00381329">
      <w:pPr>
        <w:rPr>
          <w:rFonts w:ascii="Calibri Light" w:hAnsi="Calibri Light" w:cs="Calibri Light"/>
          <w:b/>
          <w:bCs/>
        </w:rPr>
      </w:pPr>
    </w:p>
    <w:p w14:paraId="13F6DED5" w14:textId="2DD12EAD" w:rsidR="00F54C03" w:rsidRPr="000D2C26" w:rsidRDefault="00F54C03" w:rsidP="00F54C03">
      <w:pPr>
        <w:pStyle w:val="ListParagraph"/>
        <w:numPr>
          <w:ilvl w:val="2"/>
          <w:numId w:val="2"/>
        </w:numPr>
        <w:rPr>
          <w:rFonts w:ascii="Calibri Light" w:hAnsi="Calibri Light" w:cs="Calibri Light"/>
          <w:b/>
          <w:bCs/>
        </w:rPr>
      </w:pPr>
      <w:r w:rsidRPr="000D2C26">
        <w:rPr>
          <w:rFonts w:ascii="Calibri Light" w:hAnsi="Calibri Light" w:cs="Calibri Light"/>
          <w:b/>
          <w:bCs/>
        </w:rPr>
        <w:t>Data Collection</w:t>
      </w:r>
    </w:p>
    <w:p w14:paraId="7C6BB631" w14:textId="29AF0669"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sz w:val="22"/>
          <w:szCs w:val="22"/>
        </w:rPr>
      </w:pPr>
      <w:r w:rsidRPr="000D2C26">
        <w:rPr>
          <w:rFonts w:ascii="Calibri Light" w:hAnsi="Calibri Light" w:cs="Calibri Light"/>
          <w:color w:val="333333"/>
          <w:sz w:val="22"/>
          <w:szCs w:val="22"/>
        </w:rPr>
        <w:t xml:space="preserve">The study period will </w:t>
      </w:r>
      <w:r w:rsidRPr="000D2C26">
        <w:rPr>
          <w:rFonts w:ascii="Calibri Light" w:hAnsi="Calibri Light" w:cs="Calibri Light"/>
          <w:sz w:val="22"/>
          <w:szCs w:val="22"/>
        </w:rPr>
        <w:t>begin in the first quarter of 2024</w:t>
      </w:r>
      <w:r w:rsidRPr="000D2C26">
        <w:rPr>
          <w:rFonts w:ascii="Calibri Light" w:hAnsi="Calibri Light" w:cs="Calibri Light"/>
          <w:sz w:val="22"/>
          <w:szCs w:val="22"/>
        </w:rPr>
        <w:t xml:space="preserve"> </w:t>
      </w:r>
      <w:r w:rsidRPr="000D2C26">
        <w:rPr>
          <w:rFonts w:ascii="Calibri Light" w:hAnsi="Calibri Light" w:cs="Calibri Light"/>
          <w:sz w:val="22"/>
          <w:szCs w:val="22"/>
        </w:rPr>
        <w:t xml:space="preserve">and </w:t>
      </w:r>
      <w:r w:rsidRPr="000D2C26">
        <w:rPr>
          <w:rFonts w:ascii="Calibri Light" w:hAnsi="Calibri Light" w:cs="Calibri Light"/>
          <w:color w:val="333333"/>
          <w:sz w:val="22"/>
          <w:szCs w:val="22"/>
        </w:rPr>
        <w:t xml:space="preserve">continue until we have successfully enrolled at least 1,440 participants in the study and at least 350 treatment group participants have completed the renter education workshop, and at least 30% of treatment and control group participants have completed the 6-month follow-up survey. On the day that the study begins, all </w:t>
      </w:r>
      <w:r w:rsidRPr="000D2C26">
        <w:rPr>
          <w:rFonts w:ascii="Calibri Light" w:hAnsi="Calibri Light" w:cs="Calibri Light"/>
          <w:sz w:val="22"/>
          <w:szCs w:val="22"/>
        </w:rPr>
        <w:t>PRC applicants whose applications for emergency rental assistance were processed that day will receive an </w:t>
      </w:r>
      <w:proofErr w:type="gramStart"/>
      <w:r w:rsidRPr="000D2C26">
        <w:rPr>
          <w:rFonts w:ascii="Calibri Light" w:hAnsi="Calibri Light" w:cs="Calibri Light"/>
          <w:sz w:val="22"/>
          <w:szCs w:val="22"/>
        </w:rPr>
        <w:t>email </w:t>
      </w:r>
      <w:r w:rsidRPr="000D2C26">
        <w:rPr>
          <w:rFonts w:ascii="Calibri Light" w:hAnsi="Calibri Light" w:cs="Calibri Light"/>
          <w:sz w:val="22"/>
          <w:szCs w:val="22"/>
        </w:rPr>
        <w:t xml:space="preserve"> </w:t>
      </w:r>
      <w:r w:rsidRPr="000D2C26">
        <w:rPr>
          <w:rFonts w:ascii="Calibri Light" w:hAnsi="Calibri Light" w:cs="Calibri Light"/>
          <w:sz w:val="22"/>
          <w:szCs w:val="22"/>
        </w:rPr>
        <w:t>to</w:t>
      </w:r>
      <w:proofErr w:type="gramEnd"/>
      <w:r w:rsidRPr="000D2C26">
        <w:rPr>
          <w:rFonts w:ascii="Calibri Light" w:hAnsi="Calibri Light" w:cs="Calibri Light"/>
          <w:sz w:val="22"/>
          <w:szCs w:val="22"/>
        </w:rPr>
        <w:t xml:space="preserve"> participate in the study. Participants who begin—but do not complete—the survey will receive email and text messages reminding them to complete the survey. </w:t>
      </w:r>
    </w:p>
    <w:p w14:paraId="4B397747" w14:textId="77777777" w:rsidR="00381329" w:rsidRPr="000D2C26" w:rsidRDefault="00381329" w:rsidP="00381329">
      <w:pPr>
        <w:pStyle w:val="NormalWeb"/>
        <w:shd w:val="clear" w:color="auto" w:fill="FFFFFF"/>
        <w:spacing w:before="0" w:beforeAutospacing="0" w:after="0" w:afterAutospacing="0"/>
        <w:ind w:left="360"/>
        <w:rPr>
          <w:rFonts w:ascii="Calibri Light" w:hAnsi="Calibri Light" w:cs="Calibri Light"/>
          <w:color w:val="333333"/>
          <w:sz w:val="22"/>
          <w:szCs w:val="22"/>
        </w:rPr>
      </w:pPr>
    </w:p>
    <w:p w14:paraId="76A1B3D5" w14:textId="09377240"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color w:val="333333"/>
          <w:sz w:val="22"/>
          <w:szCs w:val="22"/>
        </w:rPr>
      </w:pPr>
      <w:r w:rsidRPr="000D2C26">
        <w:rPr>
          <w:rFonts w:ascii="Calibri Light" w:hAnsi="Calibri Light" w:cs="Calibri Light"/>
          <w:color w:val="333333"/>
          <w:sz w:val="22"/>
          <w:szCs w:val="22"/>
        </w:rPr>
        <w:t xml:space="preserve">Treatment group participants who sign-up to participate in a Renter Education workshop will receive reminders via email and text in the prior to the </w:t>
      </w:r>
      <w:r w:rsidRPr="000D2C26">
        <w:rPr>
          <w:rFonts w:ascii="Calibri Light" w:hAnsi="Calibri Light" w:cs="Calibri Light"/>
          <w:sz w:val="22"/>
          <w:szCs w:val="22"/>
        </w:rPr>
        <w:t>workshop Participants will sign in on a sign-in sheet upon arrival </w:t>
      </w:r>
      <w:r w:rsidRPr="000D2C26">
        <w:rPr>
          <w:rFonts w:ascii="Calibri Light" w:hAnsi="Calibri Light" w:cs="Calibri Light"/>
          <w:color w:val="333333"/>
          <w:sz w:val="22"/>
          <w:szCs w:val="22"/>
        </w:rPr>
        <w:t>so that we know which treatment group participants took up treatment and which treatment group participants did not. Thus, we will be able to distinguish between the intent to treat and the treatment. Finally, all participants, regardless of whether they are in the treatment or control group, and whether they took up their treatment, will receive an invitation to a follow-up survey six months after completing their initial PRC application and survey. Participants will receive email and text reminders to complete the survey for a 3-week period.</w:t>
      </w:r>
    </w:p>
    <w:p w14:paraId="347CF8CD" w14:textId="77777777"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color w:val="333333"/>
          <w:sz w:val="22"/>
          <w:szCs w:val="22"/>
        </w:rPr>
      </w:pPr>
    </w:p>
    <w:p w14:paraId="3961A538" w14:textId="0B3F13D7"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color w:val="333333"/>
          <w:sz w:val="22"/>
          <w:szCs w:val="22"/>
        </w:rPr>
      </w:pPr>
      <w:r w:rsidRPr="000D2C26">
        <w:rPr>
          <w:rFonts w:ascii="Calibri Light" w:hAnsi="Calibri Light" w:cs="Calibri Light"/>
          <w:color w:val="333333"/>
          <w:sz w:val="22"/>
          <w:szCs w:val="22"/>
        </w:rPr>
        <w:t xml:space="preserve">In addition to using data collected via the pre- and post-treatment surveys, we will collect PRC administrative data on all PRC applicants and recipients who </w:t>
      </w:r>
      <w:proofErr w:type="gramStart"/>
      <w:r w:rsidRPr="000D2C26">
        <w:rPr>
          <w:rFonts w:ascii="Calibri Light" w:hAnsi="Calibri Light" w:cs="Calibri Light"/>
          <w:color w:val="333333"/>
          <w:sz w:val="22"/>
          <w:szCs w:val="22"/>
        </w:rPr>
        <w:t>participate</w:t>
      </w:r>
      <w:proofErr w:type="gramEnd"/>
      <w:r w:rsidRPr="000D2C26">
        <w:rPr>
          <w:rFonts w:ascii="Calibri Light" w:hAnsi="Calibri Light" w:cs="Calibri Light"/>
          <w:color w:val="333333"/>
          <w:sz w:val="22"/>
          <w:szCs w:val="22"/>
        </w:rPr>
        <w:t xml:space="preserve"> the study. The collection of the PRC administrative data is governed by the DUAs between Franklin County and UTK. We will also collect information on workshop participation and quiz scores for treatment group participants who attended the Renter Education Workshop. The collection of this data will be governed by a DUA between CMS and UTK.</w:t>
      </w:r>
    </w:p>
    <w:p w14:paraId="0D3D3211" w14:textId="77777777"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color w:val="333333"/>
          <w:sz w:val="22"/>
          <w:szCs w:val="22"/>
        </w:rPr>
      </w:pPr>
    </w:p>
    <w:p w14:paraId="1405BD16" w14:textId="610472A9" w:rsidR="00381329" w:rsidRPr="000D2C26" w:rsidRDefault="00381329" w:rsidP="000D2C26">
      <w:pPr>
        <w:pStyle w:val="NormalWeb"/>
        <w:shd w:val="clear" w:color="auto" w:fill="FFFFFF"/>
        <w:spacing w:before="0" w:beforeAutospacing="0" w:after="0" w:afterAutospacing="0"/>
        <w:ind w:left="720"/>
        <w:rPr>
          <w:rFonts w:ascii="Calibri Light" w:hAnsi="Calibri Light" w:cs="Calibri Light"/>
          <w:color w:val="333333"/>
          <w:sz w:val="22"/>
          <w:szCs w:val="22"/>
        </w:rPr>
      </w:pPr>
      <w:r w:rsidRPr="000D2C26">
        <w:rPr>
          <w:rFonts w:ascii="Calibri Light" w:hAnsi="Calibri Light" w:cs="Calibri Light"/>
          <w:color w:val="333333"/>
          <w:sz w:val="22"/>
          <w:szCs w:val="22"/>
        </w:rPr>
        <w:t>Survey, PRC administrative, CMS administrative, eviction, and change of address data will be stored on a secure, One-Drive folder hosted by the University of Tennessee and accessible only to the researchers. Investigator Pierce will retain a copy of her previously collected public eviction records as well as newly scraped records on her personal, encrypted external hard drive as part of her ongoing data collection. Because the eviction records are public records and are available via the Franklin County Municipal Court, storing a copy of the unlinked records does not pose a risk to the privacy of the individuals who appear in the data.</w:t>
      </w:r>
      <w:r w:rsidRPr="000D2C26">
        <w:rPr>
          <w:rFonts w:ascii="Calibri Light" w:hAnsi="Calibri Light" w:cs="Calibri Light"/>
          <w:color w:val="333333"/>
          <w:sz w:val="22"/>
          <w:szCs w:val="22"/>
        </w:rPr>
        <w:t xml:space="preserve"> T</w:t>
      </w:r>
      <w:r w:rsidRPr="000D2C26">
        <w:rPr>
          <w:rFonts w:ascii="Calibri Light" w:hAnsi="Calibri Light" w:cs="Calibri Light"/>
          <w:color w:val="333333"/>
          <w:sz w:val="22"/>
          <w:szCs w:val="22"/>
        </w:rPr>
        <w:t>he researchers will use change of address data to link eviction records to PRC administrative and survey data. Once linked, all PII (names, addresses, and dates of birth) will be stripped from the linked dataset.</w:t>
      </w:r>
    </w:p>
    <w:p w14:paraId="49D6FB78" w14:textId="77777777" w:rsidR="00381329" w:rsidRPr="000D2C26" w:rsidRDefault="00381329" w:rsidP="00381329">
      <w:pPr>
        <w:rPr>
          <w:rFonts w:ascii="Calibri Light" w:hAnsi="Calibri Light" w:cs="Calibri Light"/>
          <w:b/>
          <w:bCs/>
        </w:rPr>
      </w:pPr>
    </w:p>
    <w:p w14:paraId="6EF1D5DD" w14:textId="464CFF02" w:rsidR="00F54C03" w:rsidRPr="000D2C26" w:rsidRDefault="00F54C03" w:rsidP="00F54C03">
      <w:pPr>
        <w:pStyle w:val="ListParagraph"/>
        <w:numPr>
          <w:ilvl w:val="2"/>
          <w:numId w:val="2"/>
        </w:numPr>
        <w:rPr>
          <w:rFonts w:ascii="Calibri Light" w:hAnsi="Calibri Light" w:cs="Calibri Light"/>
          <w:b/>
          <w:bCs/>
        </w:rPr>
      </w:pPr>
      <w:r w:rsidRPr="000D2C26">
        <w:rPr>
          <w:rFonts w:ascii="Calibri Light" w:hAnsi="Calibri Light" w:cs="Calibri Light"/>
          <w:b/>
          <w:bCs/>
        </w:rPr>
        <w:t>Data Processing</w:t>
      </w:r>
    </w:p>
    <w:p w14:paraId="0BBAE98B" w14:textId="620D020C" w:rsidR="00381329" w:rsidRPr="000D2C26" w:rsidRDefault="00381329" w:rsidP="000D2C26">
      <w:pPr>
        <w:ind w:left="720"/>
        <w:rPr>
          <w:rFonts w:ascii="Calibri Light" w:hAnsi="Calibri Light" w:cs="Calibri Light"/>
        </w:rPr>
      </w:pPr>
      <w:r w:rsidRPr="000D2C26">
        <w:rPr>
          <w:rFonts w:ascii="Calibri Light" w:hAnsi="Calibri Light" w:cs="Calibri Light"/>
        </w:rPr>
        <w:lastRenderedPageBreak/>
        <w:t>Once all participants have completed the post-survey, the research team will begin processing the data. We anticipate that data processing will take two to three months, depending upon the availability of the research team. Data processing will involve downloading</w:t>
      </w:r>
      <w:r w:rsidR="00D038D0" w:rsidRPr="000D2C26">
        <w:rPr>
          <w:rFonts w:ascii="Calibri Light" w:hAnsi="Calibri Light" w:cs="Calibri Light"/>
        </w:rPr>
        <w:t xml:space="preserve"> and</w:t>
      </w:r>
      <w:r w:rsidRPr="000D2C26">
        <w:rPr>
          <w:rFonts w:ascii="Calibri Light" w:hAnsi="Calibri Light" w:cs="Calibri Light"/>
        </w:rPr>
        <w:t xml:space="preserve"> cleaning</w:t>
      </w:r>
      <w:r w:rsidR="00D038D0" w:rsidRPr="000D2C26">
        <w:rPr>
          <w:rFonts w:ascii="Calibri Light" w:hAnsi="Calibri Light" w:cs="Calibri Light"/>
        </w:rPr>
        <w:t xml:space="preserve"> survey data; receiving and linking PRC administrative data for survey participants to survey </w:t>
      </w:r>
      <w:proofErr w:type="gramStart"/>
      <w:r w:rsidR="00D038D0" w:rsidRPr="000D2C26">
        <w:rPr>
          <w:rFonts w:ascii="Calibri Light" w:hAnsi="Calibri Light" w:cs="Calibri Light"/>
        </w:rPr>
        <w:t>data, and</w:t>
      </w:r>
      <w:proofErr w:type="gramEnd"/>
      <w:r w:rsidR="00D038D0" w:rsidRPr="000D2C26">
        <w:rPr>
          <w:rFonts w:ascii="Calibri Light" w:hAnsi="Calibri Light" w:cs="Calibri Light"/>
        </w:rPr>
        <w:t xml:space="preserve"> linking these data to Franklin County eviction court records and </w:t>
      </w:r>
      <w:proofErr w:type="spellStart"/>
      <w:r w:rsidR="00D038D0" w:rsidRPr="000D2C26">
        <w:rPr>
          <w:rFonts w:ascii="Calibri Light" w:hAnsi="Calibri Light" w:cs="Calibri Light"/>
        </w:rPr>
        <w:t>Infutor</w:t>
      </w:r>
      <w:proofErr w:type="spellEnd"/>
      <w:r w:rsidR="00D038D0" w:rsidRPr="000D2C26">
        <w:rPr>
          <w:rFonts w:ascii="Calibri Light" w:hAnsi="Calibri Light" w:cs="Calibri Light"/>
        </w:rPr>
        <w:t xml:space="preserve"> change-of-address records. Once linked, the final dataset will be de-identified. The PIs have shared ownership over the linked dataset. All data files, raw and linked, deidentified, will be stored in a secure OneDrive folder hosted by the University of Tennessee and accessible only to the research team via password and Duo-Authentication.  </w:t>
      </w:r>
      <w:r w:rsidRPr="000D2C26">
        <w:rPr>
          <w:rFonts w:ascii="Calibri Light" w:hAnsi="Calibri Light" w:cs="Calibri Light"/>
        </w:rPr>
        <w:t xml:space="preserve"> </w:t>
      </w:r>
    </w:p>
    <w:p w14:paraId="06F4EDE1" w14:textId="77777777" w:rsidR="00381329" w:rsidRPr="000D2C26" w:rsidRDefault="00381329" w:rsidP="00381329">
      <w:pPr>
        <w:rPr>
          <w:rFonts w:ascii="Calibri Light" w:hAnsi="Calibri Light" w:cs="Calibri Light"/>
          <w:b/>
          <w:bCs/>
        </w:rPr>
      </w:pPr>
    </w:p>
    <w:p w14:paraId="5FC4CE2C" w14:textId="04B4239F" w:rsidR="00F54C03" w:rsidRPr="000D2C26" w:rsidRDefault="00F54C03" w:rsidP="00F54C03">
      <w:pPr>
        <w:pStyle w:val="ListParagraph"/>
        <w:numPr>
          <w:ilvl w:val="0"/>
          <w:numId w:val="2"/>
        </w:numPr>
        <w:rPr>
          <w:rFonts w:ascii="Calibri Light" w:hAnsi="Calibri Light" w:cs="Calibri Light"/>
          <w:b/>
          <w:bCs/>
          <w:sz w:val="28"/>
          <w:szCs w:val="28"/>
        </w:rPr>
      </w:pPr>
      <w:r w:rsidRPr="000D2C26">
        <w:rPr>
          <w:rFonts w:ascii="Calibri Light" w:hAnsi="Calibri Light" w:cs="Calibri Light"/>
          <w:b/>
          <w:bCs/>
          <w:sz w:val="28"/>
          <w:szCs w:val="28"/>
        </w:rPr>
        <w:t>Empirical Analysis</w:t>
      </w:r>
    </w:p>
    <w:p w14:paraId="401F8F39" w14:textId="72393FFB" w:rsidR="00381329" w:rsidRPr="000D2C26" w:rsidRDefault="00381329" w:rsidP="0038132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Variables</w:t>
      </w:r>
    </w:p>
    <w:p w14:paraId="1209D48F" w14:textId="77777777" w:rsidR="000D2C26" w:rsidRDefault="000D2C26" w:rsidP="00381329">
      <w:pPr>
        <w:rPr>
          <w:rFonts w:ascii="Calibri Light" w:eastAsia="Times New Roman" w:hAnsi="Calibri Light" w:cs="Calibri Light"/>
          <w:kern w:val="0"/>
          <w14:ligatures w14:val="none"/>
        </w:rPr>
      </w:pPr>
    </w:p>
    <w:p w14:paraId="64D9426B" w14:textId="0F0D7338" w:rsidR="00381329" w:rsidRPr="000D2C26" w:rsidRDefault="00381329" w:rsidP="00381329">
      <w:pPr>
        <w:rPr>
          <w:rFonts w:ascii="Calibri Light" w:eastAsia="Times New Roman" w:hAnsi="Calibri Light" w:cs="Calibri Light"/>
          <w:kern w:val="0"/>
          <w14:ligatures w14:val="none"/>
        </w:rPr>
      </w:pPr>
      <w:r w:rsidRPr="000D2C26">
        <w:rPr>
          <w:rFonts w:ascii="Calibri Light" w:eastAsia="Times New Roman" w:hAnsi="Calibri Light" w:cs="Calibri Light"/>
          <w:kern w:val="0"/>
          <w14:ligatures w14:val="none"/>
        </w:rPr>
        <w:t>Below is a list of the primary constructs to be used in this analysis, including a description of how we will measure each construct and how constructs will be used to answer each research question.</w:t>
      </w:r>
    </w:p>
    <w:p w14:paraId="7DD5FF06"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15A58890" w14:textId="77777777" w:rsidR="00381329" w:rsidRPr="000D2C26" w:rsidRDefault="00381329" w:rsidP="00381329">
      <w:pPr>
        <w:pStyle w:val="ListParagraph"/>
        <w:ind w:left="360"/>
        <w:rPr>
          <w:rFonts w:ascii="Calibri Light" w:eastAsia="Times New Roman" w:hAnsi="Calibri Light" w:cs="Calibri Light"/>
          <w:kern w:val="0"/>
          <w14:ligatures w14:val="none"/>
        </w:rPr>
      </w:pPr>
      <w:r w:rsidRPr="000D2C26">
        <w:rPr>
          <w:rFonts w:ascii="Calibri Light" w:eastAsia="Times New Roman" w:hAnsi="Calibri Light" w:cs="Calibri Light"/>
          <w:i/>
          <w:iCs/>
          <w:kern w:val="0"/>
          <w14:ligatures w14:val="none"/>
        </w:rPr>
        <w:t>Participant Well-Being</w:t>
      </w:r>
      <w:r w:rsidRPr="000D2C26">
        <w:rPr>
          <w:rFonts w:ascii="Calibri Light" w:eastAsia="Times New Roman" w:hAnsi="Calibri Light" w:cs="Calibri Light"/>
          <w:kern w:val="0"/>
          <w14:ligatures w14:val="none"/>
        </w:rPr>
        <w:t> – This construct will be captured using survey data questions. Well-being refers to participants’ self-reported financial stability, residential stability and quality, stress, employment stability, neighborhood quality, and satisfaction with each of these measures.</w:t>
      </w:r>
    </w:p>
    <w:p w14:paraId="0A74A7B3"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38523806" w14:textId="77777777" w:rsidR="00381329" w:rsidRPr="000D2C26" w:rsidRDefault="00381329" w:rsidP="00381329">
      <w:pPr>
        <w:pStyle w:val="ListParagraph"/>
        <w:ind w:left="360"/>
        <w:rPr>
          <w:rFonts w:ascii="Calibri Light" w:eastAsia="Times New Roman" w:hAnsi="Calibri Light" w:cs="Calibri Light"/>
          <w:kern w:val="0"/>
          <w14:ligatures w14:val="none"/>
        </w:rPr>
      </w:pPr>
      <w:r w:rsidRPr="000D2C26">
        <w:rPr>
          <w:rFonts w:ascii="Calibri Light" w:eastAsia="Times New Roman" w:hAnsi="Calibri Light" w:cs="Calibri Light"/>
          <w:i/>
          <w:iCs/>
          <w:kern w:val="0"/>
          <w14:ligatures w14:val="none"/>
        </w:rPr>
        <w:t>Residential History</w:t>
      </w:r>
      <w:r w:rsidRPr="000D2C26">
        <w:rPr>
          <w:rFonts w:ascii="Calibri Light" w:eastAsia="Times New Roman" w:hAnsi="Calibri Light" w:cs="Calibri Light"/>
          <w:kern w:val="0"/>
          <w14:ligatures w14:val="none"/>
        </w:rPr>
        <w:t xml:space="preserve"> – This construct comes from </w:t>
      </w:r>
      <w:proofErr w:type="spellStart"/>
      <w:r w:rsidRPr="000D2C26">
        <w:rPr>
          <w:rFonts w:ascii="Calibri Light" w:eastAsia="Times New Roman" w:hAnsi="Calibri Light" w:cs="Calibri Light"/>
          <w:kern w:val="0"/>
          <w14:ligatures w14:val="none"/>
        </w:rPr>
        <w:t>Infutor</w:t>
      </w:r>
      <w:proofErr w:type="spellEnd"/>
      <w:r w:rsidRPr="000D2C26">
        <w:rPr>
          <w:rFonts w:ascii="Calibri Light" w:eastAsia="Times New Roman" w:hAnsi="Calibri Light" w:cs="Calibri Light"/>
          <w:kern w:val="0"/>
          <w14:ligatures w14:val="none"/>
        </w:rPr>
        <w:t xml:space="preserve"> data and provides baseline information about how frequently individuals in the study change residences. Matched with eviction data, the residential history also gives us an idea of how often residence changes were voluntary versus involuntary. </w:t>
      </w:r>
    </w:p>
    <w:p w14:paraId="453C0849"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2B16A4A6" w14:textId="77777777" w:rsidR="00381329" w:rsidRPr="000D2C26" w:rsidRDefault="00381329" w:rsidP="00381329">
      <w:pPr>
        <w:pStyle w:val="ListParagraph"/>
        <w:ind w:left="360"/>
        <w:rPr>
          <w:rFonts w:ascii="Calibri Light" w:eastAsia="Times New Roman" w:hAnsi="Calibri Light" w:cs="Calibri Light"/>
          <w:kern w:val="0"/>
          <w14:ligatures w14:val="none"/>
        </w:rPr>
      </w:pPr>
      <w:r w:rsidRPr="000D2C26">
        <w:rPr>
          <w:rFonts w:ascii="Calibri Light" w:eastAsia="Times New Roman" w:hAnsi="Calibri Light" w:cs="Calibri Light"/>
          <w:i/>
          <w:iCs/>
          <w:kern w:val="0"/>
          <w14:ligatures w14:val="none"/>
        </w:rPr>
        <w:t>Eviction and Housing Stability</w:t>
      </w:r>
      <w:r w:rsidRPr="000D2C26">
        <w:rPr>
          <w:rFonts w:ascii="Calibri Light" w:eastAsia="Times New Roman" w:hAnsi="Calibri Light" w:cs="Calibri Light"/>
          <w:kern w:val="0"/>
          <w14:ligatures w14:val="none"/>
        </w:rPr>
        <w:t xml:space="preserve"> – This construct comes eviction court record and survey data. Housing stability prior will be measured by the number of previous eviction filings. Eviction will also be measured in terms of eviction filing outcomes, e.g., dismissal, judgment, and </w:t>
      </w:r>
      <w:proofErr w:type="gramStart"/>
      <w:r w:rsidRPr="000D2C26">
        <w:rPr>
          <w:rFonts w:ascii="Calibri Light" w:eastAsia="Times New Roman" w:hAnsi="Calibri Light" w:cs="Calibri Light"/>
          <w:kern w:val="0"/>
          <w14:ligatures w14:val="none"/>
        </w:rPr>
        <w:t>set-out</w:t>
      </w:r>
      <w:proofErr w:type="gramEnd"/>
      <w:r w:rsidRPr="000D2C26">
        <w:rPr>
          <w:rFonts w:ascii="Calibri Light" w:eastAsia="Times New Roman" w:hAnsi="Calibri Light" w:cs="Calibri Light"/>
          <w:kern w:val="0"/>
          <w14:ligatures w14:val="none"/>
        </w:rPr>
        <w:t>. Study participants who complete surveys will also be asked to report information on their prior eviction history, which will help us to identify any extra-judicial forced moves. </w:t>
      </w:r>
    </w:p>
    <w:p w14:paraId="1EB73CC3"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76A2D11D" w14:textId="77777777" w:rsidR="00381329" w:rsidRPr="000D2C26" w:rsidRDefault="00381329" w:rsidP="00381329">
      <w:pPr>
        <w:pStyle w:val="ListParagraph"/>
        <w:ind w:left="360"/>
        <w:rPr>
          <w:rFonts w:ascii="Calibri Light" w:eastAsia="Times New Roman" w:hAnsi="Calibri Light" w:cs="Calibri Light"/>
          <w:kern w:val="0"/>
          <w14:ligatures w14:val="none"/>
        </w:rPr>
      </w:pPr>
      <w:r w:rsidRPr="000D2C26">
        <w:rPr>
          <w:rFonts w:ascii="Calibri Light" w:eastAsia="Times New Roman" w:hAnsi="Calibri Light" w:cs="Calibri Light"/>
          <w:i/>
          <w:iCs/>
          <w:kern w:val="0"/>
          <w14:ligatures w14:val="none"/>
        </w:rPr>
        <w:t>Demographics </w:t>
      </w:r>
      <w:r w:rsidRPr="000D2C26">
        <w:rPr>
          <w:rFonts w:ascii="Calibri Light" w:eastAsia="Times New Roman" w:hAnsi="Calibri Light" w:cs="Calibri Light"/>
          <w:kern w:val="0"/>
          <w14:ligatures w14:val="none"/>
        </w:rPr>
        <w:t xml:space="preserve">– This construct comes from PRC administrative, </w:t>
      </w:r>
      <w:proofErr w:type="spellStart"/>
      <w:r w:rsidRPr="000D2C26">
        <w:rPr>
          <w:rFonts w:ascii="Calibri Light" w:eastAsia="Times New Roman" w:hAnsi="Calibri Light" w:cs="Calibri Light"/>
          <w:kern w:val="0"/>
          <w14:ligatures w14:val="none"/>
        </w:rPr>
        <w:t>Infutor</w:t>
      </w:r>
      <w:proofErr w:type="spellEnd"/>
      <w:r w:rsidRPr="000D2C26">
        <w:rPr>
          <w:rFonts w:ascii="Calibri Light" w:eastAsia="Times New Roman" w:hAnsi="Calibri Light" w:cs="Calibri Light"/>
          <w:kern w:val="0"/>
          <w14:ligatures w14:val="none"/>
        </w:rPr>
        <w:t>, and survey data. Demographic data includes information on gender, race, household composition, income, benefit take-up, and housing quality.</w:t>
      </w:r>
    </w:p>
    <w:p w14:paraId="5F3D424A" w14:textId="77777777" w:rsidR="00381329" w:rsidRPr="000D2C26" w:rsidRDefault="00381329" w:rsidP="00381329">
      <w:pPr>
        <w:rPr>
          <w:rFonts w:ascii="Calibri Light" w:eastAsia="Times New Roman" w:hAnsi="Calibri Light" w:cs="Calibri Light"/>
          <w:kern w:val="0"/>
          <w14:ligatures w14:val="none"/>
        </w:rPr>
      </w:pPr>
    </w:p>
    <w:p w14:paraId="4C24FB5B" w14:textId="77777777" w:rsidR="00381329" w:rsidRPr="000D2C26" w:rsidRDefault="00381329" w:rsidP="00381329">
      <w:pPr>
        <w:pStyle w:val="ListParagraph"/>
        <w:ind w:left="360"/>
        <w:rPr>
          <w:rFonts w:ascii="Calibri Light" w:eastAsia="Times New Roman" w:hAnsi="Calibri Light" w:cs="Calibri Light"/>
          <w:kern w:val="0"/>
          <w14:ligatures w14:val="none"/>
        </w:rPr>
      </w:pPr>
      <w:r w:rsidRPr="000D2C26">
        <w:rPr>
          <w:rFonts w:ascii="Calibri Light" w:eastAsia="Times New Roman" w:hAnsi="Calibri Light" w:cs="Calibri Light"/>
          <w:i/>
          <w:iCs/>
          <w:kern w:val="0"/>
          <w14:ligatures w14:val="none"/>
        </w:rPr>
        <w:t>Interest in Rental Education</w:t>
      </w:r>
      <w:r w:rsidRPr="000D2C26">
        <w:rPr>
          <w:rFonts w:ascii="Calibri Light" w:eastAsia="Times New Roman" w:hAnsi="Calibri Light" w:cs="Calibri Light"/>
          <w:kern w:val="0"/>
          <w14:ligatures w14:val="none"/>
        </w:rPr>
        <w:t xml:space="preserve"> – This construct is designed to provide </w:t>
      </w:r>
      <w:proofErr w:type="gramStart"/>
      <w:r w:rsidRPr="000D2C26">
        <w:rPr>
          <w:rFonts w:ascii="Calibri Light" w:eastAsia="Times New Roman" w:hAnsi="Calibri Light" w:cs="Calibri Light"/>
          <w:kern w:val="0"/>
          <w14:ligatures w14:val="none"/>
        </w:rPr>
        <w:t>the researchers</w:t>
      </w:r>
      <w:proofErr w:type="gramEnd"/>
      <w:r w:rsidRPr="000D2C26">
        <w:rPr>
          <w:rFonts w:ascii="Calibri Light" w:eastAsia="Times New Roman" w:hAnsi="Calibri Light" w:cs="Calibri Light"/>
          <w:kern w:val="0"/>
          <w14:ligatures w14:val="none"/>
        </w:rPr>
        <w:t xml:space="preserve"> with information about the long-term viability of offering a rental education program to local tenants. We will collect information on participants’ interest in attending a rental education workshop, preferred times and days, and barriers to access. </w:t>
      </w:r>
    </w:p>
    <w:p w14:paraId="41CBB02B"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3E3240DB" w14:textId="77777777" w:rsidR="00381329" w:rsidRPr="000D2C26" w:rsidRDefault="00381329" w:rsidP="00381329">
      <w:pPr>
        <w:rPr>
          <w:rFonts w:ascii="Calibri Light" w:eastAsia="Times New Roman" w:hAnsi="Calibri Light" w:cs="Calibri Light"/>
          <w:kern w:val="0"/>
          <w14:ligatures w14:val="none"/>
        </w:rPr>
      </w:pPr>
      <w:r w:rsidRPr="000D2C26">
        <w:rPr>
          <w:rFonts w:ascii="Calibri Light" w:eastAsia="Times New Roman" w:hAnsi="Calibri Light" w:cs="Calibri Light"/>
          <w:kern w:val="0"/>
          <w14:ligatures w14:val="none"/>
        </w:rPr>
        <w:t xml:space="preserve">Three variables included in the PRC data pertain to information that might be considered sensitive: citizenship, number of children, and pregnancy. While these data are collected by Franklin County Job and Family Services for non-research purposes as part of the standard PRC application, they also have important research significance. Prior research suggests that each variable is associated with the risk of eviction. For instance, Tesfai and Ruther (2022) find a heightened risk of eviction associated with increasing the immigrant portion of the neighborhood population. The association is particularly strong in neighborhoods with higher portions of Black immigrants. Several studies find a positive association </w:t>
      </w:r>
      <w:r w:rsidRPr="000D2C26">
        <w:rPr>
          <w:rFonts w:ascii="Calibri Light" w:eastAsia="Times New Roman" w:hAnsi="Calibri Light" w:cs="Calibri Light"/>
          <w:kern w:val="0"/>
          <w14:ligatures w14:val="none"/>
        </w:rPr>
        <w:lastRenderedPageBreak/>
        <w:t>between risk of eviction and the number of children in a household (Desmond, An, &amp; Winkler, 2013; Desmond, 2012). These studies find that tenants with children are both more likely to be evicted and have increased difficulty finding a new apartment following an eviction, relative to tenants without children. While there is less evidence regarding the relationship between eviction and pregnancy, several studies find that eviction has a negative impact on pregnancy, such that women who are evicted while pregnant are more likely to experience adverse birth outcomes (Himmelstein &amp; Desmond, 2021; Harville, Wallace, &amp; Theall, 2022; Leifheit et. al, 2020).</w:t>
      </w:r>
    </w:p>
    <w:p w14:paraId="28EEE63B"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700322A6" w14:textId="77777777" w:rsidR="00381329" w:rsidRPr="000D2C26" w:rsidRDefault="00381329" w:rsidP="00381329">
      <w:pPr>
        <w:rPr>
          <w:rFonts w:ascii="Calibri Light" w:eastAsia="Times New Roman" w:hAnsi="Calibri Light" w:cs="Calibri Light"/>
          <w:kern w:val="0"/>
          <w14:ligatures w14:val="none"/>
        </w:rPr>
      </w:pPr>
      <w:r w:rsidRPr="000D2C26">
        <w:rPr>
          <w:rFonts w:ascii="Calibri Light" w:eastAsia="Times New Roman" w:hAnsi="Calibri Light" w:cs="Calibri Light"/>
          <w:kern w:val="0"/>
          <w14:ligatures w14:val="none"/>
        </w:rPr>
        <w:t>The eviction dataset includes information on plaintiffs and attorneys. This information is displayed on the public -facing website. Like the variables described above, prior finds important links between plaintiff type (Raymond, Duckworth, Miller, Lucas, &amp; Pokharel, 2018; Raymond, Miller, McKinney, &amp; Braun, 2021) and eviction risk as well as the presence of an attorney and the outcome of an eviction case (Ellen, O'Regan, House, &amp; Brenner, 2021; Cassidy &amp; Currie, 2023). </w:t>
      </w:r>
    </w:p>
    <w:p w14:paraId="43552381" w14:textId="77777777" w:rsidR="00381329" w:rsidRPr="000D2C26" w:rsidRDefault="00381329" w:rsidP="00381329">
      <w:pPr>
        <w:pStyle w:val="ListParagraph"/>
        <w:ind w:left="360"/>
        <w:rPr>
          <w:rFonts w:ascii="Calibri Light" w:eastAsia="Times New Roman" w:hAnsi="Calibri Light" w:cs="Calibri Light"/>
          <w:kern w:val="0"/>
          <w14:ligatures w14:val="none"/>
        </w:rPr>
      </w:pPr>
    </w:p>
    <w:p w14:paraId="343FE69A" w14:textId="6621B67D" w:rsidR="00381329" w:rsidRPr="000D2C26" w:rsidRDefault="00381329" w:rsidP="00381329">
      <w:pPr>
        <w:rPr>
          <w:rFonts w:ascii="Calibri Light" w:eastAsia="Times New Roman" w:hAnsi="Calibri Light" w:cs="Calibri Light"/>
          <w:kern w:val="0"/>
          <w14:ligatures w14:val="none"/>
        </w:rPr>
      </w:pPr>
      <w:r w:rsidRPr="000D2C26">
        <w:rPr>
          <w:rFonts w:ascii="Calibri Light" w:eastAsia="Times New Roman" w:hAnsi="Calibri Light" w:cs="Calibri Light"/>
          <w:kern w:val="0"/>
          <w14:ligatures w14:val="none"/>
        </w:rPr>
        <w:t>Given this evidence of a relationship between all the variables described above--citizenship, number of children, pregnancy, plaintiff type, and presence of an attorney--we include these variables in our dataset and subsequent analysis to ensure that we are controlling for known factors that could influence an individual's risk of eviction. </w:t>
      </w:r>
    </w:p>
    <w:p w14:paraId="5AE14399" w14:textId="77777777" w:rsidR="00381329" w:rsidRPr="000D2C26" w:rsidRDefault="00381329" w:rsidP="00381329">
      <w:pPr>
        <w:rPr>
          <w:rFonts w:ascii="Calibri Light" w:hAnsi="Calibri Light" w:cs="Calibri Light"/>
          <w:b/>
          <w:bCs/>
        </w:rPr>
      </w:pPr>
    </w:p>
    <w:p w14:paraId="6EF8191D" w14:textId="4989482E" w:rsidR="00381329" w:rsidRPr="000D2C26" w:rsidRDefault="00381329" w:rsidP="0038132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Balancing Checks</w:t>
      </w:r>
    </w:p>
    <w:p w14:paraId="0BCA2966" w14:textId="77777777" w:rsidR="00D038D0" w:rsidRPr="000D2C26" w:rsidRDefault="00D038D0" w:rsidP="00D038D0">
      <w:pPr>
        <w:rPr>
          <w:rFonts w:ascii="Calibri Light" w:hAnsi="Calibri Light" w:cs="Calibri Light"/>
          <w:b/>
          <w:bCs/>
        </w:rPr>
      </w:pPr>
    </w:p>
    <w:p w14:paraId="70C198A5" w14:textId="4DE770B2" w:rsidR="00D038D0" w:rsidRPr="000D2C26" w:rsidRDefault="00D038D0" w:rsidP="00D038D0">
      <w:pPr>
        <w:rPr>
          <w:rFonts w:ascii="Calibri Light" w:hAnsi="Calibri Light" w:cs="Calibri Light"/>
        </w:rPr>
      </w:pPr>
      <w:r w:rsidRPr="000D2C26">
        <w:rPr>
          <w:rFonts w:ascii="Calibri Light" w:hAnsi="Calibri Light" w:cs="Calibri Light"/>
        </w:rPr>
        <w:t xml:space="preserve">We will check for balance between our treatment and control groups using demographic characteristics of PRC applicants such as gender, race, ethnicity, and age. We will also check for balance on PRC receipt—that is, the percentage of treatment and control group participants who eventually received PRC assistance. We will use the </w:t>
      </w:r>
      <w:proofErr w:type="spellStart"/>
      <w:r w:rsidR="00BA3790" w:rsidRPr="000D2C26">
        <w:rPr>
          <w:rFonts w:ascii="Calibri Light" w:hAnsi="Calibri Light" w:cs="Calibri Light"/>
        </w:rPr>
        <w:t>baltable</w:t>
      </w:r>
      <w:proofErr w:type="spellEnd"/>
      <w:r w:rsidRPr="000D2C26">
        <w:rPr>
          <w:rFonts w:ascii="Calibri Light" w:hAnsi="Calibri Light" w:cs="Calibri Light"/>
        </w:rPr>
        <w:t xml:space="preserve"> command in Stata and report the means and standardized differences between groups.</w:t>
      </w:r>
    </w:p>
    <w:p w14:paraId="6AC71EC0" w14:textId="77777777" w:rsidR="00D038D0" w:rsidRPr="000D2C26" w:rsidRDefault="00D038D0" w:rsidP="00D038D0">
      <w:pPr>
        <w:rPr>
          <w:rFonts w:ascii="Calibri Light" w:hAnsi="Calibri Light" w:cs="Calibri Light"/>
          <w:b/>
          <w:bCs/>
        </w:rPr>
      </w:pPr>
    </w:p>
    <w:p w14:paraId="455B3B60" w14:textId="6465BE62" w:rsidR="00D038D0" w:rsidRPr="000D2C26" w:rsidRDefault="00D038D0" w:rsidP="00381329">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Treatment Effects</w:t>
      </w:r>
    </w:p>
    <w:p w14:paraId="04A4A09E" w14:textId="77777777" w:rsidR="000D2C26" w:rsidRDefault="000D2C26" w:rsidP="00F319EA">
      <w:pPr>
        <w:rPr>
          <w:rFonts w:ascii="Calibri Light" w:hAnsi="Calibri Light" w:cs="Calibri Light"/>
        </w:rPr>
      </w:pPr>
    </w:p>
    <w:p w14:paraId="72E5A256" w14:textId="20DD736B" w:rsidR="00F319EA" w:rsidRPr="000D2C26" w:rsidRDefault="00BA3790" w:rsidP="00F319EA">
      <w:pPr>
        <w:rPr>
          <w:rFonts w:ascii="Calibri Light" w:hAnsi="Calibri Light" w:cs="Calibri Light"/>
        </w:rPr>
      </w:pPr>
      <w:r w:rsidRPr="000D2C26">
        <w:rPr>
          <w:rFonts w:ascii="Calibri Light" w:hAnsi="Calibri Light" w:cs="Calibri Light"/>
        </w:rPr>
        <w:t xml:space="preserve">We will transfer pre- and post-treatment survey responses to Stata for data analysis. For responses to interview </w:t>
      </w:r>
      <w:proofErr w:type="gramStart"/>
      <w:r w:rsidRPr="000D2C26">
        <w:rPr>
          <w:rFonts w:ascii="Calibri Light" w:hAnsi="Calibri Light" w:cs="Calibri Light"/>
        </w:rPr>
        <w:t>questions</w:t>
      </w:r>
      <w:proofErr w:type="gramEnd"/>
      <w:r w:rsidRPr="000D2C26">
        <w:rPr>
          <w:rFonts w:ascii="Calibri Light" w:hAnsi="Calibri Light" w:cs="Calibri Light"/>
        </w:rPr>
        <w:t xml:space="preserve"> we will employ a procedure of open coding and summarize the data using several methods: content-analytic summary table, checklist matrix and explanatory effects matrix (Miles, Huberman, &amp; Saldana, 2014). The research design allows for comparison of average differences between the treatment and control groups on outcomes related to housing stability. However, we expect non-compliance with assignment treatment, such that some participants who are offered treatment will </w:t>
      </w:r>
      <w:proofErr w:type="gramStart"/>
      <w:r w:rsidRPr="000D2C26">
        <w:rPr>
          <w:rFonts w:ascii="Calibri Light" w:hAnsi="Calibri Light" w:cs="Calibri Light"/>
        </w:rPr>
        <w:t>decline to</w:t>
      </w:r>
      <w:proofErr w:type="gramEnd"/>
      <w:r w:rsidRPr="000D2C26">
        <w:rPr>
          <w:rFonts w:ascii="Calibri Light" w:hAnsi="Calibri Light" w:cs="Calibri Light"/>
        </w:rPr>
        <w:t xml:space="preserve"> or be unable to participate in the treatment. Thus, we estimate local average treatment effects (LATEs), which are defined as the effect of participating in treatment on those who take-up treatment (Angrist &amp; Pischke, 2009; Athey &amp; </w:t>
      </w:r>
      <w:proofErr w:type="spellStart"/>
      <w:r w:rsidRPr="000D2C26">
        <w:rPr>
          <w:rFonts w:ascii="Calibri Light" w:hAnsi="Calibri Light" w:cs="Calibri Light"/>
        </w:rPr>
        <w:t>Imbens</w:t>
      </w:r>
      <w:proofErr w:type="spellEnd"/>
      <w:r w:rsidRPr="000D2C26">
        <w:rPr>
          <w:rFonts w:ascii="Calibri Light" w:hAnsi="Calibri Light" w:cs="Calibri Light"/>
        </w:rPr>
        <w:t>, 2017). We use random assignment to the treatment group as an instrument for program participation, with and without covariates.</w:t>
      </w:r>
    </w:p>
    <w:p w14:paraId="64B0D7AE" w14:textId="77777777" w:rsidR="00F319EA" w:rsidRPr="000D2C26" w:rsidRDefault="00F319EA" w:rsidP="00F319EA">
      <w:pPr>
        <w:rPr>
          <w:rFonts w:ascii="Calibri Light" w:hAnsi="Calibri Light" w:cs="Calibri Light"/>
          <w:b/>
          <w:bCs/>
        </w:rPr>
      </w:pPr>
    </w:p>
    <w:p w14:paraId="17798A39" w14:textId="281C8D80" w:rsidR="00BA3790" w:rsidRPr="000D2C26" w:rsidRDefault="00BA3790" w:rsidP="00BA3790">
      <w:pPr>
        <w:pStyle w:val="ListParagraph"/>
        <w:numPr>
          <w:ilvl w:val="1"/>
          <w:numId w:val="2"/>
        </w:numPr>
        <w:rPr>
          <w:rFonts w:ascii="Calibri Light" w:hAnsi="Calibri Light" w:cs="Calibri Light"/>
          <w:b/>
          <w:bCs/>
          <w:sz w:val="24"/>
          <w:szCs w:val="24"/>
        </w:rPr>
      </w:pPr>
      <w:r w:rsidRPr="000D2C26">
        <w:rPr>
          <w:rFonts w:ascii="Calibri Light" w:hAnsi="Calibri Light" w:cs="Calibri Light"/>
          <w:b/>
          <w:bCs/>
          <w:sz w:val="24"/>
          <w:szCs w:val="24"/>
        </w:rPr>
        <w:t>Standard Error Adjustments</w:t>
      </w:r>
    </w:p>
    <w:p w14:paraId="784010B5" w14:textId="29151331" w:rsidR="00F319EA" w:rsidRDefault="00F319EA" w:rsidP="00F319EA">
      <w:pPr>
        <w:rPr>
          <w:rFonts w:ascii="Calibri Light" w:hAnsi="Calibri Light" w:cs="Calibri Light"/>
        </w:rPr>
      </w:pPr>
      <w:r w:rsidRPr="000D2C26">
        <w:rPr>
          <w:rFonts w:ascii="Calibri Light" w:hAnsi="Calibri Light" w:cs="Calibri Light"/>
        </w:rPr>
        <w:t>We will cluster s</w:t>
      </w:r>
      <w:r w:rsidRPr="000D2C26">
        <w:rPr>
          <w:rFonts w:ascii="Calibri Light" w:hAnsi="Calibri Light" w:cs="Calibri Light"/>
        </w:rPr>
        <w:t xml:space="preserve">tandard errors at the individual-level, </w:t>
      </w:r>
      <w:r w:rsidRPr="000D2C26">
        <w:rPr>
          <w:rFonts w:ascii="Calibri Light" w:hAnsi="Calibri Light" w:cs="Calibri Light"/>
        </w:rPr>
        <w:t>because we randomize</w:t>
      </w:r>
      <w:r w:rsidRPr="000D2C26">
        <w:rPr>
          <w:rFonts w:ascii="Calibri Light" w:hAnsi="Calibri Light" w:cs="Calibri Light"/>
        </w:rPr>
        <w:t xml:space="preserve"> treatment on the individual-level.</w:t>
      </w:r>
    </w:p>
    <w:p w14:paraId="62E08158" w14:textId="77777777" w:rsidR="000D2C26" w:rsidRDefault="000D2C26" w:rsidP="00F319EA">
      <w:pPr>
        <w:rPr>
          <w:rFonts w:ascii="Calibri Light" w:hAnsi="Calibri Light" w:cs="Calibri Light"/>
        </w:rPr>
      </w:pPr>
    </w:p>
    <w:p w14:paraId="10CD4AF1" w14:textId="58C3E54B" w:rsidR="000D2C26" w:rsidRDefault="000D2C26" w:rsidP="000D2C26">
      <w:pPr>
        <w:pStyle w:val="ListParagraph"/>
        <w:numPr>
          <w:ilvl w:val="0"/>
          <w:numId w:val="2"/>
        </w:numPr>
        <w:rPr>
          <w:rFonts w:ascii="Calibri Light" w:hAnsi="Calibri Light" w:cs="Calibri Light"/>
          <w:b/>
          <w:bCs/>
          <w:sz w:val="28"/>
          <w:szCs w:val="28"/>
        </w:rPr>
      </w:pPr>
      <w:r>
        <w:rPr>
          <w:rFonts w:ascii="Calibri Light" w:hAnsi="Calibri Light" w:cs="Calibri Light"/>
          <w:b/>
          <w:bCs/>
          <w:sz w:val="28"/>
          <w:szCs w:val="28"/>
        </w:rPr>
        <w:t>References</w:t>
      </w:r>
    </w:p>
    <w:p w14:paraId="011A3CDF" w14:textId="77777777"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Angrist, J. D., &amp; Pischke, J.-S. (2009). </w:t>
      </w:r>
      <w:r w:rsidRPr="00EC293A">
        <w:rPr>
          <w:rFonts w:ascii="Calibri Light" w:eastAsia="Times New Roman" w:hAnsi="Calibri Light" w:cs="Calibri Light"/>
          <w:i/>
          <w:iCs/>
          <w:color w:val="333333"/>
          <w:kern w:val="0"/>
          <w14:ligatures w14:val="none"/>
        </w:rPr>
        <w:t>Mostly Harmless Econometrics: An Empiricist’s Companion</w:t>
      </w:r>
      <w:r w:rsidRPr="00EC293A">
        <w:rPr>
          <w:rFonts w:ascii="Calibri Light" w:eastAsia="Times New Roman" w:hAnsi="Calibri Light" w:cs="Calibri Light"/>
          <w:color w:val="333333"/>
          <w:kern w:val="0"/>
          <w14:ligatures w14:val="none"/>
        </w:rPr>
        <w:t>. Princeton University Press.</w:t>
      </w:r>
    </w:p>
    <w:p w14:paraId="669DE670" w14:textId="429B1994"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lastRenderedPageBreak/>
        <w:t xml:space="preserve">Athey, S., &amp; </w:t>
      </w:r>
      <w:proofErr w:type="spellStart"/>
      <w:r w:rsidRPr="00EC293A">
        <w:rPr>
          <w:rFonts w:ascii="Calibri Light" w:eastAsia="Times New Roman" w:hAnsi="Calibri Light" w:cs="Calibri Light"/>
          <w:color w:val="333333"/>
          <w:kern w:val="0"/>
          <w14:ligatures w14:val="none"/>
        </w:rPr>
        <w:t>Imbens</w:t>
      </w:r>
      <w:proofErr w:type="spellEnd"/>
      <w:r w:rsidRPr="00EC293A">
        <w:rPr>
          <w:rFonts w:ascii="Calibri Light" w:eastAsia="Times New Roman" w:hAnsi="Calibri Light" w:cs="Calibri Light"/>
          <w:color w:val="333333"/>
          <w:kern w:val="0"/>
          <w14:ligatures w14:val="none"/>
        </w:rPr>
        <w:t>, G. W. (2017). The Econometrics of Randomized Experiments. In </w:t>
      </w:r>
      <w:r w:rsidRPr="00EC293A">
        <w:rPr>
          <w:rFonts w:ascii="Calibri Light" w:eastAsia="Times New Roman" w:hAnsi="Calibri Light" w:cs="Calibri Light"/>
          <w:i/>
          <w:iCs/>
          <w:color w:val="333333"/>
          <w:kern w:val="0"/>
          <w14:ligatures w14:val="none"/>
        </w:rPr>
        <w:t>Handbook of economic field experiments</w:t>
      </w:r>
      <w:r w:rsidRPr="00EC293A">
        <w:rPr>
          <w:rFonts w:ascii="Calibri Light" w:eastAsia="Times New Roman" w:hAnsi="Calibri Light" w:cs="Calibri Light"/>
          <w:color w:val="333333"/>
          <w:kern w:val="0"/>
          <w14:ligatures w14:val="none"/>
        </w:rPr>
        <w:t> (Issue 1, pp. 73–140). North-Holland. </w:t>
      </w:r>
      <w:hyperlink r:id="rId7" w:history="1">
        <w:r w:rsidR="00702778" w:rsidRPr="00AC4498">
          <w:rPr>
            <w:rStyle w:val="Hyperlink"/>
            <w:rFonts w:ascii="Calibri Light" w:eastAsia="Times New Roman" w:hAnsi="Calibri Light" w:cs="Calibri Light"/>
            <w:kern w:val="0"/>
            <w14:ligatures w14:val="none"/>
          </w:rPr>
          <w:t>https://doi.org/10.1016/bs.hefe.2016.10.003</w:t>
        </w:r>
      </w:hyperlink>
      <w:r w:rsidR="00702778">
        <w:rPr>
          <w:rFonts w:ascii="Calibri Light" w:eastAsia="Times New Roman" w:hAnsi="Calibri Light" w:cs="Calibri Light"/>
          <w:color w:val="333333"/>
          <w:kern w:val="0"/>
          <w14:ligatures w14:val="none"/>
        </w:rPr>
        <w:t xml:space="preserve"> </w:t>
      </w:r>
    </w:p>
    <w:p w14:paraId="1F58A764" w14:textId="0ECD5AB5"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Cassidy, M. &amp; Currie, J. (2023). The effects of legal representation on tenant outcomes in housing court: Evidence from New York City’s Universal Access program. </w:t>
      </w:r>
      <w:r w:rsidRPr="00EC293A">
        <w:rPr>
          <w:rFonts w:ascii="Calibri Light" w:eastAsia="Times New Roman" w:hAnsi="Calibri Light" w:cs="Calibri Light"/>
          <w:i/>
          <w:iCs/>
          <w:color w:val="333333"/>
          <w:kern w:val="0"/>
          <w14:ligatures w14:val="none"/>
        </w:rPr>
        <w:t>Journal of Public Economics, 222</w:t>
      </w:r>
      <w:r w:rsidRPr="00EC293A">
        <w:rPr>
          <w:rFonts w:ascii="Calibri Light" w:eastAsia="Times New Roman" w:hAnsi="Calibri Light" w:cs="Calibri Light"/>
          <w:color w:val="333333"/>
          <w:kern w:val="0"/>
          <w14:ligatures w14:val="none"/>
        </w:rPr>
        <w:t>(104844). </w:t>
      </w:r>
      <w:hyperlink r:id="rId8" w:history="1">
        <w:r w:rsidR="00702778" w:rsidRPr="00AC4498">
          <w:rPr>
            <w:rStyle w:val="Hyperlink"/>
            <w:rFonts w:ascii="Calibri Light" w:eastAsia="Times New Roman" w:hAnsi="Calibri Light" w:cs="Calibri Light"/>
            <w:kern w:val="0"/>
            <w14:ligatures w14:val="none"/>
          </w:rPr>
          <w:t>https://doi.org/10.1016/j.jpubeco.2023.104844</w:t>
        </w:r>
      </w:hyperlink>
      <w:r w:rsidR="00702778">
        <w:rPr>
          <w:rFonts w:ascii="Calibri Light" w:eastAsia="Times New Roman" w:hAnsi="Calibri Light" w:cs="Calibri Light"/>
          <w:color w:val="333333"/>
          <w:kern w:val="0"/>
          <w14:ligatures w14:val="none"/>
        </w:rPr>
        <w:t xml:space="preserve"> </w:t>
      </w:r>
      <w:r w:rsidRPr="00EC293A">
        <w:rPr>
          <w:rFonts w:ascii="Calibri Light" w:eastAsia="Times New Roman" w:hAnsi="Calibri Light" w:cs="Calibri Light"/>
          <w:color w:val="333333"/>
          <w:kern w:val="0"/>
          <w14:ligatures w14:val="none"/>
        </w:rPr>
        <w:t> </w:t>
      </w:r>
    </w:p>
    <w:p w14:paraId="271A594F" w14:textId="5E2D0026"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Collinson, R., &amp; Reed, D. (2018). The effects of evictions on low-income households. </w:t>
      </w:r>
      <w:r w:rsidRPr="00EC293A">
        <w:rPr>
          <w:rFonts w:ascii="Calibri Light" w:eastAsia="Times New Roman" w:hAnsi="Calibri Light" w:cs="Calibri Light"/>
          <w:i/>
          <w:iCs/>
          <w:color w:val="333333"/>
          <w:kern w:val="0"/>
          <w14:ligatures w14:val="none"/>
        </w:rPr>
        <w:t>Job Market Paper (Unpublished)</w:t>
      </w:r>
      <w:r w:rsidRPr="00EC293A">
        <w:rPr>
          <w:rFonts w:ascii="Calibri Light" w:eastAsia="Times New Roman" w:hAnsi="Calibri Light" w:cs="Calibri Light"/>
          <w:color w:val="333333"/>
          <w:kern w:val="0"/>
          <w14:ligatures w14:val="none"/>
        </w:rPr>
        <w:t>, </w:t>
      </w:r>
      <w:proofErr w:type="gramStart"/>
      <w:r w:rsidRPr="00EC293A">
        <w:rPr>
          <w:rFonts w:ascii="Calibri Light" w:eastAsia="Times New Roman" w:hAnsi="Calibri Light" w:cs="Calibri Light"/>
          <w:i/>
          <w:iCs/>
          <w:color w:val="333333"/>
          <w:kern w:val="0"/>
          <w14:ligatures w14:val="none"/>
        </w:rPr>
        <w:t>October</w:t>
      </w:r>
      <w:r w:rsidRPr="00EC293A">
        <w:rPr>
          <w:rFonts w:ascii="Calibri Light" w:eastAsia="Times New Roman" w:hAnsi="Calibri Light" w:cs="Calibri Light"/>
          <w:color w:val="333333"/>
          <w:kern w:val="0"/>
          <w14:ligatures w14:val="none"/>
        </w:rPr>
        <w:t>,</w:t>
      </w:r>
      <w:proofErr w:type="gramEnd"/>
      <w:r w:rsidRPr="00EC293A">
        <w:rPr>
          <w:rFonts w:ascii="Calibri Light" w:eastAsia="Times New Roman" w:hAnsi="Calibri Light" w:cs="Calibri Light"/>
          <w:color w:val="333333"/>
          <w:kern w:val="0"/>
          <w14:ligatures w14:val="none"/>
        </w:rPr>
        <w:t xml:space="preserve"> 1–82.</w:t>
      </w:r>
      <w:r w:rsidR="00702778">
        <w:rPr>
          <w:rFonts w:ascii="Calibri Light" w:eastAsia="Times New Roman" w:hAnsi="Calibri Light" w:cs="Calibri Light"/>
          <w:color w:val="333333"/>
          <w:kern w:val="0"/>
          <w14:ligatures w14:val="none"/>
        </w:rPr>
        <w:t xml:space="preserve"> </w:t>
      </w:r>
      <w:hyperlink r:id="rId9" w:history="1">
        <w:r w:rsidR="00702778" w:rsidRPr="00AC4498">
          <w:rPr>
            <w:rStyle w:val="Hyperlink"/>
            <w:rFonts w:ascii="Calibri Light" w:eastAsia="Times New Roman" w:hAnsi="Calibri Light" w:cs="Calibri Light"/>
            <w:kern w:val="0"/>
            <w14:ligatures w14:val="none"/>
          </w:rPr>
          <w:t>https://www.law.nyu.edu/sites/default/files/upload_documents/evictions_collinson_reed.pdf</w:t>
        </w:r>
      </w:hyperlink>
      <w:r w:rsidR="00702778">
        <w:rPr>
          <w:rFonts w:ascii="Calibri Light" w:eastAsia="Times New Roman" w:hAnsi="Calibri Light" w:cs="Calibri Light"/>
          <w:color w:val="333333"/>
          <w:kern w:val="0"/>
          <w14:ligatures w14:val="none"/>
        </w:rPr>
        <w:t xml:space="preserve"> </w:t>
      </w:r>
    </w:p>
    <w:p w14:paraId="38E0E518" w14:textId="5EA05534"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Consumer Financial Protection Bureau. (2021). </w:t>
      </w:r>
      <w:r w:rsidRPr="00EC293A">
        <w:rPr>
          <w:rFonts w:ascii="Calibri Light" w:eastAsia="Times New Roman" w:hAnsi="Calibri Light" w:cs="Calibri Light"/>
          <w:i/>
          <w:iCs/>
          <w:color w:val="333333"/>
          <w:kern w:val="0"/>
          <w14:ligatures w14:val="none"/>
        </w:rPr>
        <w:t>Housing insecurity and the COVID-19 pandemic</w:t>
      </w:r>
      <w:r w:rsidRPr="00EC293A">
        <w:rPr>
          <w:rFonts w:ascii="Calibri Light" w:eastAsia="Times New Roman" w:hAnsi="Calibri Light" w:cs="Calibri Light"/>
          <w:color w:val="333333"/>
          <w:kern w:val="0"/>
          <w14:ligatures w14:val="none"/>
        </w:rPr>
        <w:t>.</w:t>
      </w:r>
      <w:r w:rsidR="00702778">
        <w:rPr>
          <w:rFonts w:ascii="Calibri Light" w:eastAsia="Times New Roman" w:hAnsi="Calibri Light" w:cs="Calibri Light"/>
          <w:color w:val="333333"/>
          <w:kern w:val="0"/>
          <w14:ligatures w14:val="none"/>
        </w:rPr>
        <w:t xml:space="preserve"> </w:t>
      </w:r>
      <w:hyperlink r:id="rId10" w:history="1">
        <w:r w:rsidR="00702778" w:rsidRPr="00AC4498">
          <w:rPr>
            <w:rStyle w:val="Hyperlink"/>
            <w:rFonts w:ascii="Calibri Light" w:eastAsia="Times New Roman" w:hAnsi="Calibri Light" w:cs="Calibri Light"/>
            <w:kern w:val="0"/>
            <w14:ligatures w14:val="none"/>
          </w:rPr>
          <w:t>https://files.consumerfinance.gov/f/documents/cfpb_Housing_insecurity_and_the_COVID-19_pandemic.pdf</w:t>
        </w:r>
      </w:hyperlink>
      <w:r w:rsidR="00702778">
        <w:rPr>
          <w:rFonts w:ascii="Calibri Light" w:eastAsia="Times New Roman" w:hAnsi="Calibri Light" w:cs="Calibri Light"/>
          <w:color w:val="333333"/>
          <w:kern w:val="0"/>
          <w14:ligatures w14:val="none"/>
        </w:rPr>
        <w:t xml:space="preserve"> </w:t>
      </w:r>
    </w:p>
    <w:p w14:paraId="74756B74" w14:textId="7BF91306" w:rsidR="00702778" w:rsidRDefault="00702778" w:rsidP="00EC293A">
      <w:pPr>
        <w:shd w:val="clear" w:color="auto" w:fill="FFFFFF"/>
        <w:ind w:left="360" w:hanging="360"/>
        <w:rPr>
          <w:rFonts w:ascii="Calibri Light" w:eastAsia="Times New Roman" w:hAnsi="Calibri Light" w:cs="Calibri Light"/>
          <w:color w:val="333333"/>
          <w:kern w:val="0"/>
          <w14:ligatures w14:val="none"/>
        </w:rPr>
      </w:pPr>
      <w:r w:rsidRPr="00702778">
        <w:rPr>
          <w:rFonts w:ascii="Calibri Light" w:eastAsia="Times New Roman" w:hAnsi="Calibri Light" w:cs="Calibri Light"/>
          <w:color w:val="333333"/>
          <w:kern w:val="0"/>
          <w14:ligatures w14:val="none"/>
        </w:rPr>
        <w:t>Coronavirus Aid, Relief, and Economic Security Act, Pub. L. No. 116-136 (2020)</w:t>
      </w:r>
      <w:r>
        <w:rPr>
          <w:rFonts w:ascii="Calibri Light" w:eastAsia="Times New Roman" w:hAnsi="Calibri Light" w:cs="Calibri Light"/>
          <w:color w:val="333333"/>
          <w:kern w:val="0"/>
          <w14:ligatures w14:val="none"/>
        </w:rPr>
        <w:t>.</w:t>
      </w:r>
      <w:r w:rsidRPr="00702778">
        <w:rPr>
          <w:rFonts w:ascii="Calibri Light" w:eastAsia="Times New Roman" w:hAnsi="Calibri Light" w:cs="Calibri Light"/>
          <w:color w:val="333333"/>
          <w:kern w:val="0"/>
          <w14:ligatures w14:val="none"/>
        </w:rPr>
        <w:t xml:space="preserve"> </w:t>
      </w:r>
      <w:r>
        <w:rPr>
          <w:rFonts w:ascii="Calibri Light" w:eastAsia="Times New Roman" w:hAnsi="Calibri Light" w:cs="Calibri Light"/>
          <w:color w:val="333333"/>
          <w:kern w:val="0"/>
          <w14:ligatures w14:val="none"/>
        </w:rPr>
        <w:fldChar w:fldCharType="begin"/>
      </w:r>
      <w:r>
        <w:rPr>
          <w:rFonts w:ascii="Calibri Light" w:eastAsia="Times New Roman" w:hAnsi="Calibri Light" w:cs="Calibri Light"/>
          <w:color w:val="333333"/>
          <w:kern w:val="0"/>
          <w14:ligatures w14:val="none"/>
        </w:rPr>
        <w:instrText>HYPERLINK "</w:instrText>
      </w:r>
      <w:r w:rsidRPr="00702778">
        <w:rPr>
          <w:rFonts w:ascii="Calibri Light" w:eastAsia="Times New Roman" w:hAnsi="Calibri Light" w:cs="Calibri Light"/>
          <w:color w:val="333333"/>
          <w:kern w:val="0"/>
          <w14:ligatures w14:val="none"/>
        </w:rPr>
        <w:instrText>https://www.govinfo.gov/app/details/PLAW-116publ136</w:instrText>
      </w:r>
      <w:r>
        <w:rPr>
          <w:rFonts w:ascii="Calibri Light" w:eastAsia="Times New Roman" w:hAnsi="Calibri Light" w:cs="Calibri Light"/>
          <w:color w:val="333333"/>
          <w:kern w:val="0"/>
          <w14:ligatures w14:val="none"/>
        </w:rPr>
        <w:instrText>"</w:instrText>
      </w:r>
      <w:r>
        <w:rPr>
          <w:rFonts w:ascii="Calibri Light" w:eastAsia="Times New Roman" w:hAnsi="Calibri Light" w:cs="Calibri Light"/>
          <w:color w:val="333333"/>
          <w:kern w:val="0"/>
          <w14:ligatures w14:val="none"/>
        </w:rPr>
        <w:fldChar w:fldCharType="separate"/>
      </w:r>
      <w:r w:rsidRPr="00AC4498">
        <w:rPr>
          <w:rStyle w:val="Hyperlink"/>
          <w:rFonts w:ascii="Calibri Light" w:eastAsia="Times New Roman" w:hAnsi="Calibri Light" w:cs="Calibri Light"/>
          <w:kern w:val="0"/>
          <w14:ligatures w14:val="none"/>
        </w:rPr>
        <w:t>https://www.govinfo.gov/app/details/PLAW-116publ136</w:t>
      </w:r>
      <w:r>
        <w:rPr>
          <w:rFonts w:ascii="Calibri Light" w:eastAsia="Times New Roman" w:hAnsi="Calibri Light" w:cs="Calibri Light"/>
          <w:color w:val="333333"/>
          <w:kern w:val="0"/>
          <w14:ligatures w14:val="none"/>
        </w:rPr>
        <w:fldChar w:fldCharType="end"/>
      </w:r>
      <w:r>
        <w:rPr>
          <w:rFonts w:ascii="Calibri Light" w:eastAsia="Times New Roman" w:hAnsi="Calibri Light" w:cs="Calibri Light"/>
          <w:color w:val="333333"/>
          <w:kern w:val="0"/>
          <w14:ligatures w14:val="none"/>
        </w:rPr>
        <w:t xml:space="preserve"> </w:t>
      </w:r>
    </w:p>
    <w:p w14:paraId="6E75AD91" w14:textId="2022B9AC"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Desmond, M. (2012). Eviction and the reproduction of urban poverty. </w:t>
      </w:r>
      <w:r w:rsidRPr="00EC293A">
        <w:rPr>
          <w:rFonts w:ascii="Calibri Light" w:eastAsia="Times New Roman" w:hAnsi="Calibri Light" w:cs="Calibri Light"/>
          <w:i/>
          <w:iCs/>
          <w:color w:val="333333"/>
          <w:kern w:val="0"/>
          <w14:ligatures w14:val="none"/>
        </w:rPr>
        <w:t>American Journal of Sociology</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118</w:t>
      </w:r>
      <w:r w:rsidRPr="00EC293A">
        <w:rPr>
          <w:rFonts w:ascii="Calibri Light" w:eastAsia="Times New Roman" w:hAnsi="Calibri Light" w:cs="Calibri Light"/>
          <w:color w:val="333333"/>
          <w:kern w:val="0"/>
          <w14:ligatures w14:val="none"/>
        </w:rPr>
        <w:t xml:space="preserve">(1), 88–133. </w:t>
      </w:r>
      <w:hyperlink r:id="rId11" w:history="1">
        <w:r w:rsidR="00702778" w:rsidRPr="00AC4498">
          <w:rPr>
            <w:rStyle w:val="Hyperlink"/>
            <w:rFonts w:ascii="Calibri Light" w:eastAsia="Times New Roman" w:hAnsi="Calibri Light" w:cs="Calibri Light"/>
            <w:kern w:val="0"/>
            <w14:ligatures w14:val="none"/>
          </w:rPr>
          <w:t>https://doi.org/10.1086/666082</w:t>
        </w:r>
      </w:hyperlink>
      <w:r w:rsidR="00702778">
        <w:rPr>
          <w:rFonts w:ascii="Calibri Light" w:eastAsia="Times New Roman" w:hAnsi="Calibri Light" w:cs="Calibri Light"/>
          <w:color w:val="333333"/>
          <w:kern w:val="0"/>
          <w14:ligatures w14:val="none"/>
        </w:rPr>
        <w:t xml:space="preserve"> </w:t>
      </w:r>
    </w:p>
    <w:p w14:paraId="33907F80" w14:textId="77777777"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Desmond, M. (2016). </w:t>
      </w:r>
      <w:r w:rsidRPr="00EC293A">
        <w:rPr>
          <w:rFonts w:ascii="Calibri Light" w:eastAsia="Times New Roman" w:hAnsi="Calibri Light" w:cs="Calibri Light"/>
          <w:i/>
          <w:iCs/>
          <w:color w:val="333333"/>
          <w:kern w:val="0"/>
          <w14:ligatures w14:val="none"/>
        </w:rPr>
        <w:t>Evicted: Poverty and profit in the American city</w:t>
      </w:r>
      <w:r w:rsidRPr="00EC293A">
        <w:rPr>
          <w:rFonts w:ascii="Calibri Light" w:eastAsia="Times New Roman" w:hAnsi="Calibri Light" w:cs="Calibri Light"/>
          <w:color w:val="333333"/>
          <w:kern w:val="0"/>
          <w14:ligatures w14:val="none"/>
        </w:rPr>
        <w:t>. Crown.</w:t>
      </w:r>
    </w:p>
    <w:p w14:paraId="1E972326" w14:textId="17B29200"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Desmond, M., An, W., &amp; Winkler, R. (2013). Evicting Children. Social Forces, 92(1): 303-327. </w:t>
      </w:r>
      <w:hyperlink r:id="rId12" w:history="1">
        <w:r w:rsidR="00702778" w:rsidRPr="00AC4498">
          <w:rPr>
            <w:rStyle w:val="Hyperlink"/>
            <w:rFonts w:ascii="Calibri Light" w:eastAsia="Times New Roman" w:hAnsi="Calibri Light" w:cs="Calibri Light"/>
            <w:kern w:val="0"/>
            <w14:ligatures w14:val="none"/>
          </w:rPr>
          <w:t>https://doi.org/10.1093/sf/sot047</w:t>
        </w:r>
      </w:hyperlink>
      <w:r w:rsidR="00702778">
        <w:rPr>
          <w:rFonts w:ascii="Calibri Light" w:eastAsia="Times New Roman" w:hAnsi="Calibri Light" w:cs="Calibri Light"/>
          <w:color w:val="333333"/>
          <w:kern w:val="0"/>
          <w14:ligatures w14:val="none"/>
        </w:rPr>
        <w:t xml:space="preserve">   </w:t>
      </w:r>
    </w:p>
    <w:p w14:paraId="272C19BC" w14:textId="4A6ED6A7"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Desmond, M., &amp; Gershenson, C. (2016). Housing and employment insecurity among the working poor. </w:t>
      </w:r>
      <w:r w:rsidRPr="00EC293A">
        <w:rPr>
          <w:rFonts w:ascii="Calibri Light" w:eastAsia="Times New Roman" w:hAnsi="Calibri Light" w:cs="Calibri Light"/>
          <w:i/>
          <w:iCs/>
          <w:color w:val="333333"/>
          <w:kern w:val="0"/>
          <w14:ligatures w14:val="none"/>
        </w:rPr>
        <w:t>Social Problems</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63</w:t>
      </w:r>
      <w:r w:rsidRPr="00EC293A">
        <w:rPr>
          <w:rFonts w:ascii="Calibri Light" w:eastAsia="Times New Roman" w:hAnsi="Calibri Light" w:cs="Calibri Light"/>
          <w:color w:val="333333"/>
          <w:kern w:val="0"/>
          <w14:ligatures w14:val="none"/>
        </w:rPr>
        <w:t xml:space="preserve">(1), 46–67. </w:t>
      </w:r>
      <w:hyperlink r:id="rId13" w:history="1">
        <w:r w:rsidR="00702778" w:rsidRPr="00AC4498">
          <w:rPr>
            <w:rStyle w:val="Hyperlink"/>
            <w:rFonts w:ascii="Calibri Light" w:eastAsia="Times New Roman" w:hAnsi="Calibri Light" w:cs="Calibri Light"/>
            <w:kern w:val="0"/>
            <w14:ligatures w14:val="none"/>
          </w:rPr>
          <w:t>https://doi.org/10.1093/socpro/spv025</w:t>
        </w:r>
      </w:hyperlink>
      <w:r w:rsidR="00702778">
        <w:rPr>
          <w:rFonts w:ascii="Calibri Light" w:eastAsia="Times New Roman" w:hAnsi="Calibri Light" w:cs="Calibri Light"/>
          <w:color w:val="333333"/>
          <w:kern w:val="0"/>
          <w14:ligatures w14:val="none"/>
        </w:rPr>
        <w:t xml:space="preserve"> </w:t>
      </w:r>
    </w:p>
    <w:p w14:paraId="61E40C39" w14:textId="6A1C6343"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Desmond, M., &amp; Gershenson, C. (2017). Who gets evicted? Assessing individual, neighborhood, and network factors. </w:t>
      </w:r>
      <w:r w:rsidRPr="00EC293A">
        <w:rPr>
          <w:rFonts w:ascii="Calibri Light" w:eastAsia="Times New Roman" w:hAnsi="Calibri Light" w:cs="Calibri Light"/>
          <w:i/>
          <w:iCs/>
          <w:color w:val="333333"/>
          <w:kern w:val="0"/>
          <w14:ligatures w14:val="none"/>
        </w:rPr>
        <w:t>Social Science Research</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62</w:t>
      </w:r>
      <w:r w:rsidRPr="00EC293A">
        <w:rPr>
          <w:rFonts w:ascii="Calibri Light" w:eastAsia="Times New Roman" w:hAnsi="Calibri Light" w:cs="Calibri Light"/>
          <w:color w:val="333333"/>
          <w:kern w:val="0"/>
          <w14:ligatures w14:val="none"/>
        </w:rPr>
        <w:t>, 362–377</w:t>
      </w:r>
      <w:r w:rsidR="00702778" w:rsidRPr="00EC293A">
        <w:rPr>
          <w:rFonts w:ascii="Calibri Light" w:eastAsia="Times New Roman" w:hAnsi="Calibri Light" w:cs="Calibri Light"/>
          <w:color w:val="333333"/>
          <w:kern w:val="0"/>
          <w14:ligatures w14:val="none"/>
        </w:rPr>
        <w:t>. </w:t>
      </w:r>
      <w:hyperlink r:id="rId14" w:history="1">
        <w:r w:rsidR="00702778" w:rsidRPr="00AC4498">
          <w:rPr>
            <w:rStyle w:val="Hyperlink"/>
            <w:rFonts w:ascii="Calibri Light" w:eastAsia="Times New Roman" w:hAnsi="Calibri Light" w:cs="Calibri Light"/>
            <w:kern w:val="0"/>
            <w14:ligatures w14:val="none"/>
          </w:rPr>
          <w:t>https://doi.org/10.1016/j.ssresearch.2016.08.017</w:t>
        </w:r>
      </w:hyperlink>
      <w:r w:rsidR="00702778">
        <w:rPr>
          <w:rFonts w:ascii="Calibri Light" w:eastAsia="Times New Roman" w:hAnsi="Calibri Light" w:cs="Calibri Light"/>
          <w:color w:val="333333"/>
          <w:kern w:val="0"/>
          <w14:ligatures w14:val="none"/>
        </w:rPr>
        <w:t xml:space="preserve">  </w:t>
      </w:r>
    </w:p>
    <w:p w14:paraId="4F57621D" w14:textId="48835458"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Ellen, I.G., O'Regan, K., House, S., &amp; Brenner, R. (2020).  Do lawyers matter? Early evidence on eviction patterns after the rollout of Universal Access to Counsel in New York City. </w:t>
      </w:r>
      <w:r w:rsidRPr="00EC293A">
        <w:rPr>
          <w:rFonts w:ascii="Calibri Light" w:eastAsia="Times New Roman" w:hAnsi="Calibri Light" w:cs="Calibri Light"/>
          <w:i/>
          <w:iCs/>
          <w:color w:val="333333"/>
          <w:kern w:val="0"/>
          <w14:ligatures w14:val="none"/>
        </w:rPr>
        <w:t>Housing Policy Debate, 31</w:t>
      </w:r>
      <w:r w:rsidRPr="00EC293A">
        <w:rPr>
          <w:rFonts w:ascii="Calibri Light" w:eastAsia="Times New Roman" w:hAnsi="Calibri Light" w:cs="Calibri Light"/>
          <w:color w:val="333333"/>
          <w:kern w:val="0"/>
          <w14:ligatures w14:val="none"/>
        </w:rPr>
        <w:t>(3–5): 540-561. </w:t>
      </w:r>
      <w:hyperlink r:id="rId15" w:history="1">
        <w:r w:rsidR="00702778" w:rsidRPr="00AC4498">
          <w:rPr>
            <w:rStyle w:val="Hyperlink"/>
            <w:rFonts w:ascii="Calibri Light" w:eastAsia="Times New Roman" w:hAnsi="Calibri Light" w:cs="Calibri Light"/>
            <w:kern w:val="0"/>
            <w14:ligatures w14:val="none"/>
          </w:rPr>
          <w:t>https://doi.org/10.1080/10511482.2020.1825009</w:t>
        </w:r>
      </w:hyperlink>
      <w:r w:rsidR="00702778">
        <w:rPr>
          <w:rFonts w:ascii="Calibri Light" w:eastAsia="Times New Roman" w:hAnsi="Calibri Light" w:cs="Calibri Light"/>
          <w:color w:val="333333"/>
          <w:kern w:val="0"/>
          <w14:ligatures w14:val="none"/>
        </w:rPr>
        <w:t xml:space="preserve">  </w:t>
      </w:r>
    </w:p>
    <w:p w14:paraId="665BC2EE" w14:textId="78D986E4"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Garnham, J. P., Gershenson, C., &amp; Desmond, M. (2022). </w:t>
      </w:r>
      <w:r w:rsidRPr="00EC293A">
        <w:rPr>
          <w:rFonts w:ascii="Calibri Light" w:eastAsia="Times New Roman" w:hAnsi="Calibri Light" w:cs="Calibri Light"/>
          <w:i/>
          <w:iCs/>
          <w:color w:val="333333"/>
          <w:kern w:val="0"/>
          <w14:ligatures w14:val="none"/>
        </w:rPr>
        <w:t xml:space="preserve">New Data Release Shows that 3.6 </w:t>
      </w:r>
      <w:proofErr w:type="gramStart"/>
      <w:r w:rsidRPr="00EC293A">
        <w:rPr>
          <w:rFonts w:ascii="Calibri Light" w:eastAsia="Times New Roman" w:hAnsi="Calibri Light" w:cs="Calibri Light"/>
          <w:i/>
          <w:iCs/>
          <w:color w:val="333333"/>
          <w:kern w:val="0"/>
          <w14:ligatures w14:val="none"/>
        </w:rPr>
        <w:t>Million</w:t>
      </w:r>
      <w:proofErr w:type="gramEnd"/>
      <w:r w:rsidRPr="00EC293A">
        <w:rPr>
          <w:rFonts w:ascii="Calibri Light" w:eastAsia="Times New Roman" w:hAnsi="Calibri Light" w:cs="Calibri Light"/>
          <w:i/>
          <w:iCs/>
          <w:color w:val="333333"/>
          <w:kern w:val="0"/>
          <w14:ligatures w14:val="none"/>
        </w:rPr>
        <w:t xml:space="preserve"> Eviction Cases were Filed in the United States in 2018</w:t>
      </w:r>
      <w:r w:rsidRPr="00EC293A">
        <w:rPr>
          <w:rFonts w:ascii="Calibri Light" w:eastAsia="Times New Roman" w:hAnsi="Calibri Light" w:cs="Calibri Light"/>
          <w:color w:val="333333"/>
          <w:kern w:val="0"/>
          <w14:ligatures w14:val="none"/>
        </w:rPr>
        <w:t xml:space="preserve">. </w:t>
      </w:r>
      <w:hyperlink r:id="rId16" w:history="1">
        <w:r w:rsidR="00702778" w:rsidRPr="00AC4498">
          <w:rPr>
            <w:rStyle w:val="Hyperlink"/>
            <w:rFonts w:ascii="Calibri Light" w:eastAsia="Times New Roman" w:hAnsi="Calibri Light" w:cs="Calibri Light"/>
            <w:kern w:val="0"/>
            <w14:ligatures w14:val="none"/>
          </w:rPr>
          <w:t>https://evictionlab.org/new-eviction-data-2022/</w:t>
        </w:r>
      </w:hyperlink>
      <w:r w:rsidR="00702778">
        <w:rPr>
          <w:rFonts w:ascii="Calibri Light" w:eastAsia="Times New Roman" w:hAnsi="Calibri Light" w:cs="Calibri Light"/>
          <w:color w:val="333333"/>
          <w:kern w:val="0"/>
          <w14:ligatures w14:val="none"/>
        </w:rPr>
        <w:t xml:space="preserve"> </w:t>
      </w:r>
    </w:p>
    <w:p w14:paraId="695220D7" w14:textId="04A56A97"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 xml:space="preserve">Ghimire, J., Carswell, A. T., Ghimire, R., &amp; Turner, P. R. (2021). The impact of </w:t>
      </w:r>
      <w:r w:rsidR="00702778">
        <w:rPr>
          <w:rFonts w:ascii="Calibri Light" w:eastAsia="Times New Roman" w:hAnsi="Calibri Light" w:cs="Calibri Light"/>
          <w:color w:val="333333"/>
          <w:kern w:val="0"/>
          <w14:ligatures w14:val="none"/>
        </w:rPr>
        <w:t>U</w:t>
      </w:r>
      <w:r w:rsidRPr="00EC293A">
        <w:rPr>
          <w:rFonts w:ascii="Calibri Light" w:eastAsia="Times New Roman" w:hAnsi="Calibri Light" w:cs="Calibri Light"/>
          <w:color w:val="333333"/>
          <w:kern w:val="0"/>
          <w14:ligatures w14:val="none"/>
        </w:rPr>
        <w:t>.S. housing type and residential living situations on mental health during covid-19. </w:t>
      </w:r>
      <w:r w:rsidRPr="00EC293A">
        <w:rPr>
          <w:rFonts w:ascii="Calibri Light" w:eastAsia="Times New Roman" w:hAnsi="Calibri Light" w:cs="Calibri Light"/>
          <w:i/>
          <w:iCs/>
          <w:color w:val="333333"/>
          <w:kern w:val="0"/>
          <w14:ligatures w14:val="none"/>
        </w:rPr>
        <w:t>International Journal of Environmental Research and Public Health</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18</w:t>
      </w:r>
      <w:r w:rsidRPr="00EC293A">
        <w:rPr>
          <w:rFonts w:ascii="Calibri Light" w:eastAsia="Times New Roman" w:hAnsi="Calibri Light" w:cs="Calibri Light"/>
          <w:color w:val="333333"/>
          <w:kern w:val="0"/>
          <w14:ligatures w14:val="none"/>
        </w:rPr>
        <w:t xml:space="preserve">(16). </w:t>
      </w:r>
      <w:hyperlink r:id="rId17" w:history="1">
        <w:r w:rsidR="00702778" w:rsidRPr="00AC4498">
          <w:rPr>
            <w:rStyle w:val="Hyperlink"/>
            <w:rFonts w:ascii="Calibri Light" w:eastAsia="Times New Roman" w:hAnsi="Calibri Light" w:cs="Calibri Light"/>
            <w:kern w:val="0"/>
            <w14:ligatures w14:val="none"/>
          </w:rPr>
          <w:t>https://doi.org/10.3390/ijerph18168281</w:t>
        </w:r>
      </w:hyperlink>
      <w:r w:rsidR="00702778">
        <w:rPr>
          <w:rFonts w:ascii="Calibri Light" w:eastAsia="Times New Roman" w:hAnsi="Calibri Light" w:cs="Calibri Light"/>
          <w:color w:val="333333"/>
          <w:kern w:val="0"/>
          <w14:ligatures w14:val="none"/>
        </w:rPr>
        <w:t xml:space="preserve"> </w:t>
      </w:r>
    </w:p>
    <w:p w14:paraId="0EC2C607" w14:textId="566C560E"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Hatch, M. E., &amp; Yun, J. (2021). Losing Your Home Is Bad for Your Health: Short- and Medium-Term Health Effects of Eviction on Young Adults. </w:t>
      </w:r>
      <w:r w:rsidRPr="00EC293A">
        <w:rPr>
          <w:rFonts w:ascii="Calibri Light" w:eastAsia="Times New Roman" w:hAnsi="Calibri Light" w:cs="Calibri Light"/>
          <w:i/>
          <w:iCs/>
          <w:color w:val="333333"/>
          <w:kern w:val="0"/>
          <w14:ligatures w14:val="none"/>
        </w:rPr>
        <w:t>Housing Policy Debate</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31</w:t>
      </w:r>
      <w:r w:rsidRPr="00EC293A">
        <w:rPr>
          <w:rFonts w:ascii="Calibri Light" w:eastAsia="Times New Roman" w:hAnsi="Calibri Light" w:cs="Calibri Light"/>
          <w:color w:val="333333"/>
          <w:kern w:val="0"/>
          <w14:ligatures w14:val="none"/>
        </w:rPr>
        <w:t>(3–5), 469–489. </w:t>
      </w:r>
      <w:hyperlink r:id="rId18" w:history="1">
        <w:r w:rsidR="00702778" w:rsidRPr="00AC4498">
          <w:rPr>
            <w:rStyle w:val="Hyperlink"/>
            <w:rFonts w:ascii="Calibri Light" w:eastAsia="Times New Roman" w:hAnsi="Calibri Light" w:cs="Calibri Light"/>
            <w:kern w:val="0"/>
            <w14:ligatures w14:val="none"/>
          </w:rPr>
          <w:t>https://doi.org/10.1080/10511482.2020.1812690</w:t>
        </w:r>
      </w:hyperlink>
      <w:r w:rsidR="00702778">
        <w:rPr>
          <w:rFonts w:ascii="Calibri Light" w:eastAsia="Times New Roman" w:hAnsi="Calibri Light" w:cs="Calibri Light"/>
          <w:color w:val="333333"/>
          <w:kern w:val="0"/>
          <w14:ligatures w14:val="none"/>
        </w:rPr>
        <w:t xml:space="preserve"> </w:t>
      </w:r>
      <w:r>
        <w:rPr>
          <w:rFonts w:ascii="Calibri Light" w:eastAsia="Times New Roman" w:hAnsi="Calibri Light" w:cs="Calibri Light"/>
          <w:color w:val="333333"/>
          <w:kern w:val="0"/>
          <w14:ligatures w14:val="none"/>
        </w:rPr>
        <w:t xml:space="preserve"> </w:t>
      </w:r>
    </w:p>
    <w:p w14:paraId="1956C895" w14:textId="79647BBA"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Harville, E.W., Wallace, M.E., &amp; Theall, K.P. (2022). Eviction as a social determinant of pregnancy health: County-level eviction rates and adverse birth outcomes in the United States. Health and Social Care in the Community, 30(6</w:t>
      </w:r>
      <w:proofErr w:type="gramStart"/>
      <w:r w:rsidRPr="00EC293A">
        <w:rPr>
          <w:rFonts w:ascii="Calibri Light" w:eastAsia="Times New Roman" w:hAnsi="Calibri Light" w:cs="Calibri Light"/>
          <w:color w:val="333333"/>
          <w:kern w:val="0"/>
          <w14:ligatures w14:val="none"/>
        </w:rPr>
        <w:t>):e</w:t>
      </w:r>
      <w:proofErr w:type="gramEnd"/>
      <w:r w:rsidRPr="00EC293A">
        <w:rPr>
          <w:rFonts w:ascii="Calibri Light" w:eastAsia="Times New Roman" w:hAnsi="Calibri Light" w:cs="Calibri Light"/>
          <w:color w:val="333333"/>
          <w:kern w:val="0"/>
          <w14:ligatures w14:val="none"/>
        </w:rPr>
        <w:t>5579-e5587. </w:t>
      </w:r>
      <w:hyperlink r:id="rId19" w:history="1">
        <w:r w:rsidRPr="00AC4498">
          <w:rPr>
            <w:rStyle w:val="Hyperlink"/>
            <w:rFonts w:ascii="Calibri Light" w:eastAsia="Times New Roman" w:hAnsi="Calibri Light" w:cs="Calibri Light"/>
            <w:kern w:val="0"/>
            <w14:ligatures w14:val="none"/>
          </w:rPr>
          <w:t>https://doi.org/10.1111/hsc.13983</w:t>
        </w:r>
      </w:hyperlink>
      <w:r>
        <w:rPr>
          <w:rFonts w:ascii="Calibri Light" w:eastAsia="Times New Roman" w:hAnsi="Calibri Light" w:cs="Calibri Light"/>
          <w:color w:val="333333"/>
          <w:kern w:val="0"/>
          <w14:ligatures w14:val="none"/>
        </w:rPr>
        <w:t xml:space="preserve"> </w:t>
      </w:r>
    </w:p>
    <w:p w14:paraId="3159BBAB" w14:textId="09EDDB80"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 xml:space="preserve">Himmelstein, G. &amp; Desmond, M. (2021). Association of Eviction </w:t>
      </w:r>
      <w:proofErr w:type="gramStart"/>
      <w:r w:rsidRPr="00EC293A">
        <w:rPr>
          <w:rFonts w:ascii="Calibri Light" w:eastAsia="Times New Roman" w:hAnsi="Calibri Light" w:cs="Calibri Light"/>
          <w:color w:val="333333"/>
          <w:kern w:val="0"/>
          <w14:ligatures w14:val="none"/>
        </w:rPr>
        <w:t>With</w:t>
      </w:r>
      <w:proofErr w:type="gramEnd"/>
      <w:r w:rsidRPr="00EC293A">
        <w:rPr>
          <w:rFonts w:ascii="Calibri Light" w:eastAsia="Times New Roman" w:hAnsi="Calibri Light" w:cs="Calibri Light"/>
          <w:color w:val="333333"/>
          <w:kern w:val="0"/>
          <w14:ligatures w14:val="none"/>
        </w:rPr>
        <w:t xml:space="preserve"> Adverse Birth Outcomes Among Women in Georgia, 2000 to 2016. JAMA Pediatrics, 175(5): 494-500. </w:t>
      </w:r>
      <w:hyperlink r:id="rId20" w:history="1">
        <w:r w:rsidRPr="00EC293A">
          <w:rPr>
            <w:rStyle w:val="Hyperlink"/>
            <w:rFonts w:ascii="Calibri Light" w:eastAsia="Times New Roman" w:hAnsi="Calibri Light" w:cs="Calibri Light"/>
            <w:kern w:val="0"/>
            <w14:ligatures w14:val="none"/>
          </w:rPr>
          <w:t>doi:10.1001/jamapediatrics.2020.6550  </w:t>
        </w:r>
      </w:hyperlink>
    </w:p>
    <w:p w14:paraId="5A816A28" w14:textId="40BC8409"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Humphries, J. E., Mader, N., Tannenbaum, D., &amp; Dijk, W. Van. (2018). </w:t>
      </w:r>
      <w:r w:rsidRPr="00EC293A">
        <w:rPr>
          <w:rFonts w:ascii="Calibri Light" w:eastAsia="Times New Roman" w:hAnsi="Calibri Light" w:cs="Calibri Light"/>
          <w:i/>
          <w:iCs/>
          <w:color w:val="333333"/>
          <w:kern w:val="0"/>
          <w14:ligatures w14:val="none"/>
        </w:rPr>
        <w:t>Does eviction cause poverty? Quasi-experimental evidence from Cook County, IL</w:t>
      </w:r>
      <w:r w:rsidRPr="00EC293A">
        <w:rPr>
          <w:rFonts w:ascii="Calibri Light" w:eastAsia="Times New Roman" w:hAnsi="Calibri Light" w:cs="Calibri Light"/>
          <w:color w:val="333333"/>
          <w:kern w:val="0"/>
          <w14:ligatures w14:val="none"/>
        </w:rPr>
        <w:t>.</w:t>
      </w:r>
      <w:r>
        <w:rPr>
          <w:rFonts w:ascii="Calibri Light" w:eastAsia="Times New Roman" w:hAnsi="Calibri Light" w:cs="Calibri Light"/>
          <w:color w:val="333333"/>
          <w:kern w:val="0"/>
          <w14:ligatures w14:val="none"/>
        </w:rPr>
        <w:t xml:space="preserve"> </w:t>
      </w:r>
      <w:hyperlink r:id="rId21" w:history="1">
        <w:r w:rsidRPr="00AC4498">
          <w:rPr>
            <w:rStyle w:val="Hyperlink"/>
            <w:rFonts w:ascii="Calibri Light" w:eastAsia="Times New Roman" w:hAnsi="Calibri Light" w:cs="Calibri Light"/>
            <w:kern w:val="0"/>
            <w14:ligatures w14:val="none"/>
          </w:rPr>
          <w:t>https://www.nber.org/papers/w26139</w:t>
        </w:r>
      </w:hyperlink>
      <w:r>
        <w:rPr>
          <w:rFonts w:ascii="Calibri Light" w:eastAsia="Times New Roman" w:hAnsi="Calibri Light" w:cs="Calibri Light"/>
          <w:color w:val="333333"/>
          <w:kern w:val="0"/>
          <w14:ligatures w14:val="none"/>
        </w:rPr>
        <w:t xml:space="preserve"> </w:t>
      </w:r>
    </w:p>
    <w:p w14:paraId="22F1CD96" w14:textId="1C50C4B1" w:rsid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 xml:space="preserve">Leifheit, K. M., Linton, S. L., </w:t>
      </w:r>
      <w:proofErr w:type="spellStart"/>
      <w:r w:rsidRPr="00EC293A">
        <w:rPr>
          <w:rFonts w:ascii="Calibri Light" w:eastAsia="Times New Roman" w:hAnsi="Calibri Light" w:cs="Calibri Light"/>
          <w:color w:val="333333"/>
          <w:kern w:val="0"/>
          <w14:ligatures w14:val="none"/>
        </w:rPr>
        <w:t>Raifman</w:t>
      </w:r>
      <w:proofErr w:type="spellEnd"/>
      <w:r w:rsidRPr="00EC293A">
        <w:rPr>
          <w:rFonts w:ascii="Calibri Light" w:eastAsia="Times New Roman" w:hAnsi="Calibri Light" w:cs="Calibri Light"/>
          <w:color w:val="333333"/>
          <w:kern w:val="0"/>
          <w14:ligatures w14:val="none"/>
        </w:rPr>
        <w:t>, J., Schwartz, G. L., Benfer, E. A., Zimmerman, F. J., &amp; Pollack, C. E. (2021). Expiring Eviction Moratoriums and COVID-19 Incidence and Mortality. </w:t>
      </w:r>
      <w:r w:rsidRPr="00EC293A">
        <w:rPr>
          <w:rFonts w:ascii="Calibri Light" w:eastAsia="Times New Roman" w:hAnsi="Calibri Light" w:cs="Calibri Light"/>
          <w:i/>
          <w:iCs/>
          <w:color w:val="333333"/>
          <w:kern w:val="0"/>
          <w14:ligatures w14:val="none"/>
        </w:rPr>
        <w:t>American Journal of Epidemiology</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190</w:t>
      </w:r>
      <w:r w:rsidRPr="00EC293A">
        <w:rPr>
          <w:rFonts w:ascii="Calibri Light" w:eastAsia="Times New Roman" w:hAnsi="Calibri Light" w:cs="Calibri Light"/>
          <w:color w:val="333333"/>
          <w:kern w:val="0"/>
          <w14:ligatures w14:val="none"/>
        </w:rPr>
        <w:t>(12), 2503–2510. </w:t>
      </w:r>
      <w:hyperlink r:id="rId22" w:history="1">
        <w:r w:rsidRPr="00AC4498">
          <w:rPr>
            <w:rStyle w:val="Hyperlink"/>
            <w:rFonts w:ascii="Calibri Light" w:eastAsia="Times New Roman" w:hAnsi="Calibri Light" w:cs="Calibri Light"/>
            <w:kern w:val="0"/>
            <w14:ligatures w14:val="none"/>
          </w:rPr>
          <w:t>https://doi.org/10.1093/aje/kwab196</w:t>
        </w:r>
      </w:hyperlink>
    </w:p>
    <w:p w14:paraId="29036F70" w14:textId="40915835"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 xml:space="preserve">Leifheit, K.M., Schwartz, G.L., Pollack, C.E., Edin, K.J., Black, M.M., Jennings, J.M., &amp; Althoff, K.N. (2020). Severe Housing Insecurity during Pregnancy: Association with Adverse Birth and Infant Outcomes. </w:t>
      </w:r>
      <w:r w:rsidRPr="00EC293A">
        <w:rPr>
          <w:rFonts w:ascii="Calibri Light" w:eastAsia="Times New Roman" w:hAnsi="Calibri Light" w:cs="Calibri Light"/>
          <w:color w:val="333333"/>
          <w:kern w:val="0"/>
          <w14:ligatures w14:val="none"/>
        </w:rPr>
        <w:lastRenderedPageBreak/>
        <w:t>International Journal of Environmental Research Public Health, </w:t>
      </w:r>
      <w:r w:rsidRPr="00EC293A">
        <w:rPr>
          <w:rFonts w:ascii="Calibri Light" w:eastAsia="Times New Roman" w:hAnsi="Calibri Light" w:cs="Calibri Light"/>
          <w:i/>
          <w:iCs/>
          <w:color w:val="333333"/>
          <w:kern w:val="0"/>
          <w14:ligatures w14:val="none"/>
        </w:rPr>
        <w:t>17</w:t>
      </w:r>
      <w:r w:rsidRPr="00EC293A">
        <w:rPr>
          <w:rFonts w:ascii="Calibri Light" w:eastAsia="Times New Roman" w:hAnsi="Calibri Light" w:cs="Calibri Light"/>
          <w:color w:val="333333"/>
          <w:kern w:val="0"/>
          <w14:ligatures w14:val="none"/>
        </w:rPr>
        <w:t>(22), 8659. </w:t>
      </w:r>
      <w:hyperlink r:id="rId23" w:history="1">
        <w:r w:rsidRPr="00AC4498">
          <w:rPr>
            <w:rStyle w:val="Hyperlink"/>
            <w:rFonts w:ascii="Calibri Light" w:eastAsia="Times New Roman" w:hAnsi="Calibri Light" w:cs="Calibri Light"/>
            <w:kern w:val="0"/>
            <w14:ligatures w14:val="none"/>
          </w:rPr>
          <w:t>https://doi.org/10.3390/ijerph17228659</w:t>
        </w:r>
      </w:hyperlink>
      <w:r>
        <w:rPr>
          <w:rFonts w:ascii="Calibri Light" w:eastAsia="Times New Roman" w:hAnsi="Calibri Light" w:cs="Calibri Light"/>
          <w:color w:val="333333"/>
          <w:kern w:val="0"/>
          <w14:ligatures w14:val="none"/>
        </w:rPr>
        <w:t xml:space="preserve">  </w:t>
      </w:r>
      <w:r w:rsidRPr="00EC293A">
        <w:rPr>
          <w:rFonts w:ascii="Calibri Light" w:eastAsia="Times New Roman" w:hAnsi="Calibri Light" w:cs="Calibri Light"/>
          <w:color w:val="333333"/>
          <w:kern w:val="0"/>
          <w14:ligatures w14:val="none"/>
        </w:rPr>
        <w:t> </w:t>
      </w:r>
    </w:p>
    <w:p w14:paraId="03D6F754" w14:textId="4E3827A8"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National Low Income Housing Project. (2021). </w:t>
      </w:r>
      <w:r w:rsidRPr="00EC293A">
        <w:rPr>
          <w:rFonts w:ascii="Calibri Light" w:eastAsia="Times New Roman" w:hAnsi="Calibri Light" w:cs="Calibri Light"/>
          <w:i/>
          <w:iCs/>
          <w:color w:val="333333"/>
          <w:kern w:val="0"/>
          <w14:ligatures w14:val="none"/>
        </w:rPr>
        <w:t>Federal Moratorium on Evictions for Nonpayment of Rent: FAQ for Renters</w:t>
      </w:r>
      <w:r w:rsidRPr="00EC293A">
        <w:rPr>
          <w:rFonts w:ascii="Calibri Light" w:eastAsia="Times New Roman" w:hAnsi="Calibri Light" w:cs="Calibri Light"/>
          <w:color w:val="333333"/>
          <w:kern w:val="0"/>
          <w14:ligatures w14:val="none"/>
        </w:rPr>
        <w:t> (Issue August).</w:t>
      </w:r>
      <w:r w:rsidR="00702778">
        <w:rPr>
          <w:rFonts w:ascii="Calibri Light" w:eastAsia="Times New Roman" w:hAnsi="Calibri Light" w:cs="Calibri Light"/>
          <w:color w:val="333333"/>
          <w:kern w:val="0"/>
          <w14:ligatures w14:val="none"/>
        </w:rPr>
        <w:t xml:space="preserve"> </w:t>
      </w:r>
      <w:hyperlink r:id="rId24" w:history="1">
        <w:r w:rsidR="00702778" w:rsidRPr="00AC4498">
          <w:rPr>
            <w:rStyle w:val="Hyperlink"/>
            <w:rFonts w:ascii="Calibri Light" w:eastAsia="Times New Roman" w:hAnsi="Calibri Light" w:cs="Calibri Light"/>
            <w:kern w:val="0"/>
            <w14:ligatures w14:val="none"/>
          </w:rPr>
          <w:t>https://www.nhlp.org/wp-content/uploads/CDC-FAQ-for-Renters.pdf</w:t>
        </w:r>
      </w:hyperlink>
      <w:r w:rsidR="00702778">
        <w:rPr>
          <w:rFonts w:ascii="Calibri Light" w:eastAsia="Times New Roman" w:hAnsi="Calibri Light" w:cs="Calibri Light"/>
          <w:color w:val="333333"/>
          <w:kern w:val="0"/>
          <w14:ligatures w14:val="none"/>
        </w:rPr>
        <w:t xml:space="preserve"> </w:t>
      </w:r>
    </w:p>
    <w:p w14:paraId="68DB0A9C" w14:textId="4840D14C"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Pierce, S. C. (2020). </w:t>
      </w:r>
      <w:r w:rsidRPr="00EC293A">
        <w:rPr>
          <w:rFonts w:ascii="Calibri Light" w:eastAsia="Times New Roman" w:hAnsi="Calibri Light" w:cs="Calibri Light"/>
          <w:i/>
          <w:iCs/>
          <w:color w:val="333333"/>
          <w:kern w:val="0"/>
          <w14:ligatures w14:val="none"/>
        </w:rPr>
        <w:t>Investigating the Causes and Consequences of Eviction</w:t>
      </w:r>
      <w:r w:rsidRPr="00EC293A">
        <w:rPr>
          <w:rFonts w:ascii="Calibri Light" w:eastAsia="Times New Roman" w:hAnsi="Calibri Light" w:cs="Calibri Light"/>
          <w:color w:val="333333"/>
          <w:kern w:val="0"/>
          <w14:ligatures w14:val="none"/>
        </w:rPr>
        <w:t>. Ohio State University.</w:t>
      </w:r>
      <w:r w:rsidR="00702778">
        <w:rPr>
          <w:rFonts w:ascii="Calibri Light" w:eastAsia="Times New Roman" w:hAnsi="Calibri Light" w:cs="Calibri Light"/>
          <w:color w:val="333333"/>
          <w:kern w:val="0"/>
          <w14:ligatures w14:val="none"/>
        </w:rPr>
        <w:t xml:space="preserve"> </w:t>
      </w:r>
      <w:hyperlink r:id="rId25" w:history="1">
        <w:r w:rsidR="00702778" w:rsidRPr="00AC4498">
          <w:rPr>
            <w:rStyle w:val="Hyperlink"/>
            <w:rFonts w:ascii="Calibri Light" w:eastAsia="Times New Roman" w:hAnsi="Calibri Light" w:cs="Calibri Light"/>
            <w:kern w:val="0"/>
            <w14:ligatures w14:val="none"/>
          </w:rPr>
          <w:t>http://rave.ohiolink.edu/etdc/view?acc_num=osu1598023157360428</w:t>
        </w:r>
      </w:hyperlink>
      <w:r w:rsidR="00702778">
        <w:rPr>
          <w:rFonts w:ascii="Calibri Light" w:eastAsia="Times New Roman" w:hAnsi="Calibri Light" w:cs="Calibri Light"/>
          <w:color w:val="333333"/>
          <w:kern w:val="0"/>
          <w14:ligatures w14:val="none"/>
        </w:rPr>
        <w:t xml:space="preserve"> </w:t>
      </w:r>
    </w:p>
    <w:p w14:paraId="5A9E041A" w14:textId="5801A64E"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Raymond, E.L., Duckworth, R., Miller, B., Lucas, M., &amp; Pokharel, S. (2018). From Foreclosure to Eviction: Housing Insecurity in Corporate-Owned Single-Family Rentals. </w:t>
      </w:r>
      <w:proofErr w:type="spellStart"/>
      <w:r w:rsidRPr="00EC293A">
        <w:rPr>
          <w:rFonts w:ascii="Calibri Light" w:eastAsia="Times New Roman" w:hAnsi="Calibri Light" w:cs="Calibri Light"/>
          <w:i/>
          <w:iCs/>
          <w:color w:val="333333"/>
          <w:kern w:val="0"/>
          <w14:ligatures w14:val="none"/>
        </w:rPr>
        <w:t>CityScape</w:t>
      </w:r>
      <w:proofErr w:type="spellEnd"/>
      <w:r w:rsidRPr="00EC293A">
        <w:rPr>
          <w:rFonts w:ascii="Calibri Light" w:eastAsia="Times New Roman" w:hAnsi="Calibri Light" w:cs="Calibri Light"/>
          <w:i/>
          <w:iCs/>
          <w:color w:val="333333"/>
          <w:kern w:val="0"/>
          <w14:ligatures w14:val="none"/>
        </w:rPr>
        <w:t>, 20</w:t>
      </w:r>
      <w:r w:rsidRPr="00EC293A">
        <w:rPr>
          <w:rFonts w:ascii="Calibri Light" w:eastAsia="Times New Roman" w:hAnsi="Calibri Light" w:cs="Calibri Light"/>
          <w:color w:val="333333"/>
          <w:kern w:val="0"/>
          <w14:ligatures w14:val="none"/>
        </w:rPr>
        <w:t>(3): 159-188. </w:t>
      </w:r>
      <w:hyperlink r:id="rId26" w:history="1">
        <w:r w:rsidRPr="00AC4498">
          <w:rPr>
            <w:rStyle w:val="Hyperlink"/>
            <w:rFonts w:ascii="Calibri Light" w:eastAsia="Times New Roman" w:hAnsi="Calibri Light" w:cs="Calibri Light"/>
            <w:kern w:val="0"/>
            <w14:ligatures w14:val="none"/>
          </w:rPr>
          <w:t>https://www.jstor.org/stable/26524878</w:t>
        </w:r>
      </w:hyperlink>
      <w:r>
        <w:rPr>
          <w:rFonts w:ascii="Calibri Light" w:eastAsia="Times New Roman" w:hAnsi="Calibri Light" w:cs="Calibri Light"/>
          <w:color w:val="333333"/>
          <w:kern w:val="0"/>
          <w14:ligatures w14:val="none"/>
        </w:rPr>
        <w:t xml:space="preserve">  </w:t>
      </w:r>
    </w:p>
    <w:p w14:paraId="3A04ACBE" w14:textId="06B469A5"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Raymond, E.L., Miller, B., McKinney, M., &amp; Braun, J. (2021). Gentrifying Atlanta: Investor Purchases of Rental Housing, Evictions, and the Displacement of Black Residents. Housing Policy Debate 31(3-5): 818-834. </w:t>
      </w:r>
      <w:hyperlink r:id="rId27" w:history="1">
        <w:r w:rsidRPr="00AC4498">
          <w:rPr>
            <w:rStyle w:val="Hyperlink"/>
            <w:rFonts w:ascii="Calibri Light" w:eastAsia="Times New Roman" w:hAnsi="Calibri Light" w:cs="Calibri Light"/>
            <w:kern w:val="0"/>
            <w14:ligatures w14:val="none"/>
          </w:rPr>
          <w:t>https://doi.org/10.1080/10511482.2021.1887318</w:t>
        </w:r>
      </w:hyperlink>
      <w:r>
        <w:rPr>
          <w:rFonts w:ascii="Calibri Light" w:eastAsia="Times New Roman" w:hAnsi="Calibri Light" w:cs="Calibri Light"/>
          <w:color w:val="333333"/>
          <w:kern w:val="0"/>
          <w14:ligatures w14:val="none"/>
        </w:rPr>
        <w:t xml:space="preserve">  </w:t>
      </w:r>
    </w:p>
    <w:p w14:paraId="6063B649" w14:textId="554AB93F"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Reina, V., Aiken, C., Verbrugge, J., Ellen, I. G., Haupert, T., Aurand, A., &amp; Yae, R. (2021). </w:t>
      </w:r>
      <w:r w:rsidRPr="00EC293A">
        <w:rPr>
          <w:rFonts w:ascii="Calibri Light" w:eastAsia="Times New Roman" w:hAnsi="Calibri Light" w:cs="Calibri Light"/>
          <w:i/>
          <w:iCs/>
          <w:color w:val="333333"/>
          <w:kern w:val="0"/>
          <w14:ligatures w14:val="none"/>
        </w:rPr>
        <w:t>COVID-19 Emergency Rental Assistance: Analysis of a National Survey of Programs</w:t>
      </w:r>
      <w:r w:rsidRPr="00EC293A">
        <w:rPr>
          <w:rFonts w:ascii="Calibri Light" w:eastAsia="Times New Roman" w:hAnsi="Calibri Light" w:cs="Calibri Light"/>
          <w:color w:val="333333"/>
          <w:kern w:val="0"/>
          <w14:ligatures w14:val="none"/>
        </w:rPr>
        <w:t>. </w:t>
      </w:r>
      <w:hyperlink r:id="rId28" w:history="1">
        <w:r w:rsidRPr="00AC4498">
          <w:rPr>
            <w:rStyle w:val="Hyperlink"/>
            <w:rFonts w:ascii="Calibri Light" w:eastAsia="Times New Roman" w:hAnsi="Calibri Light" w:cs="Calibri Light"/>
            <w:kern w:val="0"/>
            <w14:ligatures w14:val="none"/>
          </w:rPr>
          <w:t>https://nlihc.org/sites/default/files/HIP_NLIHC_Furman_Brief_FINAL.pdf</w:t>
        </w:r>
      </w:hyperlink>
      <w:r>
        <w:rPr>
          <w:rFonts w:ascii="Calibri Light" w:eastAsia="Times New Roman" w:hAnsi="Calibri Light" w:cs="Calibri Light"/>
          <w:color w:val="333333"/>
          <w:kern w:val="0"/>
          <w14:ligatures w14:val="none"/>
        </w:rPr>
        <w:t xml:space="preserve"> </w:t>
      </w:r>
    </w:p>
    <w:p w14:paraId="6C54F060" w14:textId="7813C718"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Slee, G., &amp; Desmond, M. (2021). Eviction and Voter Turnout: The Political Consequences of Housing Instability. </w:t>
      </w:r>
      <w:r w:rsidRPr="00EC293A">
        <w:rPr>
          <w:rFonts w:ascii="Calibri Light" w:eastAsia="Times New Roman" w:hAnsi="Calibri Light" w:cs="Calibri Light"/>
          <w:i/>
          <w:iCs/>
          <w:color w:val="333333"/>
          <w:kern w:val="0"/>
          <w14:ligatures w14:val="none"/>
        </w:rPr>
        <w:t>Politics and Society</w:t>
      </w:r>
      <w:r w:rsidRPr="00EC293A">
        <w:rPr>
          <w:rFonts w:ascii="Calibri Light" w:eastAsia="Times New Roman" w:hAnsi="Calibri Light" w:cs="Calibri Light"/>
          <w:color w:val="333333"/>
          <w:kern w:val="0"/>
          <w14:ligatures w14:val="none"/>
        </w:rPr>
        <w:t xml:space="preserve">. </w:t>
      </w:r>
      <w:hyperlink r:id="rId29" w:history="1">
        <w:r w:rsidRPr="00AC4498">
          <w:rPr>
            <w:rStyle w:val="Hyperlink"/>
            <w:rFonts w:ascii="Calibri Light" w:eastAsia="Times New Roman" w:hAnsi="Calibri Light" w:cs="Calibri Light"/>
            <w:kern w:val="0"/>
            <w14:ligatures w14:val="none"/>
          </w:rPr>
          <w:t>https://doi.org/10.1177/00323292211050716</w:t>
        </w:r>
      </w:hyperlink>
      <w:r>
        <w:rPr>
          <w:rFonts w:ascii="Calibri Light" w:eastAsia="Times New Roman" w:hAnsi="Calibri Light" w:cs="Calibri Light"/>
          <w:color w:val="333333"/>
          <w:kern w:val="0"/>
          <w14:ligatures w14:val="none"/>
        </w:rPr>
        <w:t xml:space="preserve"> </w:t>
      </w:r>
    </w:p>
    <w:p w14:paraId="11967542" w14:textId="56B49C92"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Smith, S. M., Edwards, R., &amp; Duong, H. C. (2021). Unemployment rises in 2020, as the country battles the COVID-19 pandemic. In </w:t>
      </w:r>
      <w:r w:rsidRPr="00EC293A">
        <w:rPr>
          <w:rFonts w:ascii="Calibri Light" w:eastAsia="Times New Roman" w:hAnsi="Calibri Light" w:cs="Calibri Light"/>
          <w:i/>
          <w:iCs/>
          <w:color w:val="333333"/>
          <w:kern w:val="0"/>
          <w14:ligatures w14:val="none"/>
        </w:rPr>
        <w:t>Monthly Labor Review: Vol. June 2021</w:t>
      </w:r>
      <w:r w:rsidRPr="00EC293A">
        <w:rPr>
          <w:rFonts w:ascii="Calibri Light" w:eastAsia="Times New Roman" w:hAnsi="Calibri Light" w:cs="Calibri Light"/>
          <w:color w:val="333333"/>
          <w:kern w:val="0"/>
          <w14:ligatures w14:val="none"/>
        </w:rPr>
        <w:t>. </w:t>
      </w:r>
      <w:hyperlink r:id="rId30" w:history="1">
        <w:r w:rsidRPr="00AC4498">
          <w:rPr>
            <w:rStyle w:val="Hyperlink"/>
            <w:rFonts w:ascii="Calibri Light" w:eastAsia="Times New Roman" w:hAnsi="Calibri Light" w:cs="Calibri Light"/>
            <w:kern w:val="0"/>
            <w14:ligatures w14:val="none"/>
          </w:rPr>
          <w:t>https://doi.org/10.21916/mlr.2021.12</w:t>
        </w:r>
      </w:hyperlink>
      <w:r>
        <w:rPr>
          <w:rFonts w:ascii="Calibri Light" w:eastAsia="Times New Roman" w:hAnsi="Calibri Light" w:cs="Calibri Light"/>
          <w:color w:val="333333"/>
          <w:kern w:val="0"/>
          <w14:ligatures w14:val="none"/>
        </w:rPr>
        <w:t xml:space="preserve"> </w:t>
      </w:r>
    </w:p>
    <w:p w14:paraId="7E1A0AF6" w14:textId="01F2EF48"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Tesfai, R. &amp; Ruther, M. (2022). Immigrant neighborhoods and eviction: Hidden housing crisis? Cities, 131(104033). </w:t>
      </w:r>
      <w:hyperlink r:id="rId31" w:history="1">
        <w:r w:rsidRPr="00AC4498">
          <w:rPr>
            <w:rStyle w:val="Hyperlink"/>
            <w:rFonts w:ascii="Calibri Light" w:eastAsia="Times New Roman" w:hAnsi="Calibri Light" w:cs="Calibri Light"/>
            <w:kern w:val="0"/>
            <w14:ligatures w14:val="none"/>
          </w:rPr>
          <w:t>https://doi.org/10.1016/j.cities.2022.104033</w:t>
        </w:r>
      </w:hyperlink>
      <w:r>
        <w:rPr>
          <w:rFonts w:ascii="Calibri Light" w:eastAsia="Times New Roman" w:hAnsi="Calibri Light" w:cs="Calibri Light"/>
          <w:color w:val="333333"/>
          <w:kern w:val="0"/>
          <w14:ligatures w14:val="none"/>
        </w:rPr>
        <w:t xml:space="preserve"> </w:t>
      </w:r>
      <w:r w:rsidRPr="00EC293A">
        <w:rPr>
          <w:rFonts w:ascii="Calibri Light" w:eastAsia="Times New Roman" w:hAnsi="Calibri Light" w:cs="Calibri Light"/>
          <w:color w:val="333333"/>
          <w:kern w:val="0"/>
          <w14:ligatures w14:val="none"/>
        </w:rPr>
        <w:t> </w:t>
      </w:r>
    </w:p>
    <w:p w14:paraId="4823742E" w14:textId="5951D8D8" w:rsidR="00EC293A" w:rsidRPr="00EC293A" w:rsidRDefault="00EC293A" w:rsidP="00EC293A">
      <w:pPr>
        <w:shd w:val="clear" w:color="auto" w:fill="FFFFFF"/>
        <w:ind w:left="360" w:hanging="360"/>
        <w:rPr>
          <w:rFonts w:ascii="Calibri Light" w:eastAsia="Times New Roman" w:hAnsi="Calibri Light" w:cs="Calibri Light"/>
          <w:color w:val="333333"/>
          <w:kern w:val="0"/>
          <w14:ligatures w14:val="none"/>
        </w:rPr>
      </w:pPr>
      <w:r w:rsidRPr="00EC293A">
        <w:rPr>
          <w:rFonts w:ascii="Calibri Light" w:eastAsia="Times New Roman" w:hAnsi="Calibri Light" w:cs="Calibri Light"/>
          <w:color w:val="333333"/>
          <w:kern w:val="0"/>
          <w14:ligatures w14:val="none"/>
        </w:rPr>
        <w:t>U.S. Department of the Treasury. (2022). </w:t>
      </w:r>
      <w:r w:rsidRPr="00EC293A">
        <w:rPr>
          <w:rFonts w:ascii="Calibri Light" w:eastAsia="Times New Roman" w:hAnsi="Calibri Light" w:cs="Calibri Light"/>
          <w:i/>
          <w:iCs/>
          <w:color w:val="333333"/>
          <w:kern w:val="0"/>
          <w14:ligatures w14:val="none"/>
        </w:rPr>
        <w:t>Emergency Rental Assistance Fund</w:t>
      </w:r>
      <w:r w:rsidRPr="00EC293A">
        <w:rPr>
          <w:rFonts w:ascii="Calibri Light" w:eastAsia="Times New Roman" w:hAnsi="Calibri Light" w:cs="Calibri Light"/>
          <w:color w:val="333333"/>
          <w:kern w:val="0"/>
          <w14:ligatures w14:val="none"/>
        </w:rPr>
        <w:t xml:space="preserve">. </w:t>
      </w:r>
      <w:hyperlink r:id="rId32" w:history="1">
        <w:r w:rsidRPr="00AC4498">
          <w:rPr>
            <w:rStyle w:val="Hyperlink"/>
            <w:rFonts w:ascii="Calibri Light" w:eastAsia="Times New Roman" w:hAnsi="Calibri Light" w:cs="Calibri Light"/>
            <w:kern w:val="0"/>
            <w14:ligatures w14:val="none"/>
          </w:rPr>
          <w:t>https://home.treasury.gov/policy-issues/coronavirus/assistance-for-state-local-and-tribal-governments/emergency-rental-assistance-program</w:t>
        </w:r>
      </w:hyperlink>
      <w:r>
        <w:rPr>
          <w:rFonts w:ascii="Calibri Light" w:eastAsia="Times New Roman" w:hAnsi="Calibri Light" w:cs="Calibri Light"/>
          <w:color w:val="333333"/>
          <w:kern w:val="0"/>
          <w14:ligatures w14:val="none"/>
        </w:rPr>
        <w:t xml:space="preserve"> </w:t>
      </w:r>
    </w:p>
    <w:p w14:paraId="132CE972" w14:textId="1657CF63" w:rsidR="00EC293A" w:rsidRPr="00EC293A" w:rsidRDefault="00EC293A" w:rsidP="00EC293A">
      <w:pPr>
        <w:shd w:val="clear" w:color="auto" w:fill="FFFFFF"/>
        <w:ind w:left="360" w:hanging="360"/>
        <w:rPr>
          <w:rFonts w:ascii="Calibri" w:eastAsia="Times New Roman" w:hAnsi="Calibri" w:cs="Calibri"/>
          <w:color w:val="333333"/>
          <w:kern w:val="0"/>
          <w:sz w:val="23"/>
          <w:szCs w:val="23"/>
          <w14:ligatures w14:val="none"/>
        </w:rPr>
      </w:pPr>
      <w:r w:rsidRPr="00EC293A">
        <w:rPr>
          <w:rFonts w:ascii="Calibri Light" w:eastAsia="Times New Roman" w:hAnsi="Calibri Light" w:cs="Calibri Light"/>
          <w:color w:val="333333"/>
          <w:kern w:val="0"/>
          <w14:ligatures w14:val="none"/>
        </w:rPr>
        <w:t xml:space="preserve">Vásquez-Vera, H., </w:t>
      </w:r>
      <w:proofErr w:type="spellStart"/>
      <w:r w:rsidRPr="00EC293A">
        <w:rPr>
          <w:rFonts w:ascii="Calibri Light" w:eastAsia="Times New Roman" w:hAnsi="Calibri Light" w:cs="Calibri Light"/>
          <w:color w:val="333333"/>
          <w:kern w:val="0"/>
          <w14:ligatures w14:val="none"/>
        </w:rPr>
        <w:t>Palència</w:t>
      </w:r>
      <w:proofErr w:type="spellEnd"/>
      <w:r w:rsidRPr="00EC293A">
        <w:rPr>
          <w:rFonts w:ascii="Calibri Light" w:eastAsia="Times New Roman" w:hAnsi="Calibri Light" w:cs="Calibri Light"/>
          <w:color w:val="333333"/>
          <w:kern w:val="0"/>
          <w14:ligatures w14:val="none"/>
        </w:rPr>
        <w:t>, L., Magna, I., Mena, C., Neira, J., &amp; Borrell, C. (2017). The threat of home eviction and its effects on health through the equity lens: A systematic review. </w:t>
      </w:r>
      <w:r w:rsidRPr="00EC293A">
        <w:rPr>
          <w:rFonts w:ascii="Calibri Light" w:eastAsia="Times New Roman" w:hAnsi="Calibri Light" w:cs="Calibri Light"/>
          <w:i/>
          <w:iCs/>
          <w:color w:val="333333"/>
          <w:kern w:val="0"/>
          <w14:ligatures w14:val="none"/>
        </w:rPr>
        <w:t>Social Science and Medicine</w:t>
      </w:r>
      <w:r w:rsidRPr="00EC293A">
        <w:rPr>
          <w:rFonts w:ascii="Calibri Light" w:eastAsia="Times New Roman" w:hAnsi="Calibri Light" w:cs="Calibri Light"/>
          <w:color w:val="333333"/>
          <w:kern w:val="0"/>
          <w14:ligatures w14:val="none"/>
        </w:rPr>
        <w:t>, </w:t>
      </w:r>
      <w:r w:rsidRPr="00EC293A">
        <w:rPr>
          <w:rFonts w:ascii="Calibri Light" w:eastAsia="Times New Roman" w:hAnsi="Calibri Light" w:cs="Calibri Light"/>
          <w:i/>
          <w:iCs/>
          <w:color w:val="333333"/>
          <w:kern w:val="0"/>
          <w14:ligatures w14:val="none"/>
        </w:rPr>
        <w:t>175</w:t>
      </w:r>
      <w:r w:rsidRPr="00EC293A">
        <w:rPr>
          <w:rFonts w:ascii="Calibri Light" w:eastAsia="Times New Roman" w:hAnsi="Calibri Light" w:cs="Calibri Light"/>
          <w:color w:val="333333"/>
          <w:kern w:val="0"/>
          <w14:ligatures w14:val="none"/>
        </w:rPr>
        <w:t xml:space="preserve">, 199–208. </w:t>
      </w:r>
      <w:hyperlink r:id="rId33" w:history="1">
        <w:r w:rsidRPr="00EC293A">
          <w:rPr>
            <w:rStyle w:val="Hyperlink"/>
            <w:rFonts w:ascii="Calibri Light" w:eastAsia="Times New Roman" w:hAnsi="Calibri Light" w:cs="Calibri Light"/>
            <w:kern w:val="0"/>
            <w14:ligatures w14:val="none"/>
          </w:rPr>
          <w:t>https://doi.org/10.1016/j.socscimed.2017.01.010</w:t>
        </w:r>
      </w:hyperlink>
      <w:r w:rsidRPr="00EC293A">
        <w:rPr>
          <w:rFonts w:ascii="Calibri Light" w:eastAsia="Times New Roman" w:hAnsi="Calibri Light" w:cs="Calibri Light"/>
          <w:color w:val="333333"/>
          <w:kern w:val="0"/>
          <w:u w:val="single"/>
          <w14:ligatures w14:val="none"/>
        </w:rPr>
        <w:t xml:space="preserve"> </w:t>
      </w:r>
    </w:p>
    <w:p w14:paraId="1D3CDEEB" w14:textId="77777777" w:rsidR="000D2C26" w:rsidRPr="000D2C26" w:rsidRDefault="000D2C26" w:rsidP="000D2C26">
      <w:pPr>
        <w:rPr>
          <w:rFonts w:ascii="Calibri Light" w:hAnsi="Calibri Light" w:cs="Calibri Light"/>
          <w:b/>
          <w:bCs/>
        </w:rPr>
      </w:pPr>
    </w:p>
    <w:p w14:paraId="754D98C5" w14:textId="77777777" w:rsidR="000D2C26" w:rsidRPr="000D2C26" w:rsidRDefault="000D2C26" w:rsidP="00F319EA">
      <w:pPr>
        <w:rPr>
          <w:rFonts w:ascii="Calibri Light" w:hAnsi="Calibri Light" w:cs="Calibri Light"/>
        </w:rPr>
      </w:pPr>
    </w:p>
    <w:sectPr w:rsidR="000D2C26" w:rsidRPr="000D2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E7D6E"/>
    <w:multiLevelType w:val="multilevel"/>
    <w:tmpl w:val="64CC7D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CE10821"/>
    <w:multiLevelType w:val="multilevel"/>
    <w:tmpl w:val="365E0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4E64CE"/>
    <w:multiLevelType w:val="multilevel"/>
    <w:tmpl w:val="64CC7D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7B70D32"/>
    <w:multiLevelType w:val="multilevel"/>
    <w:tmpl w:val="64CC7D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7AA19CB"/>
    <w:multiLevelType w:val="multilevel"/>
    <w:tmpl w:val="4A24A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964374">
    <w:abstractNumId w:val="0"/>
  </w:num>
  <w:num w:numId="2" w16cid:durableId="469714358">
    <w:abstractNumId w:val="2"/>
  </w:num>
  <w:num w:numId="3" w16cid:durableId="2103530129">
    <w:abstractNumId w:val="1"/>
  </w:num>
  <w:num w:numId="4" w16cid:durableId="1813716608">
    <w:abstractNumId w:val="3"/>
  </w:num>
  <w:num w:numId="5" w16cid:durableId="1367751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30"/>
    <w:rsid w:val="000D2C26"/>
    <w:rsid w:val="00134B44"/>
    <w:rsid w:val="00224DBA"/>
    <w:rsid w:val="00265A30"/>
    <w:rsid w:val="00381329"/>
    <w:rsid w:val="00525CD1"/>
    <w:rsid w:val="005E5B1E"/>
    <w:rsid w:val="00675D90"/>
    <w:rsid w:val="00702778"/>
    <w:rsid w:val="00796C95"/>
    <w:rsid w:val="008C0901"/>
    <w:rsid w:val="00924979"/>
    <w:rsid w:val="00A51794"/>
    <w:rsid w:val="00A61CB8"/>
    <w:rsid w:val="00AF12E8"/>
    <w:rsid w:val="00B96D0C"/>
    <w:rsid w:val="00BA3790"/>
    <w:rsid w:val="00D038D0"/>
    <w:rsid w:val="00D81B45"/>
    <w:rsid w:val="00EC293A"/>
    <w:rsid w:val="00F319EA"/>
    <w:rsid w:val="00F54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90503"/>
  <w15:chartTrackingRefBased/>
  <w15:docId w15:val="{A20A37B8-1033-46E1-92D0-7518C79E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BA"/>
    <w:pPr>
      <w:spacing w:after="0" w:line="240" w:lineRule="auto"/>
    </w:pPr>
    <w:rPr>
      <w:rFonts w:asciiTheme="majorHAnsi" w:hAnsiTheme="majorHAnsi"/>
    </w:rPr>
  </w:style>
  <w:style w:type="paragraph" w:styleId="Heading1">
    <w:name w:val="heading 1"/>
    <w:basedOn w:val="Normal"/>
    <w:next w:val="Normal"/>
    <w:link w:val="Heading1Char"/>
    <w:uiPriority w:val="9"/>
    <w:qFormat/>
    <w:rsid w:val="00265A30"/>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5A30"/>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5A3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5A3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65A3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65A3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65A3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65A3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65A3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A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5A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5A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5A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5A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5A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A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A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A30"/>
    <w:rPr>
      <w:rFonts w:eastAsiaTheme="majorEastAsia" w:cstheme="majorBidi"/>
      <w:color w:val="272727" w:themeColor="text1" w:themeTint="D8"/>
    </w:rPr>
  </w:style>
  <w:style w:type="paragraph" w:styleId="Title">
    <w:name w:val="Title"/>
    <w:basedOn w:val="Normal"/>
    <w:next w:val="Normal"/>
    <w:link w:val="TitleChar"/>
    <w:uiPriority w:val="10"/>
    <w:qFormat/>
    <w:rsid w:val="00265A30"/>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65A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A3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A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A3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5A30"/>
    <w:rPr>
      <w:rFonts w:asciiTheme="majorHAnsi" w:hAnsiTheme="majorHAnsi"/>
      <w:i/>
      <w:iCs/>
      <w:color w:val="404040" w:themeColor="text1" w:themeTint="BF"/>
    </w:rPr>
  </w:style>
  <w:style w:type="paragraph" w:styleId="ListParagraph">
    <w:name w:val="List Paragraph"/>
    <w:basedOn w:val="Normal"/>
    <w:uiPriority w:val="34"/>
    <w:qFormat/>
    <w:rsid w:val="00265A30"/>
    <w:pPr>
      <w:ind w:left="720"/>
      <w:contextualSpacing/>
    </w:pPr>
  </w:style>
  <w:style w:type="character" w:styleId="IntenseEmphasis">
    <w:name w:val="Intense Emphasis"/>
    <w:basedOn w:val="DefaultParagraphFont"/>
    <w:uiPriority w:val="21"/>
    <w:qFormat/>
    <w:rsid w:val="00265A30"/>
    <w:rPr>
      <w:i/>
      <w:iCs/>
      <w:color w:val="0F4761" w:themeColor="accent1" w:themeShade="BF"/>
    </w:rPr>
  </w:style>
  <w:style w:type="paragraph" w:styleId="IntenseQuote">
    <w:name w:val="Intense Quote"/>
    <w:basedOn w:val="Normal"/>
    <w:next w:val="Normal"/>
    <w:link w:val="IntenseQuoteChar"/>
    <w:uiPriority w:val="30"/>
    <w:qFormat/>
    <w:rsid w:val="00265A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5A30"/>
    <w:rPr>
      <w:rFonts w:asciiTheme="majorHAnsi" w:hAnsiTheme="majorHAnsi"/>
      <w:i/>
      <w:iCs/>
      <w:color w:val="0F4761" w:themeColor="accent1" w:themeShade="BF"/>
    </w:rPr>
  </w:style>
  <w:style w:type="character" w:styleId="IntenseReference">
    <w:name w:val="Intense Reference"/>
    <w:basedOn w:val="DefaultParagraphFont"/>
    <w:uiPriority w:val="32"/>
    <w:qFormat/>
    <w:rsid w:val="00265A30"/>
    <w:rPr>
      <w:b/>
      <w:bCs/>
      <w:smallCaps/>
      <w:color w:val="0F4761" w:themeColor="accent1" w:themeShade="BF"/>
      <w:spacing w:val="5"/>
    </w:rPr>
  </w:style>
  <w:style w:type="paragraph" w:styleId="NormalWeb">
    <w:name w:val="Normal (Web)"/>
    <w:basedOn w:val="Normal"/>
    <w:uiPriority w:val="99"/>
    <w:semiHidden/>
    <w:unhideWhenUsed/>
    <w:rsid w:val="00924979"/>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24979"/>
    <w:rPr>
      <w:i/>
      <w:iCs/>
    </w:rPr>
  </w:style>
  <w:style w:type="character" w:styleId="Hyperlink">
    <w:name w:val="Hyperlink"/>
    <w:basedOn w:val="DefaultParagraphFont"/>
    <w:uiPriority w:val="99"/>
    <w:unhideWhenUsed/>
    <w:rsid w:val="00924979"/>
    <w:rPr>
      <w:color w:val="0000FF"/>
      <w:u w:val="single"/>
    </w:rPr>
  </w:style>
  <w:style w:type="table" w:styleId="TableGrid">
    <w:name w:val="Table Grid"/>
    <w:basedOn w:val="TableNormal"/>
    <w:uiPriority w:val="39"/>
    <w:rsid w:val="00D81B4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nomist">
    <w:name w:val="Economist"/>
    <w:basedOn w:val="TableNormal"/>
    <w:uiPriority w:val="99"/>
    <w:rsid w:val="00F54C03"/>
    <w:pPr>
      <w:spacing w:after="0" w:line="240" w:lineRule="auto"/>
      <w:jc w:val="center"/>
    </w:pPr>
    <w:rPr>
      <w:rFonts w:asciiTheme="majorHAnsi" w:hAnsiTheme="majorHAnsi"/>
      <w:kern w:val="0"/>
      <w14:ligatures w14:val="none"/>
    </w:rPr>
    <w:tblPr>
      <w:tblBorders>
        <w:top w:val="single" w:sz="12" w:space="0" w:color="auto"/>
        <w:bottom w:val="single" w:sz="12" w:space="0" w:color="auto"/>
      </w:tblBorders>
    </w:tblPr>
    <w:tcPr>
      <w:shd w:val="clear" w:color="auto" w:fill="FFFFFF" w:themeFill="background1"/>
      <w:vAlign w:val="center"/>
    </w:tcPr>
    <w:tblStylePr w:type="firstRow">
      <w:tblPr/>
      <w:tcPr>
        <w:tcBorders>
          <w:bottom w:val="single" w:sz="4" w:space="0" w:color="auto"/>
        </w:tcBorders>
      </w:tcPr>
    </w:tblStylePr>
    <w:tblStylePr w:type="firstCol">
      <w:pPr>
        <w:jc w:val="left"/>
      </w:pPr>
    </w:tblStylePr>
  </w:style>
  <w:style w:type="character" w:styleId="UnresolvedMention">
    <w:name w:val="Unresolved Mention"/>
    <w:basedOn w:val="DefaultParagraphFont"/>
    <w:uiPriority w:val="99"/>
    <w:semiHidden/>
    <w:unhideWhenUsed/>
    <w:rsid w:val="00EC2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106831">
      <w:bodyDiv w:val="1"/>
      <w:marLeft w:val="0"/>
      <w:marRight w:val="0"/>
      <w:marTop w:val="0"/>
      <w:marBottom w:val="0"/>
      <w:divBdr>
        <w:top w:val="none" w:sz="0" w:space="0" w:color="auto"/>
        <w:left w:val="none" w:sz="0" w:space="0" w:color="auto"/>
        <w:bottom w:val="none" w:sz="0" w:space="0" w:color="auto"/>
        <w:right w:val="none" w:sz="0" w:space="0" w:color="auto"/>
      </w:divBdr>
      <w:divsChild>
        <w:div w:id="1445733606">
          <w:marLeft w:val="0"/>
          <w:marRight w:val="0"/>
          <w:marTop w:val="0"/>
          <w:marBottom w:val="0"/>
          <w:divBdr>
            <w:top w:val="none" w:sz="0" w:space="0" w:color="auto"/>
            <w:left w:val="none" w:sz="0" w:space="0" w:color="auto"/>
            <w:bottom w:val="none" w:sz="0" w:space="0" w:color="auto"/>
            <w:right w:val="none" w:sz="0" w:space="0" w:color="auto"/>
          </w:divBdr>
        </w:div>
        <w:div w:id="716777966">
          <w:marLeft w:val="0"/>
          <w:marRight w:val="0"/>
          <w:marTop w:val="0"/>
          <w:marBottom w:val="0"/>
          <w:divBdr>
            <w:top w:val="none" w:sz="0" w:space="0" w:color="auto"/>
            <w:left w:val="none" w:sz="0" w:space="0" w:color="auto"/>
            <w:bottom w:val="none" w:sz="0" w:space="0" w:color="auto"/>
            <w:right w:val="none" w:sz="0" w:space="0" w:color="auto"/>
          </w:divBdr>
        </w:div>
        <w:div w:id="570849351">
          <w:marLeft w:val="0"/>
          <w:marRight w:val="0"/>
          <w:marTop w:val="0"/>
          <w:marBottom w:val="0"/>
          <w:divBdr>
            <w:top w:val="none" w:sz="0" w:space="0" w:color="auto"/>
            <w:left w:val="none" w:sz="0" w:space="0" w:color="auto"/>
            <w:bottom w:val="none" w:sz="0" w:space="0" w:color="auto"/>
            <w:right w:val="none" w:sz="0" w:space="0" w:color="auto"/>
          </w:divBdr>
        </w:div>
        <w:div w:id="2032142717">
          <w:marLeft w:val="0"/>
          <w:marRight w:val="0"/>
          <w:marTop w:val="0"/>
          <w:marBottom w:val="0"/>
          <w:divBdr>
            <w:top w:val="none" w:sz="0" w:space="0" w:color="auto"/>
            <w:left w:val="none" w:sz="0" w:space="0" w:color="auto"/>
            <w:bottom w:val="none" w:sz="0" w:space="0" w:color="auto"/>
            <w:right w:val="none" w:sz="0" w:space="0" w:color="auto"/>
          </w:divBdr>
        </w:div>
        <w:div w:id="439567032">
          <w:marLeft w:val="0"/>
          <w:marRight w:val="0"/>
          <w:marTop w:val="0"/>
          <w:marBottom w:val="0"/>
          <w:divBdr>
            <w:top w:val="none" w:sz="0" w:space="0" w:color="auto"/>
            <w:left w:val="none" w:sz="0" w:space="0" w:color="auto"/>
            <w:bottom w:val="none" w:sz="0" w:space="0" w:color="auto"/>
            <w:right w:val="none" w:sz="0" w:space="0" w:color="auto"/>
          </w:divBdr>
        </w:div>
        <w:div w:id="726033484">
          <w:marLeft w:val="0"/>
          <w:marRight w:val="0"/>
          <w:marTop w:val="0"/>
          <w:marBottom w:val="0"/>
          <w:divBdr>
            <w:top w:val="none" w:sz="0" w:space="0" w:color="auto"/>
            <w:left w:val="none" w:sz="0" w:space="0" w:color="auto"/>
            <w:bottom w:val="none" w:sz="0" w:space="0" w:color="auto"/>
            <w:right w:val="none" w:sz="0" w:space="0" w:color="auto"/>
          </w:divBdr>
        </w:div>
        <w:div w:id="1457946303">
          <w:marLeft w:val="0"/>
          <w:marRight w:val="0"/>
          <w:marTop w:val="0"/>
          <w:marBottom w:val="0"/>
          <w:divBdr>
            <w:top w:val="none" w:sz="0" w:space="0" w:color="auto"/>
            <w:left w:val="none" w:sz="0" w:space="0" w:color="auto"/>
            <w:bottom w:val="none" w:sz="0" w:space="0" w:color="auto"/>
            <w:right w:val="none" w:sz="0" w:space="0" w:color="auto"/>
          </w:divBdr>
        </w:div>
      </w:divsChild>
    </w:div>
    <w:div w:id="236788833">
      <w:bodyDiv w:val="1"/>
      <w:marLeft w:val="0"/>
      <w:marRight w:val="0"/>
      <w:marTop w:val="0"/>
      <w:marBottom w:val="0"/>
      <w:divBdr>
        <w:top w:val="none" w:sz="0" w:space="0" w:color="auto"/>
        <w:left w:val="none" w:sz="0" w:space="0" w:color="auto"/>
        <w:bottom w:val="none" w:sz="0" w:space="0" w:color="auto"/>
        <w:right w:val="none" w:sz="0" w:space="0" w:color="auto"/>
      </w:divBdr>
    </w:div>
    <w:div w:id="339508070">
      <w:bodyDiv w:val="1"/>
      <w:marLeft w:val="0"/>
      <w:marRight w:val="0"/>
      <w:marTop w:val="0"/>
      <w:marBottom w:val="0"/>
      <w:divBdr>
        <w:top w:val="none" w:sz="0" w:space="0" w:color="auto"/>
        <w:left w:val="none" w:sz="0" w:space="0" w:color="auto"/>
        <w:bottom w:val="none" w:sz="0" w:space="0" w:color="auto"/>
        <w:right w:val="none" w:sz="0" w:space="0" w:color="auto"/>
      </w:divBdr>
    </w:div>
    <w:div w:id="416753148">
      <w:bodyDiv w:val="1"/>
      <w:marLeft w:val="0"/>
      <w:marRight w:val="0"/>
      <w:marTop w:val="0"/>
      <w:marBottom w:val="0"/>
      <w:divBdr>
        <w:top w:val="none" w:sz="0" w:space="0" w:color="auto"/>
        <w:left w:val="none" w:sz="0" w:space="0" w:color="auto"/>
        <w:bottom w:val="none" w:sz="0" w:space="0" w:color="auto"/>
        <w:right w:val="none" w:sz="0" w:space="0" w:color="auto"/>
      </w:divBdr>
    </w:div>
    <w:div w:id="460005522">
      <w:bodyDiv w:val="1"/>
      <w:marLeft w:val="0"/>
      <w:marRight w:val="0"/>
      <w:marTop w:val="0"/>
      <w:marBottom w:val="0"/>
      <w:divBdr>
        <w:top w:val="none" w:sz="0" w:space="0" w:color="auto"/>
        <w:left w:val="none" w:sz="0" w:space="0" w:color="auto"/>
        <w:bottom w:val="none" w:sz="0" w:space="0" w:color="auto"/>
        <w:right w:val="none" w:sz="0" w:space="0" w:color="auto"/>
      </w:divBdr>
    </w:div>
    <w:div w:id="565840374">
      <w:bodyDiv w:val="1"/>
      <w:marLeft w:val="0"/>
      <w:marRight w:val="0"/>
      <w:marTop w:val="0"/>
      <w:marBottom w:val="0"/>
      <w:divBdr>
        <w:top w:val="none" w:sz="0" w:space="0" w:color="auto"/>
        <w:left w:val="none" w:sz="0" w:space="0" w:color="auto"/>
        <w:bottom w:val="none" w:sz="0" w:space="0" w:color="auto"/>
        <w:right w:val="none" w:sz="0" w:space="0" w:color="auto"/>
      </w:divBdr>
    </w:div>
    <w:div w:id="622081838">
      <w:bodyDiv w:val="1"/>
      <w:marLeft w:val="0"/>
      <w:marRight w:val="0"/>
      <w:marTop w:val="0"/>
      <w:marBottom w:val="0"/>
      <w:divBdr>
        <w:top w:val="none" w:sz="0" w:space="0" w:color="auto"/>
        <w:left w:val="none" w:sz="0" w:space="0" w:color="auto"/>
        <w:bottom w:val="none" w:sz="0" w:space="0" w:color="auto"/>
        <w:right w:val="none" w:sz="0" w:space="0" w:color="auto"/>
      </w:divBdr>
    </w:div>
    <w:div w:id="646399415">
      <w:bodyDiv w:val="1"/>
      <w:marLeft w:val="0"/>
      <w:marRight w:val="0"/>
      <w:marTop w:val="0"/>
      <w:marBottom w:val="0"/>
      <w:divBdr>
        <w:top w:val="none" w:sz="0" w:space="0" w:color="auto"/>
        <w:left w:val="none" w:sz="0" w:space="0" w:color="auto"/>
        <w:bottom w:val="none" w:sz="0" w:space="0" w:color="auto"/>
        <w:right w:val="none" w:sz="0" w:space="0" w:color="auto"/>
      </w:divBdr>
    </w:div>
    <w:div w:id="728576486">
      <w:bodyDiv w:val="1"/>
      <w:marLeft w:val="0"/>
      <w:marRight w:val="0"/>
      <w:marTop w:val="0"/>
      <w:marBottom w:val="0"/>
      <w:divBdr>
        <w:top w:val="none" w:sz="0" w:space="0" w:color="auto"/>
        <w:left w:val="none" w:sz="0" w:space="0" w:color="auto"/>
        <w:bottom w:val="none" w:sz="0" w:space="0" w:color="auto"/>
        <w:right w:val="none" w:sz="0" w:space="0" w:color="auto"/>
      </w:divBdr>
    </w:div>
    <w:div w:id="1415930664">
      <w:bodyDiv w:val="1"/>
      <w:marLeft w:val="0"/>
      <w:marRight w:val="0"/>
      <w:marTop w:val="0"/>
      <w:marBottom w:val="0"/>
      <w:divBdr>
        <w:top w:val="none" w:sz="0" w:space="0" w:color="auto"/>
        <w:left w:val="none" w:sz="0" w:space="0" w:color="auto"/>
        <w:bottom w:val="none" w:sz="0" w:space="0" w:color="auto"/>
        <w:right w:val="none" w:sz="0" w:space="0" w:color="auto"/>
      </w:divBdr>
    </w:div>
    <w:div w:id="1445003894">
      <w:bodyDiv w:val="1"/>
      <w:marLeft w:val="0"/>
      <w:marRight w:val="0"/>
      <w:marTop w:val="0"/>
      <w:marBottom w:val="0"/>
      <w:divBdr>
        <w:top w:val="none" w:sz="0" w:space="0" w:color="auto"/>
        <w:left w:val="none" w:sz="0" w:space="0" w:color="auto"/>
        <w:bottom w:val="none" w:sz="0" w:space="0" w:color="auto"/>
        <w:right w:val="none" w:sz="0" w:space="0" w:color="auto"/>
      </w:divBdr>
    </w:div>
    <w:div w:id="1608925615">
      <w:bodyDiv w:val="1"/>
      <w:marLeft w:val="0"/>
      <w:marRight w:val="0"/>
      <w:marTop w:val="0"/>
      <w:marBottom w:val="0"/>
      <w:divBdr>
        <w:top w:val="none" w:sz="0" w:space="0" w:color="auto"/>
        <w:left w:val="none" w:sz="0" w:space="0" w:color="auto"/>
        <w:bottom w:val="none" w:sz="0" w:space="0" w:color="auto"/>
        <w:right w:val="none" w:sz="0" w:space="0" w:color="auto"/>
      </w:divBdr>
    </w:div>
    <w:div w:id="1765758792">
      <w:bodyDiv w:val="1"/>
      <w:marLeft w:val="0"/>
      <w:marRight w:val="0"/>
      <w:marTop w:val="0"/>
      <w:marBottom w:val="0"/>
      <w:divBdr>
        <w:top w:val="none" w:sz="0" w:space="0" w:color="auto"/>
        <w:left w:val="none" w:sz="0" w:space="0" w:color="auto"/>
        <w:bottom w:val="none" w:sz="0" w:space="0" w:color="auto"/>
        <w:right w:val="none" w:sz="0" w:space="0" w:color="auto"/>
      </w:divBdr>
    </w:div>
    <w:div w:id="1825124029">
      <w:bodyDiv w:val="1"/>
      <w:marLeft w:val="0"/>
      <w:marRight w:val="0"/>
      <w:marTop w:val="0"/>
      <w:marBottom w:val="0"/>
      <w:divBdr>
        <w:top w:val="none" w:sz="0" w:space="0" w:color="auto"/>
        <w:left w:val="none" w:sz="0" w:space="0" w:color="auto"/>
        <w:bottom w:val="none" w:sz="0" w:space="0" w:color="auto"/>
        <w:right w:val="none" w:sz="0" w:space="0" w:color="auto"/>
      </w:divBdr>
    </w:div>
    <w:div w:id="1835105751">
      <w:bodyDiv w:val="1"/>
      <w:marLeft w:val="0"/>
      <w:marRight w:val="0"/>
      <w:marTop w:val="0"/>
      <w:marBottom w:val="0"/>
      <w:divBdr>
        <w:top w:val="none" w:sz="0" w:space="0" w:color="auto"/>
        <w:left w:val="none" w:sz="0" w:space="0" w:color="auto"/>
        <w:bottom w:val="none" w:sz="0" w:space="0" w:color="auto"/>
        <w:right w:val="none" w:sz="0" w:space="0" w:color="auto"/>
      </w:divBdr>
    </w:div>
    <w:div w:id="203823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socpro/spv025" TargetMode="External"/><Relationship Id="rId18" Type="http://schemas.openxmlformats.org/officeDocument/2006/relationships/hyperlink" Target="https://doi.org/10.1080/10511482.2020.1812690" TargetMode="External"/><Relationship Id="rId26" Type="http://schemas.openxmlformats.org/officeDocument/2006/relationships/hyperlink" Target="https://www.jstor.org/stable/26524878" TargetMode="External"/><Relationship Id="rId3" Type="http://schemas.openxmlformats.org/officeDocument/2006/relationships/styles" Target="styles.xml"/><Relationship Id="rId21" Type="http://schemas.openxmlformats.org/officeDocument/2006/relationships/hyperlink" Target="https://www.nber.org/papers/w26139" TargetMode="External"/><Relationship Id="rId34" Type="http://schemas.openxmlformats.org/officeDocument/2006/relationships/fontTable" Target="fontTable.xml"/><Relationship Id="rId7" Type="http://schemas.openxmlformats.org/officeDocument/2006/relationships/hyperlink" Target="https://doi.org/10.1016/bs.hefe.2016.10.003" TargetMode="External"/><Relationship Id="rId12" Type="http://schemas.openxmlformats.org/officeDocument/2006/relationships/hyperlink" Target="https://doi.org/10.1093/sf/sot047" TargetMode="External"/><Relationship Id="rId17" Type="http://schemas.openxmlformats.org/officeDocument/2006/relationships/hyperlink" Target="https://doi.org/10.3390/ijerph18168281" TargetMode="External"/><Relationship Id="rId25" Type="http://schemas.openxmlformats.org/officeDocument/2006/relationships/hyperlink" Target="http://rave.ohiolink.edu/etdc/view?acc_num=osu1598023157360428" TargetMode="External"/><Relationship Id="rId33" Type="http://schemas.openxmlformats.org/officeDocument/2006/relationships/hyperlink" Target="https://doi.org/10.1016/j.socscimed.2017.01.010" TargetMode="External"/><Relationship Id="rId2" Type="http://schemas.openxmlformats.org/officeDocument/2006/relationships/numbering" Target="numbering.xml"/><Relationship Id="rId16" Type="http://schemas.openxmlformats.org/officeDocument/2006/relationships/hyperlink" Target="https://evictionlab.org/new-eviction-data-2022/" TargetMode="External"/><Relationship Id="rId20" Type="http://schemas.openxmlformats.org/officeDocument/2006/relationships/hyperlink" Target="https://jamanetwork.com/journals/jamapediatrics/fullarticle/2776776" TargetMode="External"/><Relationship Id="rId29" Type="http://schemas.openxmlformats.org/officeDocument/2006/relationships/hyperlink" Target="https://doi.org/10.1177/00323292211050716" TargetMode="External"/><Relationship Id="rId1" Type="http://schemas.openxmlformats.org/officeDocument/2006/relationships/customXml" Target="../customXml/item1.xml"/><Relationship Id="rId6" Type="http://schemas.openxmlformats.org/officeDocument/2006/relationships/hyperlink" Target="https://imedris.uthsc.edu/Study_App.jsp?FORM_MODE=EDIT&amp;tab=full&amp;s=1733350688475" TargetMode="External"/><Relationship Id="rId11" Type="http://schemas.openxmlformats.org/officeDocument/2006/relationships/hyperlink" Target="https://doi.org/10.1086/666082" TargetMode="External"/><Relationship Id="rId24" Type="http://schemas.openxmlformats.org/officeDocument/2006/relationships/hyperlink" Target="https://www.nhlp.org/wp-content/uploads/CDC-FAQ-for-Renters.pdf" TargetMode="External"/><Relationship Id="rId32" Type="http://schemas.openxmlformats.org/officeDocument/2006/relationships/hyperlink" Target="https://home.treasury.gov/policy-issues/coronavirus/assistance-for-state-local-and-tribal-governments/emergency-rental-assistance-program" TargetMode="External"/><Relationship Id="rId5" Type="http://schemas.openxmlformats.org/officeDocument/2006/relationships/webSettings" Target="webSettings.xml"/><Relationship Id="rId15" Type="http://schemas.openxmlformats.org/officeDocument/2006/relationships/hyperlink" Target="https://doi.org/10.1080/10511482.2020.1825009" TargetMode="External"/><Relationship Id="rId23" Type="http://schemas.openxmlformats.org/officeDocument/2006/relationships/hyperlink" Target="https://doi.org/10.3390/ijerph17228659" TargetMode="External"/><Relationship Id="rId28" Type="http://schemas.openxmlformats.org/officeDocument/2006/relationships/hyperlink" Target="https://nlihc.org/sites/default/files/HIP_NLIHC_Furman_Brief_FINAL.pdf" TargetMode="External"/><Relationship Id="rId10" Type="http://schemas.openxmlformats.org/officeDocument/2006/relationships/hyperlink" Target="https://files.consumerfinance.gov/f/documents/cfpb_Housing_insecurity_and_the_COVID-19_pandemic.pdf" TargetMode="External"/><Relationship Id="rId19" Type="http://schemas.openxmlformats.org/officeDocument/2006/relationships/hyperlink" Target="https://doi.org/10.1111/hsc.13983" TargetMode="External"/><Relationship Id="rId31" Type="http://schemas.openxmlformats.org/officeDocument/2006/relationships/hyperlink" Target="https://doi.org/10.1016/j.cities.2022.104033" TargetMode="External"/><Relationship Id="rId4" Type="http://schemas.openxmlformats.org/officeDocument/2006/relationships/settings" Target="settings.xml"/><Relationship Id="rId9" Type="http://schemas.openxmlformats.org/officeDocument/2006/relationships/hyperlink" Target="https://www.law.nyu.edu/sites/default/files/upload_documents/evictions_collinson_reed.pdf" TargetMode="External"/><Relationship Id="rId14" Type="http://schemas.openxmlformats.org/officeDocument/2006/relationships/hyperlink" Target="https://doi.org/10.1016/j.ssresearch.2016.08.017" TargetMode="External"/><Relationship Id="rId22" Type="http://schemas.openxmlformats.org/officeDocument/2006/relationships/hyperlink" Target="https://doi.org/10.1093/aje/kwab196" TargetMode="External"/><Relationship Id="rId27" Type="http://schemas.openxmlformats.org/officeDocument/2006/relationships/hyperlink" Target="https://doi.org/10.1080/10511482.2021.1887318" TargetMode="External"/><Relationship Id="rId30" Type="http://schemas.openxmlformats.org/officeDocument/2006/relationships/hyperlink" Target="https://doi.org/10.21916/mlr.2021.12" TargetMode="External"/><Relationship Id="rId35" Type="http://schemas.openxmlformats.org/officeDocument/2006/relationships/theme" Target="theme/theme1.xml"/><Relationship Id="rId8" Type="http://schemas.openxmlformats.org/officeDocument/2006/relationships/hyperlink" Target="https://doi.org/10.1016/j.jpubeco.2023.1048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B18E5D-B7E4-4F5B-A534-B21E016A19D6}">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C24C47-69ED-4BC1-9016-7781CB6B2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10</Pages>
  <Words>5138</Words>
  <Characters>30212</Characters>
  <Application>Microsoft Office Word</Application>
  <DocSecurity>0</DocSecurity>
  <Lines>539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Casey Pierce</dc:creator>
  <cp:keywords/>
  <dc:description/>
  <cp:lastModifiedBy>Stephanie Casey Pierce</cp:lastModifiedBy>
  <cp:revision>1</cp:revision>
  <dcterms:created xsi:type="dcterms:W3CDTF">2024-12-04T22:03:00Z</dcterms:created>
  <dcterms:modified xsi:type="dcterms:W3CDTF">2024-12-05T15:20:00Z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c61e5500-63c7-46a8-a863-b4cd82bb6804</vt:lpwstr>
  </property>
</Properties>
</file>