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2B7BEB" w:rsidRPr="00CB513F" w:rsidRDefault="002B7BEB" w:rsidP="00153308">
      <w:pPr>
        <w:rPr>
          <w:rFonts w:ascii="Times New Roman" w:hAnsi="Times New Roman" w:cs="Times New Roman"/>
        </w:rPr>
      </w:pPr>
    </w:p>
    <w:p w14:paraId="26A33355" w14:textId="77777777" w:rsidR="002B7BEB" w:rsidRPr="00CB513F" w:rsidRDefault="00000000" w:rsidP="00153308">
      <w:pPr>
        <w:shd w:val="clear" w:color="auto" w:fill="FFFFFF"/>
        <w:spacing w:after="240"/>
        <w:jc w:val="center"/>
        <w:rPr>
          <w:rFonts w:ascii="Times New Roman" w:eastAsia="Calibri" w:hAnsi="Times New Roman" w:cs="Times New Roman"/>
          <w:b/>
          <w:bCs/>
          <w:kern w:val="0"/>
          <w:lang w:eastAsia="en-US" w:bidi="ar-SA"/>
        </w:rPr>
      </w:pPr>
      <w:r w:rsidRPr="00CB513F">
        <w:rPr>
          <w:rFonts w:ascii="Times New Roman" w:eastAsia="Calibri" w:hAnsi="Times New Roman" w:cs="Times New Roman"/>
          <w:b/>
          <w:bCs/>
          <w:kern w:val="0"/>
          <w:lang w:eastAsia="en-US" w:bidi="ar-SA"/>
        </w:rPr>
        <w:t>Pre-Analysis Plan for:</w:t>
      </w:r>
    </w:p>
    <w:p w14:paraId="238398FC" w14:textId="77777777" w:rsidR="002B7BEB" w:rsidRPr="00CB513F" w:rsidRDefault="00000000" w:rsidP="00153308">
      <w:pPr>
        <w:shd w:val="clear" w:color="auto" w:fill="FFFFFF"/>
        <w:spacing w:after="240"/>
        <w:jc w:val="center"/>
        <w:rPr>
          <w:rFonts w:ascii="Times New Roman" w:eastAsia="Calibri" w:hAnsi="Times New Roman" w:cs="Times New Roman"/>
          <w:b/>
          <w:bCs/>
          <w:kern w:val="0"/>
          <w:lang w:eastAsia="en-US" w:bidi="ar-SA"/>
        </w:rPr>
      </w:pPr>
      <w:r w:rsidRPr="00CB513F">
        <w:rPr>
          <w:rFonts w:ascii="Times New Roman" w:eastAsia="Calibri" w:hAnsi="Times New Roman" w:cs="Times New Roman"/>
          <w:b/>
          <w:bCs/>
          <w:kern w:val="0"/>
          <w:lang w:eastAsia="en-US" w:bidi="ar-SA"/>
        </w:rPr>
        <w:t>Elevating Employment Success: Empowering Puerto Rico’s American Job Centers with Innovative Job Search Strategies</w:t>
      </w:r>
    </w:p>
    <w:p w14:paraId="7421109A" w14:textId="2D0B3B2B" w:rsidR="002B7BEB" w:rsidRPr="00CB513F" w:rsidRDefault="007242E7" w:rsidP="00153308">
      <w:pPr>
        <w:shd w:val="clear" w:color="auto" w:fill="FFFFFF"/>
        <w:spacing w:after="240"/>
        <w:jc w:val="center"/>
        <w:rPr>
          <w:rFonts w:ascii="Times New Roman" w:eastAsia="Calibri" w:hAnsi="Times New Roman" w:cs="Times New Roman"/>
          <w:b/>
          <w:bCs/>
          <w:kern w:val="0"/>
          <w:lang w:eastAsia="en-US" w:bidi="ar-SA"/>
        </w:rPr>
      </w:pPr>
      <w:r w:rsidRPr="00637BDB">
        <w:rPr>
          <w:rFonts w:ascii="Times New Roman" w:eastAsia="Calibri" w:hAnsi="Times New Roman" w:cs="Times New Roman"/>
          <w:b/>
          <w:bCs/>
          <w:kern w:val="0"/>
          <w:lang w:eastAsia="en-US" w:bidi="ar-SA"/>
        </w:rPr>
        <w:t>August 2024</w:t>
      </w:r>
    </w:p>
    <w:p w14:paraId="5B1327DF" w14:textId="77777777" w:rsidR="002B7BEB" w:rsidRPr="00CB513F" w:rsidRDefault="00000000" w:rsidP="00153308">
      <w:pPr>
        <w:shd w:val="clear" w:color="auto" w:fill="FFFFFF"/>
        <w:spacing w:after="240"/>
        <w:jc w:val="center"/>
        <w:rPr>
          <w:rFonts w:ascii="Times New Roman" w:eastAsia="Calibri" w:hAnsi="Times New Roman" w:cs="Times New Roman"/>
          <w:b/>
          <w:bCs/>
          <w:kern w:val="0"/>
          <w:lang w:eastAsia="en-US" w:bidi="ar-SA"/>
        </w:rPr>
      </w:pPr>
      <w:r w:rsidRPr="00CB513F">
        <w:rPr>
          <w:rFonts w:ascii="Times New Roman" w:eastAsia="Calibri" w:hAnsi="Times New Roman" w:cs="Times New Roman"/>
          <w:b/>
          <w:bCs/>
          <w:kern w:val="0"/>
          <w:lang w:eastAsia="en-US" w:bidi="ar-SA"/>
        </w:rPr>
        <w:t>Researchers</w:t>
      </w:r>
    </w:p>
    <w:p w14:paraId="1D2CEBBF" w14:textId="77777777" w:rsidR="002B7BEB" w:rsidRPr="00CB513F" w:rsidRDefault="00000000" w:rsidP="00153308">
      <w:pPr>
        <w:jc w:val="center"/>
        <w:rPr>
          <w:rFonts w:ascii="Times New Roman" w:eastAsia="Times New Roman" w:hAnsi="Times New Roman" w:cs="Times New Roman"/>
        </w:rPr>
      </w:pPr>
      <w:r w:rsidRPr="00CB513F">
        <w:rPr>
          <w:rFonts w:ascii="Times New Roman" w:eastAsia="Times New Roman" w:hAnsi="Times New Roman" w:cs="Times New Roman"/>
        </w:rPr>
        <w:t>Gustavo J. Bobonis, University of Toronto</w:t>
      </w:r>
    </w:p>
    <w:p w14:paraId="345835B0" w14:textId="1E685A81" w:rsidR="002B7BEB" w:rsidRPr="00CB513F" w:rsidRDefault="00000000" w:rsidP="00153308">
      <w:pPr>
        <w:jc w:val="center"/>
        <w:rPr>
          <w:rFonts w:ascii="Times New Roman" w:eastAsia="Times New Roman" w:hAnsi="Times New Roman" w:cs="Times New Roman"/>
        </w:rPr>
      </w:pPr>
      <w:r w:rsidRPr="00CB513F">
        <w:rPr>
          <w:rFonts w:ascii="Times New Roman" w:eastAsia="Times New Roman" w:hAnsi="Times New Roman" w:cs="Times New Roman"/>
        </w:rPr>
        <w:t>Sara Hernández</w:t>
      </w:r>
      <w:r w:rsidR="000B719B" w:rsidRPr="00CB513F">
        <w:rPr>
          <w:rFonts w:ascii="Times New Roman" w:eastAsia="Times New Roman" w:hAnsi="Times New Roman" w:cs="Times New Roman"/>
        </w:rPr>
        <w:t>-</w:t>
      </w:r>
      <w:r w:rsidRPr="00CB513F">
        <w:rPr>
          <w:rFonts w:ascii="Times New Roman" w:eastAsia="Times New Roman" w:hAnsi="Times New Roman" w:cs="Times New Roman"/>
        </w:rPr>
        <w:t>Saborit, Northwestern University</w:t>
      </w:r>
    </w:p>
    <w:p w14:paraId="32EBA307" w14:textId="77777777" w:rsidR="002B7BEB" w:rsidRPr="00CB513F" w:rsidRDefault="00000000" w:rsidP="00153308">
      <w:pPr>
        <w:jc w:val="center"/>
        <w:rPr>
          <w:rFonts w:ascii="Times New Roman" w:eastAsia="Times New Roman" w:hAnsi="Times New Roman" w:cs="Times New Roman"/>
        </w:rPr>
      </w:pPr>
      <w:r w:rsidRPr="00CB513F">
        <w:rPr>
          <w:rFonts w:ascii="Times New Roman" w:eastAsia="Times New Roman" w:hAnsi="Times New Roman" w:cs="Times New Roman"/>
        </w:rPr>
        <w:t>Orlando J. Sotomayor, University of Puerto Rico</w:t>
      </w:r>
    </w:p>
    <w:p w14:paraId="485D0E70" w14:textId="77777777" w:rsidR="002B7BEB" w:rsidRPr="00CB513F" w:rsidRDefault="00000000" w:rsidP="00153308">
      <w:pPr>
        <w:jc w:val="center"/>
        <w:rPr>
          <w:rFonts w:ascii="Times New Roman" w:eastAsia="Times New Roman" w:hAnsi="Times New Roman" w:cs="Times New Roman"/>
        </w:rPr>
      </w:pPr>
      <w:r w:rsidRPr="00CB513F">
        <w:rPr>
          <w:rFonts w:ascii="Times New Roman" w:eastAsia="Times New Roman" w:hAnsi="Times New Roman" w:cs="Times New Roman"/>
          <w:kern w:val="0"/>
          <w:lang w:eastAsia="en-US" w:bidi="ar-SA"/>
        </w:rPr>
        <w:t>Román Andrés Zárate, University of Toronto</w:t>
      </w:r>
    </w:p>
    <w:p w14:paraId="0A37501D" w14:textId="77777777" w:rsidR="002B7BEB" w:rsidRPr="00CB513F" w:rsidRDefault="002B7BEB" w:rsidP="00153308">
      <w:pPr>
        <w:jc w:val="center"/>
        <w:rPr>
          <w:rFonts w:ascii="Times New Roman" w:eastAsia="Times New Roman" w:hAnsi="Times New Roman" w:cs="Times New Roman"/>
        </w:rPr>
      </w:pPr>
    </w:p>
    <w:p w14:paraId="4C03B6C4" w14:textId="77777777" w:rsidR="002B7BEB" w:rsidRPr="00CB513F" w:rsidRDefault="00000000" w:rsidP="00153308">
      <w:pPr>
        <w:shd w:val="clear" w:color="auto" w:fill="FFFFFF"/>
        <w:spacing w:after="240"/>
        <w:jc w:val="center"/>
        <w:rPr>
          <w:rFonts w:ascii="Times New Roman" w:eastAsia="Calibri" w:hAnsi="Times New Roman" w:cs="Times New Roman"/>
          <w:b/>
          <w:bCs/>
          <w:kern w:val="0"/>
          <w:lang w:eastAsia="en-US" w:bidi="ar-SA"/>
        </w:rPr>
      </w:pPr>
      <w:r w:rsidRPr="00CB513F">
        <w:rPr>
          <w:rFonts w:ascii="Times New Roman" w:eastAsia="Calibri" w:hAnsi="Times New Roman" w:cs="Times New Roman"/>
          <w:b/>
          <w:bCs/>
          <w:kern w:val="0"/>
          <w:lang w:eastAsia="en-US" w:bidi="ar-SA"/>
        </w:rPr>
        <w:t>External Partner Institution</w:t>
      </w:r>
    </w:p>
    <w:p w14:paraId="032A869D" w14:textId="7213058D" w:rsidR="002B7BEB" w:rsidRPr="00CB513F" w:rsidRDefault="00000000" w:rsidP="00153308">
      <w:pPr>
        <w:shd w:val="clear" w:color="auto" w:fill="FFFFFF"/>
        <w:spacing w:after="240"/>
        <w:jc w:val="center"/>
        <w:rPr>
          <w:rFonts w:ascii="Times New Roman" w:eastAsia="Calibri" w:hAnsi="Times New Roman" w:cs="Times New Roman"/>
          <w:kern w:val="0"/>
          <w:lang w:eastAsia="en-US" w:bidi="ar-SA"/>
        </w:rPr>
      </w:pPr>
      <w:r w:rsidRPr="00CB513F">
        <w:rPr>
          <w:rFonts w:ascii="Times New Roman" w:eastAsia="Calibri" w:hAnsi="Times New Roman" w:cs="Times New Roman"/>
          <w:kern w:val="0"/>
          <w:lang w:eastAsia="en-US" w:bidi="ar-SA"/>
        </w:rPr>
        <w:t>Puerto Rico Workforce Development Program</w:t>
      </w:r>
      <w:r w:rsidR="00307635" w:rsidRPr="00CB513F">
        <w:rPr>
          <w:rFonts w:ascii="Times New Roman" w:eastAsia="Calibri" w:hAnsi="Times New Roman" w:cs="Times New Roman"/>
          <w:kern w:val="0"/>
          <w:lang w:eastAsia="en-US" w:bidi="ar-SA"/>
        </w:rPr>
        <w:t xml:space="preserve"> - </w:t>
      </w:r>
    </w:p>
    <w:p w14:paraId="585EFCD7" w14:textId="4EE25743" w:rsidR="00307635" w:rsidRPr="00CB513F" w:rsidRDefault="00307635" w:rsidP="00153308">
      <w:pPr>
        <w:shd w:val="clear" w:color="auto" w:fill="FFFFFF"/>
        <w:spacing w:after="240"/>
        <w:jc w:val="center"/>
        <w:rPr>
          <w:rFonts w:ascii="Times New Roman" w:hAnsi="Times New Roman" w:cs="Times New Roman"/>
        </w:rPr>
      </w:pPr>
      <w:r w:rsidRPr="00CB513F">
        <w:rPr>
          <w:rFonts w:ascii="Times New Roman" w:eastAsia="Calibri" w:hAnsi="Times New Roman" w:cs="Times New Roman"/>
          <w:kern w:val="0"/>
          <w:lang w:eastAsia="en-US" w:bidi="ar-SA"/>
        </w:rPr>
        <w:t>Department of Economic Development and Commerce (DEDC)</w:t>
      </w:r>
    </w:p>
    <w:p w14:paraId="5DAB6C7B" w14:textId="77777777" w:rsidR="002B7BEB" w:rsidRPr="00CB513F" w:rsidRDefault="002B7BEB" w:rsidP="00153308">
      <w:pPr>
        <w:rPr>
          <w:rFonts w:ascii="Times New Roman" w:hAnsi="Times New Roman" w:cs="Times New Roman"/>
        </w:rPr>
      </w:pPr>
    </w:p>
    <w:p w14:paraId="11EE2849" w14:textId="1EBBA20D" w:rsidR="00BA5D49" w:rsidRPr="00CB513F" w:rsidRDefault="00BA5D49" w:rsidP="00153308">
      <w:pPr>
        <w:rPr>
          <w:rFonts w:ascii="Times New Roman" w:hAnsi="Times New Roman" w:cs="Times New Roman"/>
          <w:b/>
          <w:bCs/>
          <w:highlight w:val="lightGray"/>
        </w:rPr>
      </w:pPr>
      <w:r w:rsidRPr="00CB513F">
        <w:rPr>
          <w:rFonts w:ascii="Times New Roman" w:hAnsi="Times New Roman" w:cs="Times New Roman"/>
          <w:b/>
          <w:bCs/>
          <w:highlight w:val="lightGray"/>
        </w:rPr>
        <w:br w:type="page"/>
      </w:r>
    </w:p>
    <w:p w14:paraId="12FF0044" w14:textId="2257809F" w:rsidR="00BA5D49" w:rsidRPr="00CB513F" w:rsidRDefault="00BA5D49"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lastRenderedPageBreak/>
        <w:t>Introduction</w:t>
      </w:r>
    </w:p>
    <w:p w14:paraId="3AD71BBE" w14:textId="77777777" w:rsidR="007A051E" w:rsidRPr="00CB513F" w:rsidRDefault="007A051E" w:rsidP="00153308">
      <w:pPr>
        <w:pStyle w:val="ListParagraph"/>
        <w:numPr>
          <w:ilvl w:val="1"/>
          <w:numId w:val="6"/>
        </w:numPr>
        <w:shd w:val="clear" w:color="auto" w:fill="FFFFFF"/>
        <w:spacing w:after="240"/>
        <w:jc w:val="both"/>
        <w:rPr>
          <w:rFonts w:ascii="Times New Roman" w:eastAsia="Calibri" w:hAnsi="Times New Roman" w:cs="Times New Roman"/>
          <w:kern w:val="0"/>
          <w:szCs w:val="24"/>
          <w:lang w:eastAsia="en-US" w:bidi="ar-SA"/>
        </w:rPr>
      </w:pPr>
      <w:r w:rsidRPr="00CB513F">
        <w:rPr>
          <w:rFonts w:ascii="Times New Roman" w:eastAsia="Calibri" w:hAnsi="Times New Roman" w:cs="Times New Roman"/>
          <w:b/>
          <w:bCs/>
          <w:kern w:val="0"/>
          <w:szCs w:val="24"/>
          <w:lang w:eastAsia="en-US" w:bidi="ar-SA"/>
        </w:rPr>
        <w:t xml:space="preserve">Abstract: </w:t>
      </w:r>
      <w:r w:rsidRPr="00CB513F">
        <w:rPr>
          <w:rFonts w:ascii="Times New Roman" w:eastAsia="Calibri" w:hAnsi="Times New Roman" w:cs="Times New Roman"/>
          <w:kern w:val="0"/>
          <w:szCs w:val="24"/>
          <w:lang w:eastAsia="en-US" w:bidi="ar-SA"/>
        </w:rPr>
        <w:t xml:space="preserve">We propose an intervention to enhance the efficacy of American Job Centers (AJCs) by focusing on elevating the quality of case management and job search services. Prior work facilitated by a </w:t>
      </w:r>
      <w:r w:rsidRPr="00CB513F">
        <w:rPr>
          <w:rFonts w:ascii="Times New Roman" w:eastAsia="Calibri" w:hAnsi="Times New Roman" w:cs="Times New Roman"/>
          <w:i/>
          <w:iCs/>
          <w:kern w:val="0"/>
          <w:szCs w:val="24"/>
          <w:lang w:eastAsia="en-US" w:bidi="ar-SA"/>
        </w:rPr>
        <w:t>SLII</w:t>
      </w:r>
      <w:r w:rsidRPr="00CB513F">
        <w:rPr>
          <w:rFonts w:ascii="Times New Roman" w:eastAsia="Calibri" w:hAnsi="Times New Roman" w:cs="Times New Roman"/>
          <w:kern w:val="0"/>
          <w:szCs w:val="24"/>
          <w:lang w:eastAsia="en-US" w:bidi="ar-SA"/>
        </w:rPr>
        <w:t xml:space="preserve"> grant has identified this strategy as the most promising approach to help job seekers in Puerto Rico. The plan involves selecting and contracting an external provider of job search and support services from a pool of nationally recognized organizations. This selected provider will offer a comprehensive range of intensive and individualized job search assistance, along with career navigator support. Treatment will be randomized. This initiative is designed to benefit eligible Workforce Innovation and Opportunity Act (WIOA) participants who are transitioning out of various programs, namely Adults, Youth, Dislocated Workers, Wagner-Peyser Employment Services. The primary focus of the evaluation will be on assessing the labor market outcomes of these individuals in the short, medium and longer run. This will include their employment status and compensation measured 6, 12, 18, 24 and 30 months after receiving treatment. By prioritizing the enhancement of case management and job search services, it is anticipated that individuals will experience improved agency and job market opportunities.</w:t>
      </w:r>
    </w:p>
    <w:p w14:paraId="695015CC" w14:textId="77777777" w:rsidR="007A051E" w:rsidRPr="00CB513F" w:rsidRDefault="007A051E" w:rsidP="00153308">
      <w:pPr>
        <w:pStyle w:val="ListParagraph"/>
        <w:numPr>
          <w:ilvl w:val="1"/>
          <w:numId w:val="6"/>
        </w:numPr>
        <w:shd w:val="clear" w:color="auto" w:fill="FFFFFF"/>
        <w:spacing w:after="240"/>
        <w:jc w:val="both"/>
        <w:rPr>
          <w:rFonts w:ascii="Times New Roman" w:eastAsia="Calibri" w:hAnsi="Times New Roman" w:cs="Times New Roman"/>
          <w:kern w:val="0"/>
          <w:szCs w:val="24"/>
          <w:lang w:eastAsia="en-US" w:bidi="ar-SA"/>
        </w:rPr>
      </w:pPr>
      <w:r w:rsidRPr="00CB513F">
        <w:rPr>
          <w:rFonts w:ascii="Times New Roman" w:eastAsia="Times New Roman" w:hAnsi="Times New Roman" w:cs="Times New Roman"/>
          <w:b/>
          <w:bCs/>
          <w:szCs w:val="24"/>
        </w:rPr>
        <w:t xml:space="preserve">Motivation: </w:t>
      </w:r>
      <w:r w:rsidRPr="00CB513F">
        <w:rPr>
          <w:rFonts w:ascii="Times New Roman" w:eastAsia="Calibri" w:hAnsi="Times New Roman" w:cs="Times New Roman"/>
          <w:kern w:val="0"/>
          <w:szCs w:val="24"/>
          <w:lang w:eastAsia="en-US" w:bidi="ar-SA"/>
        </w:rPr>
        <w:t xml:space="preserve">A recently commissioned study presents compelling evidence that case management can be improved substantially in Puerto Rico’s American Job Centers—the main provider of labor exchange services to disadvantaged populations both in the island and in the mainland US (DEDC, 2021). The potential benefits are considerable. Currently in Puerto Rico, six out of every ten individuals of working age are neither working, nor looking for employment, one of the lowest labor force participation rates in the world. The situation is influenced by the design of a variety of public transfer programs that generate powerful incentives for low-skilled individuals to remain economically inactive (Burtless and Sotomayor, 2006). In turn, low levels of labor force participation are the main determinants of the high levels of inequality and poverty in the island (Sotomayor, 1996, 2004), where 58 percent of children and 42 percent of the total population lives in poverty. </w:t>
      </w:r>
      <w:r w:rsidRPr="00CB513F">
        <w:rPr>
          <w:rFonts w:ascii="Times New Roman" w:hAnsi="Times New Roman" w:cs="Times New Roman"/>
          <w:szCs w:val="24"/>
        </w:rPr>
        <w:t xml:space="preserve">The dire macroeconomic scenario is exacerbated by the increasing number of Puerto Ricans who are relocating to various U.S. states. </w:t>
      </w:r>
    </w:p>
    <w:p w14:paraId="05E4151A" w14:textId="77777777" w:rsidR="00153308" w:rsidRPr="00153308" w:rsidRDefault="007A051E" w:rsidP="00153308">
      <w:pPr>
        <w:pStyle w:val="ListParagraph"/>
        <w:numPr>
          <w:ilvl w:val="1"/>
          <w:numId w:val="6"/>
        </w:numPr>
        <w:shd w:val="clear" w:color="auto" w:fill="FFFFFF"/>
        <w:spacing w:after="240"/>
        <w:jc w:val="both"/>
        <w:rPr>
          <w:rFonts w:ascii="Times New Roman" w:eastAsia="Calibri" w:hAnsi="Times New Roman" w:cs="Times New Roman"/>
          <w:kern w:val="0"/>
          <w:szCs w:val="24"/>
          <w:lang w:eastAsia="en-US" w:bidi="ar-SA"/>
        </w:rPr>
      </w:pPr>
      <w:r w:rsidRPr="00CB513F">
        <w:rPr>
          <w:rFonts w:ascii="Times New Roman" w:eastAsia="Times New Roman" w:hAnsi="Times New Roman" w:cs="Times New Roman"/>
          <w:b/>
          <w:bCs/>
          <w:szCs w:val="24"/>
        </w:rPr>
        <w:t>Conceptual Framework:</w:t>
      </w:r>
      <w:r w:rsidRPr="00CB513F">
        <w:rPr>
          <w:rFonts w:ascii="Times New Roman" w:eastAsia="Times New Roman" w:hAnsi="Times New Roman" w:cs="Times New Roman"/>
          <w:color w:val="000000" w:themeColor="text2"/>
          <w:szCs w:val="24"/>
        </w:rPr>
        <w:t xml:space="preserve"> </w:t>
      </w:r>
      <w:r w:rsidRPr="00CB513F">
        <w:rPr>
          <w:rFonts w:ascii="Times New Roman" w:eastAsia="Calibri" w:hAnsi="Times New Roman" w:cs="Times New Roman"/>
          <w:color w:val="000000" w:themeColor="text2"/>
          <w:szCs w:val="24"/>
        </w:rPr>
        <w:t xml:space="preserve">Caseworker quality, monitoring, incentives structures, and related services have a significant impact on client outcomes, beyond the scope of programmatic offerings (Maibom, Rosholm, and Svarer, 2017; Michaelides and Mueser, 2020, Bobonis </w:t>
      </w:r>
      <w:r w:rsidRPr="00CB513F">
        <w:rPr>
          <w:rFonts w:ascii="Times New Roman" w:eastAsia="Calibri" w:hAnsi="Times New Roman" w:cs="Times New Roman"/>
          <w:i/>
          <w:iCs/>
          <w:color w:val="000000" w:themeColor="text2"/>
          <w:szCs w:val="24"/>
        </w:rPr>
        <w:t>et al</w:t>
      </w:r>
      <w:r w:rsidRPr="00CB513F">
        <w:rPr>
          <w:rFonts w:ascii="Times New Roman" w:eastAsia="Calibri" w:hAnsi="Times New Roman" w:cs="Times New Roman"/>
          <w:color w:val="000000" w:themeColor="text2"/>
          <w:szCs w:val="24"/>
        </w:rPr>
        <w:t xml:space="preserve">. 2021). Addressing cognitive frictions arising from excessive bureaucratic procedures, the implementation of intentions and goal orientation, and promoting self-regulation have shown promising results in the proportion of participants that cease to claim benefits in the UK (Sanders </w:t>
      </w:r>
      <w:r w:rsidRPr="00CB513F">
        <w:rPr>
          <w:rFonts w:ascii="Times New Roman" w:eastAsia="Calibri" w:hAnsi="Times New Roman" w:cs="Times New Roman"/>
          <w:i/>
          <w:iCs/>
          <w:color w:val="000000" w:themeColor="text2"/>
          <w:szCs w:val="24"/>
        </w:rPr>
        <w:t>et al.</w:t>
      </w:r>
      <w:r w:rsidRPr="00CB513F">
        <w:rPr>
          <w:rFonts w:ascii="Times New Roman" w:eastAsia="Calibri" w:hAnsi="Times New Roman" w:cs="Times New Roman"/>
          <w:color w:val="000000" w:themeColor="text2"/>
          <w:szCs w:val="24"/>
        </w:rPr>
        <w:t xml:space="preserve">, 2021). Evidence suggests that utilizing casework monitoring tools to oversee client activities can positively impact their job-search behavior (Cockx </w:t>
      </w:r>
      <w:r w:rsidRPr="00CB513F">
        <w:rPr>
          <w:rFonts w:ascii="Times New Roman" w:eastAsia="Calibri" w:hAnsi="Times New Roman" w:cs="Times New Roman"/>
          <w:i/>
          <w:iCs/>
          <w:color w:val="000000" w:themeColor="text2"/>
          <w:szCs w:val="24"/>
        </w:rPr>
        <w:t>et al</w:t>
      </w:r>
      <w:r w:rsidRPr="00CB513F">
        <w:rPr>
          <w:rFonts w:ascii="Times New Roman" w:eastAsia="Calibri" w:hAnsi="Times New Roman" w:cs="Times New Roman"/>
          <w:color w:val="000000" w:themeColor="text2"/>
          <w:szCs w:val="24"/>
        </w:rPr>
        <w:t xml:space="preserve">., 2018). Additionally, job search services have proven effective in reducing employment barriers (Meyer, 1995). However, the outcomes vary depending on both client and provider characteristics (Van den Berg and Van der Klaauw, 2006, Cottier </w:t>
      </w:r>
      <w:r w:rsidRPr="00CB513F">
        <w:rPr>
          <w:rFonts w:ascii="Times New Roman" w:eastAsia="Calibri" w:hAnsi="Times New Roman" w:cs="Times New Roman"/>
          <w:i/>
          <w:iCs/>
          <w:color w:val="000000" w:themeColor="text2"/>
          <w:szCs w:val="24"/>
        </w:rPr>
        <w:t>et al.</w:t>
      </w:r>
      <w:r w:rsidRPr="00CB513F">
        <w:rPr>
          <w:rFonts w:ascii="Times New Roman" w:eastAsia="Calibri" w:hAnsi="Times New Roman" w:cs="Times New Roman"/>
          <w:color w:val="000000" w:themeColor="text2"/>
          <w:szCs w:val="24"/>
        </w:rPr>
        <w:t xml:space="preserve">, 2018, Behaghel, Crépon, Gurgand, 2014), as well as the incentives integrated into the contracts with the service providers (Cottier </w:t>
      </w:r>
      <w:r w:rsidRPr="00CB513F">
        <w:rPr>
          <w:rFonts w:ascii="Times New Roman" w:eastAsia="Calibri" w:hAnsi="Times New Roman" w:cs="Times New Roman"/>
          <w:i/>
          <w:iCs/>
          <w:color w:val="000000" w:themeColor="text2"/>
          <w:szCs w:val="24"/>
        </w:rPr>
        <w:t>et al.</w:t>
      </w:r>
      <w:r w:rsidRPr="00CB513F">
        <w:rPr>
          <w:rFonts w:ascii="Times New Roman" w:eastAsia="Calibri" w:hAnsi="Times New Roman" w:cs="Times New Roman"/>
          <w:color w:val="000000" w:themeColor="text2"/>
          <w:szCs w:val="24"/>
        </w:rPr>
        <w:t>, 2018).</w:t>
      </w:r>
    </w:p>
    <w:p w14:paraId="48443FDA" w14:textId="2924DAA1" w:rsidR="006C5B5E" w:rsidRPr="00153308" w:rsidRDefault="007A051E" w:rsidP="00153308">
      <w:pPr>
        <w:shd w:val="clear" w:color="auto" w:fill="FFFFFF"/>
        <w:spacing w:after="240"/>
        <w:ind w:left="709"/>
        <w:jc w:val="both"/>
        <w:rPr>
          <w:rFonts w:ascii="Times New Roman" w:eastAsia="Calibri" w:hAnsi="Times New Roman" w:cs="Times New Roman"/>
          <w:kern w:val="0"/>
          <w:lang w:eastAsia="en-US" w:bidi="ar-SA"/>
        </w:rPr>
      </w:pPr>
      <w:proofErr w:type="spellStart"/>
      <w:r w:rsidRPr="00153308">
        <w:rPr>
          <w:rFonts w:ascii="Times New Roman" w:eastAsia="Calibri" w:hAnsi="Times New Roman" w:cs="Times New Roman"/>
          <w:color w:val="000000" w:themeColor="text2"/>
        </w:rPr>
        <w:t>Crépon</w:t>
      </w:r>
      <w:proofErr w:type="spellEnd"/>
      <w:r w:rsidRPr="00153308">
        <w:rPr>
          <w:rFonts w:ascii="Times New Roman" w:eastAsia="Calibri" w:hAnsi="Times New Roman" w:cs="Times New Roman"/>
          <w:color w:val="000000" w:themeColor="text2"/>
        </w:rPr>
        <w:t xml:space="preserve"> </w:t>
      </w:r>
      <w:r w:rsidRPr="00153308">
        <w:rPr>
          <w:rFonts w:ascii="Times New Roman" w:eastAsia="Calibri" w:hAnsi="Times New Roman" w:cs="Times New Roman"/>
          <w:i/>
          <w:iCs/>
          <w:color w:val="000000" w:themeColor="text2"/>
        </w:rPr>
        <w:t>et al</w:t>
      </w:r>
      <w:r w:rsidRPr="00153308">
        <w:rPr>
          <w:rFonts w:ascii="Times New Roman" w:eastAsia="Calibri" w:hAnsi="Times New Roman" w:cs="Times New Roman"/>
          <w:color w:val="000000" w:themeColor="text2"/>
        </w:rPr>
        <w:t xml:space="preserve">., (2013) have highlighted several crucial factors contributing to the success of counseling services, including interview and follow-up frequency, dedicated one-on-one support, and the collaborative design of individualized job-search action plans by both the jobseeker and case manager together. Recent findings from a longitudinal evaluation of the Self-Sufficiency Project Plus in Canada emphasize the significant impact of caseworker performance and the range of services they provide on clients’ ability to secure and maintain well-paying jobs (Bobonis </w:t>
      </w:r>
      <w:r w:rsidRPr="00153308">
        <w:rPr>
          <w:rFonts w:ascii="Times New Roman" w:eastAsia="Calibri" w:hAnsi="Times New Roman" w:cs="Times New Roman"/>
          <w:i/>
          <w:iCs/>
          <w:color w:val="000000" w:themeColor="text2"/>
        </w:rPr>
        <w:t>et al</w:t>
      </w:r>
      <w:r w:rsidRPr="00153308">
        <w:rPr>
          <w:rFonts w:ascii="Times New Roman" w:eastAsia="Calibri" w:hAnsi="Times New Roman" w:cs="Times New Roman"/>
          <w:color w:val="000000" w:themeColor="text2"/>
        </w:rPr>
        <w:t>., 2021). Notably, benefits in the form of higher earnings are sustained decades after treatment, with the authors identifying the intensive and individualized employment services as instrumental.</w:t>
      </w:r>
      <w:r w:rsidRPr="00153308">
        <w:rPr>
          <w:rFonts w:ascii="Times New Roman" w:hAnsi="Times New Roman" w:cs="Times New Roman"/>
        </w:rPr>
        <w:t xml:space="preserve"> </w:t>
      </w:r>
    </w:p>
    <w:p w14:paraId="4CE584B4" w14:textId="58EA7C41" w:rsidR="007A051E" w:rsidRPr="00CB513F" w:rsidRDefault="007A051E" w:rsidP="00153308">
      <w:pPr>
        <w:shd w:val="clear" w:color="auto" w:fill="FFFFFF"/>
        <w:spacing w:after="240"/>
        <w:ind w:left="720"/>
        <w:jc w:val="both"/>
        <w:rPr>
          <w:rFonts w:ascii="Times New Roman" w:hAnsi="Times New Roman" w:cs="Times New Roman"/>
        </w:rPr>
      </w:pPr>
      <w:r w:rsidRPr="00CB513F">
        <w:rPr>
          <w:rFonts w:ascii="Times New Roman" w:eastAsia="Times New Roman" w:hAnsi="Times New Roman" w:cs="Times New Roman"/>
          <w:color w:val="000000" w:themeColor="text2"/>
        </w:rPr>
        <w:lastRenderedPageBreak/>
        <w:t>Improving access to employment stands at the core of development policy, especially that aimed at concentrating benefits on the poor or otherwise disadvantaged, who often encounter significant employment barriers and heightened labor market insecurity. Strategies and practices that prove successful within context can serve as valuable models</w:t>
      </w:r>
      <w:r w:rsidRPr="00CB513F">
        <w:rPr>
          <w:rFonts w:ascii="Times New Roman" w:hAnsi="Times New Roman" w:cs="Times New Roman"/>
        </w:rPr>
        <w:t xml:space="preserve"> for other locations. It is worth noting that American Job Centers serving to populations with similar racial and socio-economic backgrounds exist on the U.S. Mainland. Moreover, these insights can offer valuable guidance for policy making in other areas grappling with similar economic hardships and weakened state capacity by providing a readily adaptable, highly replicable intervention.</w:t>
      </w:r>
    </w:p>
    <w:p w14:paraId="40FAA144" w14:textId="77777777" w:rsidR="00A74DF2" w:rsidRPr="00CB513F" w:rsidRDefault="007A051E"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t>Intervention</w:t>
      </w:r>
    </w:p>
    <w:p w14:paraId="468F4A5A" w14:textId="2A97E3F8" w:rsidR="00C21299" w:rsidRPr="00CB513F" w:rsidRDefault="00005D20" w:rsidP="00153308">
      <w:pPr>
        <w:pStyle w:val="ListParagraph"/>
        <w:numPr>
          <w:ilvl w:val="1"/>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t xml:space="preserve">Institutional </w:t>
      </w:r>
      <w:r w:rsidR="00A74DF2" w:rsidRPr="00CB513F">
        <w:rPr>
          <w:rFonts w:ascii="Times New Roman" w:eastAsia="Times New Roman" w:hAnsi="Times New Roman" w:cs="Times New Roman"/>
          <w:b/>
          <w:bCs/>
          <w:szCs w:val="24"/>
        </w:rPr>
        <w:t xml:space="preserve">Partner: </w:t>
      </w:r>
      <w:r w:rsidR="00A74DF2" w:rsidRPr="00CB513F">
        <w:rPr>
          <w:rFonts w:ascii="Times New Roman" w:eastAsia="Calibri" w:hAnsi="Times New Roman" w:cs="Times New Roman"/>
          <w:kern w:val="0"/>
          <w:szCs w:val="24"/>
          <w:lang w:eastAsia="en-US" w:bidi="ar-SA"/>
        </w:rPr>
        <w:t>The Department of Economic Development and Commerce (DEDC) is the lead agency responsible for establishing public policy for economic development in Puerto Rico. Within the agency, the Workforce Development Program (WDP) is tasked with planning and coordinating employment and training programs across the island’s 15 Local Areas of Labor Development, each overseen by a Local Workforce Development Board. The areas share common labor market characteristics and are responsible for providing services through one or more AJCs. These services include assessment and training opportunities for program participants, information dissemination regarding employment opportunities, and employment services for employers. It’s worth highlighting that although there are multiple American Job Centers on the island, the Puerto Rican labor market operates as a unified entity.</w:t>
      </w:r>
    </w:p>
    <w:p w14:paraId="2F6A3C03" w14:textId="5ADDA05F" w:rsidR="006C5B5E" w:rsidRPr="00CB513F" w:rsidRDefault="008A0997" w:rsidP="00153308">
      <w:pPr>
        <w:pStyle w:val="ListParagraph"/>
        <w:numPr>
          <w:ilvl w:val="1"/>
          <w:numId w:val="6"/>
        </w:numPr>
        <w:jc w:val="both"/>
        <w:rPr>
          <w:rFonts w:ascii="Times New Roman" w:eastAsia="Times New Roman" w:hAnsi="Times New Roman" w:cs="Times New Roman"/>
          <w:b/>
          <w:bCs/>
          <w:szCs w:val="24"/>
        </w:rPr>
      </w:pPr>
      <w:r w:rsidRPr="00CB513F">
        <w:rPr>
          <w:rFonts w:ascii="Times New Roman" w:eastAsia="Calibri" w:hAnsi="Times New Roman" w:cs="Times New Roman"/>
          <w:b/>
          <w:bCs/>
          <w:kern w:val="0"/>
          <w:szCs w:val="24"/>
          <w:lang w:eastAsia="en-US" w:bidi="ar-SA"/>
        </w:rPr>
        <w:t>Context</w:t>
      </w:r>
      <w:r w:rsidR="00A74DF2" w:rsidRPr="00CB513F">
        <w:rPr>
          <w:rFonts w:ascii="Times New Roman" w:eastAsia="Calibri" w:hAnsi="Times New Roman" w:cs="Times New Roman"/>
          <w:b/>
          <w:bCs/>
          <w:kern w:val="0"/>
          <w:szCs w:val="24"/>
          <w:lang w:eastAsia="en-US" w:bidi="ar-SA"/>
        </w:rPr>
        <w:t>:</w:t>
      </w:r>
      <w:r w:rsidR="00A74DF2" w:rsidRPr="00CB513F">
        <w:rPr>
          <w:rFonts w:ascii="Times New Roman" w:eastAsia="Calibri" w:hAnsi="Times New Roman" w:cs="Times New Roman"/>
          <w:kern w:val="0"/>
          <w:szCs w:val="24"/>
          <w:lang w:eastAsia="en-US" w:bidi="ar-SA"/>
        </w:rPr>
        <w:t xml:space="preserve"> Our evaluation will take place in an environment rich with job opportunities, providing a unique and valuable context for assessment. The current unemployment rate, standing at 5.7% as of </w:t>
      </w:r>
      <w:r w:rsidR="006C5B5E" w:rsidRPr="00CB513F">
        <w:rPr>
          <w:rFonts w:ascii="Times New Roman" w:eastAsia="Calibri" w:hAnsi="Times New Roman" w:cs="Times New Roman"/>
          <w:kern w:val="0"/>
          <w:szCs w:val="24"/>
          <w:lang w:eastAsia="en-US" w:bidi="ar-SA"/>
        </w:rPr>
        <w:t xml:space="preserve">January </w:t>
      </w:r>
      <w:r w:rsidR="00A74DF2" w:rsidRPr="00CB513F">
        <w:rPr>
          <w:rFonts w:ascii="Times New Roman" w:eastAsia="Calibri" w:hAnsi="Times New Roman" w:cs="Times New Roman"/>
          <w:kern w:val="0"/>
          <w:szCs w:val="24"/>
          <w:lang w:eastAsia="en-US" w:bidi="ar-SA"/>
        </w:rPr>
        <w:t xml:space="preserve">2024, marks its lowest point in twenty-five years (Federal Reserve Bank of New York). The foundation of our proposal is built upon significant findings enabled by the </w:t>
      </w:r>
      <w:r w:rsidR="00A74DF2" w:rsidRPr="00CB513F">
        <w:rPr>
          <w:rFonts w:ascii="Times New Roman" w:eastAsia="Calibri" w:hAnsi="Times New Roman" w:cs="Times New Roman"/>
          <w:i/>
          <w:iCs/>
          <w:kern w:val="0"/>
          <w:szCs w:val="24"/>
          <w:lang w:eastAsia="en-US" w:bidi="ar-SA"/>
        </w:rPr>
        <w:t>SLII</w:t>
      </w:r>
      <w:r w:rsidR="00A74DF2" w:rsidRPr="00CB513F">
        <w:rPr>
          <w:rFonts w:ascii="Times New Roman" w:eastAsia="Calibri" w:hAnsi="Times New Roman" w:cs="Times New Roman"/>
          <w:kern w:val="0"/>
          <w:szCs w:val="24"/>
          <w:lang w:eastAsia="en-US" w:bidi="ar-SA"/>
        </w:rPr>
        <w:t xml:space="preserve"> grant. Key challenges identified include the </w:t>
      </w:r>
      <w:r w:rsidR="00A74DF2" w:rsidRPr="00CB513F">
        <w:rPr>
          <w:rFonts w:ascii="Times New Roman" w:eastAsia="Calibri" w:hAnsi="Times New Roman" w:cs="Times New Roman"/>
          <w:szCs w:val="24"/>
          <w:lang w:eastAsia="en-US" w:bidi="ar-SA"/>
        </w:rPr>
        <w:t>underutilization of WIOA services, the issue of low salaries for case managers (which has far-reaching implications, negatively affecting talent recruitment and retention), and the absence of performance-based compensation</w:t>
      </w:r>
      <w:r w:rsidR="00C21299" w:rsidRPr="00CB513F">
        <w:rPr>
          <w:rFonts w:ascii="Times New Roman" w:eastAsia="Calibri" w:hAnsi="Times New Roman" w:cs="Times New Roman"/>
          <w:szCs w:val="24"/>
          <w:lang w:eastAsia="en-US" w:bidi="ar-SA"/>
        </w:rPr>
        <w:t xml:space="preserve">. </w:t>
      </w:r>
      <w:r w:rsidR="00A74DF2" w:rsidRPr="00CB513F">
        <w:rPr>
          <w:rFonts w:ascii="Times New Roman" w:eastAsia="Calibri" w:hAnsi="Times New Roman" w:cs="Times New Roman"/>
          <w:szCs w:val="24"/>
          <w:lang w:eastAsia="en-US" w:bidi="ar-SA"/>
        </w:rPr>
        <w:t xml:space="preserve">Consequently, </w:t>
      </w:r>
      <w:r w:rsidR="00A74DF2" w:rsidRPr="00CB513F">
        <w:rPr>
          <w:rFonts w:ascii="Times New Roman" w:eastAsia="Calibri" w:hAnsi="Times New Roman" w:cs="Times New Roman"/>
          <w:kern w:val="0"/>
          <w:szCs w:val="24"/>
          <w:lang w:eastAsia="en-US" w:bidi="ar-SA"/>
        </w:rPr>
        <w:t>elevating the quality of case management and job search services emerges as the most promising strategy for augmenting the effectiveness of services rendered by AJCs.</w:t>
      </w:r>
      <w:r w:rsidR="00A74DF2" w:rsidRPr="00CB513F">
        <w:rPr>
          <w:rFonts w:ascii="Times New Roman" w:eastAsia="Calibri" w:hAnsi="Times New Roman" w:cs="Times New Roman"/>
          <w:color w:val="000000" w:themeColor="text2"/>
          <w:szCs w:val="24"/>
        </w:rPr>
        <w:t xml:space="preserve"> In addition, WIOA participants reported a deficiency in job postings, job search assistance, and follow-up services (DEDC, 2021). This may be linked to the absence of a requirement for employers to post job openings at AJCs, as is the practice in other settings. Additionally, there is a lack of incentives for caseworkers or job specialists to gather job market information or facilitate job placements. Notably, despite the competitive selection process for AJC operators, the chosen operators predominantly consist of public entities or even the local boards themselves. Caseworker remuneration remains subpar, often pegged to municipal government pay scales. These prevailing conditions bear a resemblance to challenges encountered in other low-income settings, where governance issues are more severe. </w:t>
      </w:r>
    </w:p>
    <w:p w14:paraId="1E8065CE" w14:textId="6939922C" w:rsidR="006B2AA3" w:rsidRPr="00CB513F" w:rsidRDefault="004C38C0" w:rsidP="00153308">
      <w:pPr>
        <w:pStyle w:val="ListParagraph"/>
        <w:numPr>
          <w:ilvl w:val="1"/>
          <w:numId w:val="6"/>
        </w:numPr>
        <w:jc w:val="both"/>
        <w:rPr>
          <w:rFonts w:ascii="Times New Roman" w:eastAsia="Calibri" w:hAnsi="Times New Roman" w:cs="Times New Roman"/>
          <w:color w:val="000000" w:themeColor="text2"/>
          <w:szCs w:val="24"/>
        </w:rPr>
      </w:pPr>
      <w:r w:rsidRPr="00CB513F">
        <w:rPr>
          <w:rFonts w:ascii="Times New Roman" w:eastAsia="Calibri" w:hAnsi="Times New Roman" w:cs="Times New Roman"/>
          <w:b/>
          <w:bCs/>
          <w:color w:val="000000" w:themeColor="text2"/>
          <w:szCs w:val="24"/>
        </w:rPr>
        <w:t xml:space="preserve">Implementation </w:t>
      </w:r>
      <w:r w:rsidR="00A74DF2" w:rsidRPr="00CB513F">
        <w:rPr>
          <w:rFonts w:ascii="Times New Roman" w:eastAsia="Calibri" w:hAnsi="Times New Roman" w:cs="Times New Roman"/>
          <w:b/>
          <w:bCs/>
          <w:color w:val="000000" w:themeColor="text2"/>
          <w:szCs w:val="24"/>
        </w:rPr>
        <w:t>Provider:</w:t>
      </w:r>
      <w:r w:rsidR="00A74DF2" w:rsidRPr="00CB513F">
        <w:rPr>
          <w:rFonts w:ascii="Times New Roman" w:eastAsia="Calibri" w:hAnsi="Times New Roman" w:cs="Times New Roman"/>
          <w:color w:val="000000" w:themeColor="text2"/>
          <w:szCs w:val="24"/>
        </w:rPr>
        <w:t xml:space="preserve"> Apart from the ongoing provision of standard </w:t>
      </w:r>
      <w:r w:rsidR="00F81D8E" w:rsidRPr="00CB513F">
        <w:rPr>
          <w:rFonts w:ascii="Times New Roman" w:eastAsia="Calibri" w:hAnsi="Times New Roman" w:cs="Times New Roman"/>
          <w:color w:val="000000" w:themeColor="text2"/>
          <w:szCs w:val="24"/>
        </w:rPr>
        <w:t>WIOA services</w:t>
      </w:r>
      <w:r w:rsidR="006C5B5E" w:rsidRPr="00CB513F">
        <w:rPr>
          <w:rFonts w:ascii="Times New Roman" w:eastAsia="Calibri" w:hAnsi="Times New Roman" w:cs="Times New Roman"/>
          <w:color w:val="000000" w:themeColor="text2"/>
          <w:szCs w:val="24"/>
        </w:rPr>
        <w:t xml:space="preserve"> (which will continue</w:t>
      </w:r>
      <w:r w:rsidR="00C21299" w:rsidRPr="00CB513F">
        <w:rPr>
          <w:rFonts w:ascii="Times New Roman" w:eastAsia="Calibri" w:hAnsi="Times New Roman" w:cs="Times New Roman"/>
          <w:color w:val="000000" w:themeColor="text2"/>
          <w:szCs w:val="24"/>
        </w:rPr>
        <w:t xml:space="preserve"> in all AJCs)</w:t>
      </w:r>
      <w:r w:rsidR="00A74DF2" w:rsidRPr="00CB513F">
        <w:rPr>
          <w:rFonts w:ascii="Times New Roman" w:eastAsia="Calibri" w:hAnsi="Times New Roman" w:cs="Times New Roman"/>
          <w:color w:val="000000" w:themeColor="text2"/>
          <w:szCs w:val="24"/>
        </w:rPr>
        <w:t xml:space="preserve">, the DEDC/WDP </w:t>
      </w:r>
      <w:r w:rsidR="006C5B5E" w:rsidRPr="00CB513F">
        <w:rPr>
          <w:rFonts w:ascii="Times New Roman" w:eastAsia="Calibri" w:hAnsi="Times New Roman" w:cs="Times New Roman"/>
          <w:color w:val="000000" w:themeColor="text2"/>
          <w:szCs w:val="24"/>
        </w:rPr>
        <w:t xml:space="preserve">is in the process </w:t>
      </w:r>
      <w:r w:rsidR="00E816AC" w:rsidRPr="00CB513F">
        <w:rPr>
          <w:rFonts w:ascii="Times New Roman" w:eastAsia="Calibri" w:hAnsi="Times New Roman" w:cs="Times New Roman"/>
          <w:color w:val="000000" w:themeColor="text2"/>
          <w:szCs w:val="24"/>
        </w:rPr>
        <w:t xml:space="preserve">to </w:t>
      </w:r>
      <w:r w:rsidR="00A74DF2" w:rsidRPr="00CB513F">
        <w:rPr>
          <w:rFonts w:ascii="Times New Roman" w:eastAsia="Calibri" w:hAnsi="Times New Roman" w:cs="Times New Roman"/>
          <w:color w:val="000000" w:themeColor="text2"/>
          <w:szCs w:val="24"/>
        </w:rPr>
        <w:t>select</w:t>
      </w:r>
      <w:r w:rsidR="00E816AC" w:rsidRPr="00CB513F">
        <w:rPr>
          <w:rFonts w:ascii="Times New Roman" w:eastAsia="Calibri" w:hAnsi="Times New Roman" w:cs="Times New Roman"/>
          <w:color w:val="000000" w:themeColor="text2"/>
          <w:szCs w:val="24"/>
        </w:rPr>
        <w:t xml:space="preserve"> </w:t>
      </w:r>
      <w:r w:rsidR="00A74DF2" w:rsidRPr="00CB513F">
        <w:rPr>
          <w:rFonts w:ascii="Times New Roman" w:eastAsia="Calibri" w:hAnsi="Times New Roman" w:cs="Times New Roman"/>
          <w:color w:val="000000" w:themeColor="text2"/>
          <w:szCs w:val="24"/>
        </w:rPr>
        <w:t>a</w:t>
      </w:r>
      <w:r w:rsidR="00E816AC" w:rsidRPr="00CB513F">
        <w:rPr>
          <w:rFonts w:ascii="Times New Roman" w:eastAsia="Calibri" w:hAnsi="Times New Roman" w:cs="Times New Roman"/>
          <w:color w:val="000000" w:themeColor="text2"/>
          <w:szCs w:val="24"/>
        </w:rPr>
        <w:t>n external</w:t>
      </w:r>
      <w:r w:rsidR="00A74DF2" w:rsidRPr="00CB513F">
        <w:rPr>
          <w:rFonts w:ascii="Times New Roman" w:eastAsia="Calibri" w:hAnsi="Times New Roman" w:cs="Times New Roman"/>
          <w:color w:val="000000" w:themeColor="text2"/>
          <w:szCs w:val="24"/>
        </w:rPr>
        <w:t xml:space="preserve"> provider of job search and support services from a pool of nationally recognized organizations. Once contracted, the provider will be furnished a monthly list of clients who have recently had a programmatic exit from WIOA. Subsequently, the entity will initiate contact with individuals</w:t>
      </w:r>
      <w:r w:rsidR="00263842" w:rsidRPr="00CB513F">
        <w:rPr>
          <w:rFonts w:ascii="Times New Roman" w:eastAsia="Calibri" w:hAnsi="Times New Roman" w:cs="Times New Roman"/>
          <w:color w:val="000000" w:themeColor="text2"/>
          <w:szCs w:val="24"/>
        </w:rPr>
        <w:t xml:space="preserve"> randomly assigned to treatment</w:t>
      </w:r>
      <w:r w:rsidR="00A74DF2" w:rsidRPr="00CB513F">
        <w:rPr>
          <w:rFonts w:ascii="Times New Roman" w:eastAsia="Calibri" w:hAnsi="Times New Roman" w:cs="Times New Roman"/>
          <w:color w:val="000000" w:themeColor="text2"/>
          <w:szCs w:val="24"/>
        </w:rPr>
        <w:t>, extending a range of job search assistance services as part of their offerings.</w:t>
      </w:r>
      <w:r w:rsidR="00B92115" w:rsidRPr="00CB513F">
        <w:rPr>
          <w:rFonts w:ascii="Times New Roman" w:eastAsia="Calibri" w:hAnsi="Times New Roman" w:cs="Times New Roman"/>
          <w:color w:val="000000" w:themeColor="text2"/>
          <w:szCs w:val="24"/>
        </w:rPr>
        <w:t xml:space="preserve"> </w:t>
      </w:r>
    </w:p>
    <w:p w14:paraId="5ED88F98" w14:textId="51F8CC8A" w:rsidR="00A74DF2" w:rsidRPr="00CB513F" w:rsidRDefault="00FD57BA" w:rsidP="00153308">
      <w:pPr>
        <w:pStyle w:val="ListParagraph"/>
        <w:numPr>
          <w:ilvl w:val="1"/>
          <w:numId w:val="6"/>
        </w:numPr>
        <w:jc w:val="both"/>
        <w:rPr>
          <w:rFonts w:ascii="Times New Roman" w:eastAsia="Calibri" w:hAnsi="Times New Roman" w:cs="Times New Roman"/>
          <w:color w:val="000000" w:themeColor="text2"/>
          <w:szCs w:val="24"/>
        </w:rPr>
      </w:pPr>
      <w:r w:rsidRPr="00CB513F">
        <w:rPr>
          <w:rFonts w:ascii="Times New Roman" w:eastAsia="Calibri" w:hAnsi="Times New Roman" w:cs="Times New Roman"/>
          <w:b/>
          <w:bCs/>
          <w:color w:val="000000" w:themeColor="text2"/>
          <w:szCs w:val="24"/>
        </w:rPr>
        <w:t>Treatment</w:t>
      </w:r>
      <w:r w:rsidR="00A74DF2" w:rsidRPr="00CB513F">
        <w:rPr>
          <w:rFonts w:ascii="Times New Roman" w:eastAsia="Calibri" w:hAnsi="Times New Roman" w:cs="Times New Roman"/>
          <w:b/>
          <w:bCs/>
          <w:color w:val="000000" w:themeColor="text2"/>
          <w:szCs w:val="24"/>
        </w:rPr>
        <w:t>:</w:t>
      </w:r>
      <w:r w:rsidR="00A74DF2" w:rsidRPr="00CB513F">
        <w:rPr>
          <w:rFonts w:ascii="Times New Roman" w:eastAsia="Calibri" w:hAnsi="Times New Roman" w:cs="Times New Roman"/>
          <w:color w:val="000000" w:themeColor="text2"/>
          <w:szCs w:val="24"/>
        </w:rPr>
        <w:t xml:space="preserve"> </w:t>
      </w:r>
      <w:r w:rsidR="003E6761" w:rsidRPr="00CB513F">
        <w:rPr>
          <w:rFonts w:ascii="Times New Roman" w:eastAsia="Calibri" w:hAnsi="Times New Roman" w:cs="Times New Roman"/>
          <w:color w:val="000000" w:themeColor="text2"/>
          <w:szCs w:val="24"/>
        </w:rPr>
        <w:t>Differentiated s</w:t>
      </w:r>
      <w:r w:rsidR="00A74DF2" w:rsidRPr="00CB513F">
        <w:rPr>
          <w:rFonts w:ascii="Times New Roman" w:eastAsia="Calibri" w:hAnsi="Times New Roman" w:cs="Times New Roman"/>
          <w:color w:val="000000" w:themeColor="text2"/>
          <w:szCs w:val="24"/>
        </w:rPr>
        <w:t xml:space="preserve">ervices will include: (i) the development and implementation of individual action plans (Abel, Burger, Caranza, 2019), (ii) disseminating local and broader job opportunities to clients (Abebe </w:t>
      </w:r>
      <w:r w:rsidR="00A74DF2" w:rsidRPr="00CB513F">
        <w:rPr>
          <w:rFonts w:ascii="Times New Roman" w:eastAsia="Calibri" w:hAnsi="Times New Roman" w:cs="Times New Roman"/>
          <w:i/>
          <w:iCs/>
          <w:color w:val="000000" w:themeColor="text2"/>
          <w:szCs w:val="24"/>
        </w:rPr>
        <w:t>et al</w:t>
      </w:r>
      <w:r w:rsidR="00A74DF2" w:rsidRPr="00CB513F">
        <w:rPr>
          <w:rFonts w:ascii="Times New Roman" w:eastAsia="Calibri" w:hAnsi="Times New Roman" w:cs="Times New Roman"/>
          <w:color w:val="000000" w:themeColor="text2"/>
          <w:szCs w:val="24"/>
        </w:rPr>
        <w:t xml:space="preserve">., 2020), (iii) providing information regarding high-demand occupations, earnings, and skill requirements to broaden their search horizons (Belot, Kircher, </w:t>
      </w:r>
      <w:r w:rsidR="00A74DF2" w:rsidRPr="00CB513F">
        <w:rPr>
          <w:rFonts w:ascii="Times New Roman" w:eastAsia="Calibri" w:hAnsi="Times New Roman" w:cs="Times New Roman"/>
          <w:color w:val="000000" w:themeColor="text2"/>
          <w:szCs w:val="24"/>
        </w:rPr>
        <w:lastRenderedPageBreak/>
        <w:t>Muller, 2018), (iv) offering instruction on effectively utilizing job search engines, (v) assistance in crafting resumés, interview preparation, and showcasing their skills (Bassi and Nansamba, 2021), and facilitating opportunities for career advancement. Once employment is secured, (vi) clients will receive guidance to address job retention challenges and the necessary support for advancing their careers over the next six months.</w:t>
      </w:r>
      <w:r w:rsidR="00302604" w:rsidRPr="00CB513F">
        <w:rPr>
          <w:rFonts w:ascii="Times New Roman" w:eastAsia="Calibri" w:hAnsi="Times New Roman" w:cs="Times New Roman"/>
          <w:color w:val="000000" w:themeColor="text2"/>
          <w:szCs w:val="24"/>
        </w:rPr>
        <w:t xml:space="preserve"> </w:t>
      </w:r>
      <w:r w:rsidR="006057E6" w:rsidRPr="00CB513F">
        <w:rPr>
          <w:rFonts w:ascii="Times New Roman" w:eastAsia="Calibri" w:hAnsi="Times New Roman" w:cs="Times New Roman"/>
          <w:color w:val="000000" w:themeColor="text2"/>
          <w:szCs w:val="24"/>
        </w:rPr>
        <w:t>Th</w:t>
      </w:r>
      <w:r w:rsidR="00302604" w:rsidRPr="00CB513F">
        <w:rPr>
          <w:rFonts w:ascii="Times New Roman" w:eastAsia="Calibri" w:hAnsi="Times New Roman" w:cs="Times New Roman"/>
          <w:color w:val="000000" w:themeColor="text2"/>
          <w:szCs w:val="24"/>
        </w:rPr>
        <w:t>e aim of this intervention is to implement a tailored, differentiated, and hands-on approach to job placement assistance and coaching that surpasses the quality of the conventional career services usually provided at AJCs. The emphasis on intensive job coaching and support services stems from the remarkably favorable outcomes reported in the Canadian Self-Sufficiency Project Plus, guiding the recommendation towards maximizing impact.</w:t>
      </w:r>
    </w:p>
    <w:p w14:paraId="1C6B80F2" w14:textId="54A82FAD" w:rsidR="007A051E" w:rsidRPr="00462D70" w:rsidRDefault="00A74DF2" w:rsidP="00153308">
      <w:pPr>
        <w:pStyle w:val="ListParagraph"/>
        <w:numPr>
          <w:ilvl w:val="1"/>
          <w:numId w:val="6"/>
        </w:numPr>
        <w:jc w:val="both"/>
        <w:rPr>
          <w:rFonts w:ascii="Times New Roman" w:eastAsia="Times New Roman" w:hAnsi="Times New Roman" w:cs="Times New Roman"/>
          <w:szCs w:val="24"/>
        </w:rPr>
      </w:pPr>
      <w:r w:rsidRPr="00CB513F">
        <w:rPr>
          <w:rFonts w:ascii="Times New Roman" w:eastAsia="Calibri" w:hAnsi="Times New Roman" w:cs="Times New Roman"/>
          <w:b/>
          <w:bCs/>
          <w:color w:val="000000" w:themeColor="text2"/>
          <w:szCs w:val="24"/>
          <w:lang w:val="en-CA"/>
        </w:rPr>
        <w:t xml:space="preserve">Target population: </w:t>
      </w:r>
      <w:r w:rsidRPr="00CB513F">
        <w:rPr>
          <w:rFonts w:ascii="Times New Roman" w:eastAsia="Calibri" w:hAnsi="Times New Roman" w:cs="Times New Roman"/>
          <w:color w:val="000000" w:themeColor="text2"/>
          <w:szCs w:val="24"/>
        </w:rPr>
        <w:t xml:space="preserve">The intervention is designed to benefit all eligible individuals who are exiting </w:t>
      </w:r>
      <w:r w:rsidR="00A915B3" w:rsidRPr="00CB513F">
        <w:rPr>
          <w:rFonts w:ascii="Times New Roman" w:eastAsia="Calibri" w:hAnsi="Times New Roman" w:cs="Times New Roman"/>
          <w:color w:val="000000" w:themeColor="text2"/>
          <w:szCs w:val="24"/>
        </w:rPr>
        <w:t xml:space="preserve">standard </w:t>
      </w:r>
      <w:r w:rsidRPr="00CB513F">
        <w:rPr>
          <w:rFonts w:ascii="Times New Roman" w:eastAsia="Calibri" w:hAnsi="Times New Roman" w:cs="Times New Roman"/>
          <w:color w:val="000000" w:themeColor="text2"/>
          <w:szCs w:val="24"/>
        </w:rPr>
        <w:t xml:space="preserve">WIOA </w:t>
      </w:r>
      <w:r w:rsidR="00A915B3" w:rsidRPr="00CB513F">
        <w:rPr>
          <w:rFonts w:ascii="Times New Roman" w:eastAsia="Calibri" w:hAnsi="Times New Roman" w:cs="Times New Roman"/>
          <w:color w:val="000000" w:themeColor="text2"/>
          <w:szCs w:val="24"/>
        </w:rPr>
        <w:t>programs</w:t>
      </w:r>
      <w:r w:rsidRPr="00CB513F">
        <w:rPr>
          <w:rFonts w:ascii="Times New Roman" w:eastAsia="Calibri" w:hAnsi="Times New Roman" w:cs="Times New Roman"/>
          <w:color w:val="000000" w:themeColor="text2"/>
          <w:szCs w:val="24"/>
        </w:rPr>
        <w:t xml:space="preserve">: Adults, Dislocated Workers, Wagner-Peyser Employment Services, and Youth. The WIOA Adults program primarily targets low-income individuals with skill deficiencies. The Dislocated Program aims to help workers who have lost their jobs due to mass layoffs, trade dynamics, or changes in the labor market’s structure. Wagner-Peyser is an employment exchange serving job-ready </w:t>
      </w:r>
      <w:r w:rsidRPr="00CB513F">
        <w:rPr>
          <w:rFonts w:ascii="Times New Roman" w:eastAsia="Calibri" w:hAnsi="Times New Roman" w:cs="Times New Roman"/>
          <w:color w:val="000000" w:themeColor="text2"/>
          <w:szCs w:val="24"/>
          <w:lang w:eastAsia="en-US" w:bidi="ar-SA"/>
        </w:rPr>
        <w:t xml:space="preserve">individuals. </w:t>
      </w:r>
      <w:r w:rsidR="00B141FC" w:rsidRPr="00CB513F">
        <w:rPr>
          <w:rFonts w:ascii="Times New Roman" w:eastAsia="Calibri" w:hAnsi="Times New Roman" w:cs="Times New Roman"/>
          <w:color w:val="000000" w:themeColor="text2"/>
          <w:szCs w:val="24"/>
        </w:rPr>
        <w:t xml:space="preserve">The WIOA Youth serves individuals aged 14-24 who face barriers to education, training, or employment. </w:t>
      </w:r>
      <w:r w:rsidRPr="00CB513F">
        <w:rPr>
          <w:rFonts w:ascii="Times New Roman" w:eastAsia="Calibri" w:hAnsi="Times New Roman" w:cs="Times New Roman"/>
          <w:color w:val="000000" w:themeColor="text2"/>
          <w:szCs w:val="24"/>
          <w:lang w:eastAsia="en-US" w:bidi="ar-SA"/>
        </w:rPr>
        <w:t xml:space="preserve">To avoid any potential conflicts, our sample will consist of individuals with a programmatic </w:t>
      </w:r>
      <w:r w:rsidR="00B141FC" w:rsidRPr="00CB513F">
        <w:rPr>
          <w:rFonts w:ascii="Times New Roman" w:eastAsia="Calibri" w:hAnsi="Times New Roman" w:cs="Times New Roman"/>
          <w:color w:val="000000" w:themeColor="text2"/>
          <w:szCs w:val="24"/>
          <w:lang w:eastAsia="en-US" w:bidi="ar-SA"/>
        </w:rPr>
        <w:t xml:space="preserve">WIOA </w:t>
      </w:r>
      <w:r w:rsidRPr="00CB513F">
        <w:rPr>
          <w:rFonts w:ascii="Times New Roman" w:eastAsia="Calibri" w:hAnsi="Times New Roman" w:cs="Times New Roman"/>
          <w:color w:val="000000" w:themeColor="text2"/>
          <w:szCs w:val="24"/>
          <w:lang w:eastAsia="en-US" w:bidi="ar-SA"/>
        </w:rPr>
        <w:t>exit record</w:t>
      </w:r>
      <w:r w:rsidR="00B141FC" w:rsidRPr="00CB513F">
        <w:rPr>
          <w:rFonts w:ascii="Times New Roman" w:eastAsia="Calibri" w:hAnsi="Times New Roman" w:cs="Times New Roman"/>
          <w:color w:val="000000" w:themeColor="text2"/>
          <w:szCs w:val="24"/>
          <w:lang w:eastAsia="en-US" w:bidi="ar-SA"/>
        </w:rPr>
        <w:t xml:space="preserve"> (</w:t>
      </w:r>
      <w:r w:rsidRPr="00CB513F">
        <w:rPr>
          <w:rFonts w:ascii="Times New Roman" w:eastAsia="Calibri" w:hAnsi="Times New Roman" w:cs="Times New Roman"/>
          <w:color w:val="000000" w:themeColor="text2"/>
          <w:szCs w:val="24"/>
          <w:lang w:eastAsia="en-US" w:bidi="ar-SA"/>
        </w:rPr>
        <w:t xml:space="preserve">. </w:t>
      </w:r>
      <w:r w:rsidRPr="00CB513F">
        <w:rPr>
          <w:rFonts w:ascii="Times New Roman" w:eastAsia="Calibri" w:hAnsi="Times New Roman" w:cs="Times New Roman"/>
          <w:kern w:val="0"/>
          <w:szCs w:val="24"/>
          <w:lang w:eastAsia="en-US" w:bidi="ar-SA"/>
        </w:rPr>
        <w:t xml:space="preserve">For reference, </w:t>
      </w:r>
      <w:r w:rsidRPr="00CB513F">
        <w:rPr>
          <w:rFonts w:ascii="Times New Roman" w:eastAsia="Calibri" w:hAnsi="Times New Roman" w:cs="Times New Roman"/>
          <w:color w:val="000000" w:themeColor="text2"/>
          <w:szCs w:val="24"/>
        </w:rPr>
        <w:t xml:space="preserve">in 2022, there were a total of 18,467 Title I </w:t>
      </w:r>
      <w:r w:rsidR="00E47600" w:rsidRPr="00CB513F">
        <w:rPr>
          <w:rFonts w:ascii="Times New Roman" w:eastAsia="Calibri" w:hAnsi="Times New Roman" w:cs="Times New Roman"/>
          <w:color w:val="000000" w:themeColor="text2"/>
          <w:szCs w:val="24"/>
        </w:rPr>
        <w:t xml:space="preserve">active </w:t>
      </w:r>
      <w:r w:rsidRPr="00CB513F">
        <w:rPr>
          <w:rFonts w:ascii="Times New Roman" w:eastAsia="Calibri" w:hAnsi="Times New Roman" w:cs="Times New Roman"/>
          <w:color w:val="000000" w:themeColor="text2"/>
          <w:szCs w:val="24"/>
        </w:rPr>
        <w:t>program participants (adults, dislocated workers, and youth)</w:t>
      </w:r>
      <w:r w:rsidR="009233A7" w:rsidRPr="00CB513F">
        <w:rPr>
          <w:rFonts w:ascii="Times New Roman" w:eastAsia="Calibri" w:hAnsi="Times New Roman" w:cs="Times New Roman"/>
          <w:color w:val="000000" w:themeColor="text2"/>
          <w:szCs w:val="24"/>
        </w:rPr>
        <w:t>.</w:t>
      </w:r>
      <w:r w:rsidR="009233A7" w:rsidRPr="00CB513F">
        <w:rPr>
          <w:rFonts w:ascii="Times New Roman" w:eastAsia="Times New Roman" w:hAnsi="Times New Roman" w:cs="Times New Roman"/>
          <w:b/>
          <w:bCs/>
          <w:szCs w:val="24"/>
        </w:rPr>
        <w:t xml:space="preserve"> </w:t>
      </w:r>
      <w:r w:rsidR="008678F4" w:rsidRPr="00CB513F">
        <w:rPr>
          <w:rFonts w:ascii="Times New Roman" w:eastAsia="Times New Roman" w:hAnsi="Times New Roman" w:cs="Times New Roman"/>
          <w:szCs w:val="24"/>
        </w:rPr>
        <w:t>Out of those,</w:t>
      </w:r>
      <w:r w:rsidR="009233A7" w:rsidRPr="00CB513F">
        <w:rPr>
          <w:rFonts w:ascii="Times New Roman" w:eastAsia="Times New Roman" w:hAnsi="Times New Roman" w:cs="Times New Roman"/>
          <w:szCs w:val="24"/>
        </w:rPr>
        <w:t xml:space="preserve"> there were 9,153 Title I program exits: 46% were from the Adults Program (n=4,251), 42% Dislocated Workers (n=3,845) and the remaining 12% Youth Program exits (n=1,057). In addition, there were 7,455 Wagner-Peyser (Title III) program exits. </w:t>
      </w:r>
      <w:r w:rsidRPr="00CB513F">
        <w:rPr>
          <w:rFonts w:ascii="Times New Roman" w:eastAsia="Calibri" w:hAnsi="Times New Roman" w:cs="Times New Roman"/>
          <w:color w:val="000000" w:themeColor="text2"/>
          <w:szCs w:val="24"/>
        </w:rPr>
        <w:t>Combining these two sub-groups, we have an annual pool of 18,000 potential clients</w:t>
      </w:r>
      <w:r w:rsidR="009233A7" w:rsidRPr="00CB513F">
        <w:rPr>
          <w:rFonts w:ascii="Times New Roman" w:eastAsia="Calibri" w:hAnsi="Times New Roman" w:cs="Times New Roman"/>
          <w:color w:val="000000" w:themeColor="text2"/>
          <w:szCs w:val="24"/>
        </w:rPr>
        <w:t xml:space="preserve"> (those with an exit record)</w:t>
      </w:r>
      <w:r w:rsidRPr="00CB513F">
        <w:rPr>
          <w:rFonts w:ascii="Times New Roman" w:eastAsia="Calibri" w:hAnsi="Times New Roman" w:cs="Times New Roman"/>
          <w:color w:val="000000" w:themeColor="text2"/>
          <w:szCs w:val="24"/>
        </w:rPr>
        <w:t>. Thus, we estimate an average monthly flow of 1,500 individuals that could be randomized into treatment and control</w:t>
      </w:r>
      <w:r w:rsidR="00A447CB" w:rsidRPr="00CB513F">
        <w:rPr>
          <w:rFonts w:ascii="Times New Roman" w:eastAsia="Calibri" w:hAnsi="Times New Roman" w:cs="Times New Roman"/>
          <w:color w:val="000000" w:themeColor="text2"/>
          <w:szCs w:val="24"/>
        </w:rPr>
        <w:t xml:space="preserve"> (targeted monthly sample size)</w:t>
      </w:r>
      <w:r w:rsidRPr="00CB513F">
        <w:rPr>
          <w:rFonts w:ascii="Times New Roman" w:eastAsia="Calibri" w:hAnsi="Times New Roman" w:cs="Times New Roman"/>
          <w:color w:val="000000" w:themeColor="text2"/>
          <w:szCs w:val="24"/>
        </w:rPr>
        <w:t>. It is important to note that the intervention’s capacity is further constrained by the selected provider’s ability to cater to a specific number of clients monthly.</w:t>
      </w:r>
      <w:r w:rsidR="00F24CF2" w:rsidRPr="00CB513F">
        <w:rPr>
          <w:rFonts w:ascii="Times New Roman" w:eastAsia="Calibri" w:hAnsi="Times New Roman" w:cs="Times New Roman"/>
          <w:color w:val="000000" w:themeColor="text2"/>
          <w:szCs w:val="24"/>
        </w:rPr>
        <w:t xml:space="preserve"> </w:t>
      </w:r>
    </w:p>
    <w:p w14:paraId="4FB0FFFC" w14:textId="77777777" w:rsidR="00462D70" w:rsidRPr="00462D70" w:rsidRDefault="00462D70" w:rsidP="00153308">
      <w:pPr>
        <w:jc w:val="both"/>
        <w:rPr>
          <w:rFonts w:ascii="Times New Roman" w:eastAsia="Times New Roman" w:hAnsi="Times New Roman" w:cs="Times New Roman"/>
        </w:rPr>
      </w:pPr>
    </w:p>
    <w:p w14:paraId="05EAB73C" w14:textId="292FAC63" w:rsidR="00501CCF" w:rsidRPr="00CB513F" w:rsidRDefault="00FD57BA"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t>Study</w:t>
      </w:r>
      <w:r w:rsidR="00501CCF" w:rsidRPr="00CB513F">
        <w:rPr>
          <w:rFonts w:ascii="Times New Roman" w:eastAsia="Times New Roman" w:hAnsi="Times New Roman" w:cs="Times New Roman"/>
          <w:b/>
          <w:bCs/>
          <w:szCs w:val="24"/>
        </w:rPr>
        <w:t xml:space="preserve"> Design</w:t>
      </w:r>
    </w:p>
    <w:p w14:paraId="1F215127" w14:textId="05557D1D" w:rsidR="00462D70" w:rsidRPr="00462D70" w:rsidRDefault="00B141FC" w:rsidP="00153308">
      <w:pPr>
        <w:pStyle w:val="ListParagraph"/>
        <w:numPr>
          <w:ilvl w:val="1"/>
          <w:numId w:val="6"/>
        </w:numPr>
        <w:suppressAutoHyphens w:val="0"/>
        <w:rPr>
          <w:rFonts w:ascii="Garamond" w:eastAsia="Times New Roman" w:hAnsi="Garamond" w:cs="Times New Roman"/>
          <w:color w:val="212121"/>
          <w:kern w:val="0"/>
          <w:lang w:eastAsia="en-US" w:bidi="ar-SA"/>
        </w:rPr>
      </w:pPr>
      <w:r w:rsidRPr="00462D70">
        <w:rPr>
          <w:rFonts w:ascii="Times New Roman" w:hAnsi="Times New Roman" w:cs="Times New Roman"/>
          <w:b/>
          <w:bCs/>
          <w:szCs w:val="24"/>
        </w:rPr>
        <w:t>Sample</w:t>
      </w:r>
      <w:r w:rsidR="00501CCF" w:rsidRPr="00462D70">
        <w:rPr>
          <w:rFonts w:ascii="Times New Roman" w:hAnsi="Times New Roman" w:cs="Times New Roman"/>
          <w:b/>
          <w:bCs/>
          <w:szCs w:val="24"/>
        </w:rPr>
        <w:t xml:space="preserve">: </w:t>
      </w:r>
      <w:r w:rsidR="00A447CB" w:rsidRPr="00462D70">
        <w:rPr>
          <w:rFonts w:ascii="Times New Roman" w:eastAsia="Calibri" w:hAnsi="Times New Roman" w:cs="Times New Roman"/>
          <w:color w:val="000000" w:themeColor="text2"/>
        </w:rPr>
        <w:t xml:space="preserve">On a monthly basis, the target sample size will be </w:t>
      </w:r>
      <w:r w:rsidR="00D51F6E" w:rsidRPr="00462D70">
        <w:rPr>
          <w:rFonts w:ascii="Times New Roman" w:eastAsia="Calibri" w:hAnsi="Times New Roman" w:cs="Times New Roman"/>
          <w:color w:val="000000" w:themeColor="text2"/>
        </w:rPr>
        <w:t xml:space="preserve">approximately </w:t>
      </w:r>
      <w:r w:rsidR="00A447CB" w:rsidRPr="00462D70">
        <w:rPr>
          <w:rFonts w:ascii="Times New Roman" w:eastAsia="Calibri" w:hAnsi="Times New Roman" w:cs="Times New Roman"/>
          <w:color w:val="000000" w:themeColor="text2"/>
        </w:rPr>
        <w:t>1,500 individuals (</w:t>
      </w:r>
      <w:r w:rsidR="00C16E8E" w:rsidRPr="00462D70">
        <w:rPr>
          <w:rFonts w:ascii="Times New Roman" w:eastAsia="Calibri" w:hAnsi="Times New Roman" w:cs="Times New Roman"/>
          <w:color w:val="000000" w:themeColor="text2"/>
        </w:rPr>
        <w:t xml:space="preserve">average </w:t>
      </w:r>
      <w:r w:rsidR="00462D70" w:rsidRPr="00462D70">
        <w:rPr>
          <w:rFonts w:ascii="Times New Roman" w:eastAsia="Calibri" w:hAnsi="Times New Roman" w:cs="Times New Roman"/>
          <w:color w:val="000000" w:themeColor="text2"/>
        </w:rPr>
        <w:t xml:space="preserve">monthly </w:t>
      </w:r>
      <w:r w:rsidR="00A447CB" w:rsidRPr="00462D70">
        <w:rPr>
          <w:rFonts w:ascii="Times New Roman" w:eastAsia="Calibri" w:hAnsi="Times New Roman" w:cs="Times New Roman"/>
          <w:color w:val="000000" w:themeColor="text2"/>
        </w:rPr>
        <w:t>number of potential subjects with a WIOA exit record that could be randomized</w:t>
      </w:r>
      <w:r w:rsidR="00A447CB" w:rsidRPr="00462D70">
        <w:rPr>
          <w:rFonts w:ascii="Times New Roman" w:eastAsia="Calibri" w:hAnsi="Times New Roman" w:cs="Times New Roman"/>
          <w:color w:val="000000" w:themeColor="text2"/>
          <w:lang w:eastAsia="en-US" w:bidi="ar-SA"/>
        </w:rPr>
        <w:t xml:space="preserve"> into treatment and control</w:t>
      </w:r>
      <w:r w:rsidR="00462D70" w:rsidRPr="00462D70">
        <w:rPr>
          <w:rFonts w:ascii="Times New Roman" w:eastAsia="Calibri" w:hAnsi="Times New Roman" w:cs="Times New Roman"/>
          <w:color w:val="000000" w:themeColor="text2"/>
          <w:lang w:eastAsia="en-US" w:bidi="ar-SA"/>
        </w:rPr>
        <w:t xml:space="preserve"> based on annual figures</w:t>
      </w:r>
      <w:r w:rsidR="00A447CB" w:rsidRPr="00462D70">
        <w:rPr>
          <w:rFonts w:ascii="Times New Roman" w:eastAsia="Calibri" w:hAnsi="Times New Roman" w:cs="Times New Roman"/>
          <w:color w:val="000000" w:themeColor="text2"/>
          <w:lang w:eastAsia="en-US" w:bidi="ar-SA"/>
        </w:rPr>
        <w:t>). The actual number may vary and deviate from the monthly targeted sample size; regardless, it will also be limited by the provider’s capacity.</w:t>
      </w:r>
      <w:r w:rsidR="00067F51" w:rsidRPr="00462D70">
        <w:rPr>
          <w:rFonts w:ascii="Times New Roman" w:eastAsia="Calibri" w:hAnsi="Times New Roman" w:cs="Times New Roman"/>
          <w:color w:val="000000" w:themeColor="text2"/>
          <w:lang w:eastAsia="en-US" w:bidi="ar-SA"/>
        </w:rPr>
        <w:t xml:space="preserve"> </w:t>
      </w:r>
      <w:r w:rsidR="00067F51" w:rsidRPr="00462D70">
        <w:rPr>
          <w:rFonts w:ascii="Times New Roman" w:eastAsia="Calibri" w:hAnsi="Times New Roman" w:cs="Times New Roman"/>
          <w:color w:val="000000" w:themeColor="text2"/>
        </w:rPr>
        <w:t>Finally, the government agency is open to running the intervention over a longer period, up to 18 months, which might increase the sample size accordingly.</w:t>
      </w:r>
    </w:p>
    <w:p w14:paraId="02BA31DB" w14:textId="5F83CB60" w:rsidR="00462D70" w:rsidRPr="00067618" w:rsidRDefault="00501CCF" w:rsidP="00153308">
      <w:pPr>
        <w:pStyle w:val="ListParagraph"/>
        <w:numPr>
          <w:ilvl w:val="1"/>
          <w:numId w:val="6"/>
        </w:numPr>
        <w:jc w:val="both"/>
        <w:rPr>
          <w:rFonts w:ascii="Times New Roman" w:eastAsia="Calibri" w:hAnsi="Times New Roman" w:cs="Times New Roman"/>
          <w:szCs w:val="24"/>
          <w:lang w:eastAsia="en-US" w:bidi="ar-SA"/>
        </w:rPr>
      </w:pPr>
      <w:r w:rsidRPr="00CB513F">
        <w:rPr>
          <w:rFonts w:ascii="Times New Roman" w:hAnsi="Times New Roman" w:cs="Times New Roman"/>
          <w:b/>
          <w:bCs/>
          <w:szCs w:val="24"/>
        </w:rPr>
        <w:t xml:space="preserve">Randomization: </w:t>
      </w:r>
      <w:r w:rsidR="00462D70" w:rsidRPr="00462D70">
        <w:rPr>
          <w:rFonts w:ascii="Times New Roman" w:hAnsi="Times New Roman" w:cs="Times New Roman"/>
          <w:lang w:bidi="ar-SA"/>
        </w:rPr>
        <w:t xml:space="preserve">On a monthly basis, the government partner agency’s data services provider will release a list of all WIOA Title I and Title III program participants with an exit record. </w:t>
      </w:r>
      <w:r w:rsidR="00462D70" w:rsidRPr="00462D70">
        <w:rPr>
          <w:rFonts w:ascii="Times New Roman" w:eastAsia="Times New Roman" w:hAnsi="Times New Roman" w:cs="Times New Roman"/>
          <w:color w:val="212121"/>
          <w:kern w:val="0"/>
          <w:lang w:eastAsia="en-US" w:bidi="ar-SA"/>
        </w:rPr>
        <w:t xml:space="preserve">An official from the partner agency will the execute a code that will stratify participants by gender and WIOA program of exit category (Adult, Dislocated Worker, Youth, and Wagner-Peyser). Within each stratum, an equal number of clients will be assigned to treatment and control. Once randomized, only the subset assigned to treatment will be shared with the contracted external provider to initiate contacts, thereby ensuring the integrity of the control group. This process will be repeated in each of the subsequent months throughout the intervention period. </w:t>
      </w:r>
      <w:r w:rsidR="00462D70" w:rsidRPr="00462D70">
        <w:rPr>
          <w:rFonts w:ascii="Times New Roman" w:eastAsia="Calibri" w:hAnsi="Times New Roman" w:cs="Times New Roman"/>
          <w:lang w:eastAsia="en-US" w:bidi="ar-SA"/>
        </w:rPr>
        <w:t>The treatment allocation (P) may have to be adjusted to avoid exceeding the capacity of the external service provider.</w:t>
      </w:r>
    </w:p>
    <w:p w14:paraId="0583DDC4" w14:textId="77777777" w:rsidR="00067618" w:rsidRDefault="00067618" w:rsidP="00067618">
      <w:pPr>
        <w:jc w:val="both"/>
        <w:rPr>
          <w:rFonts w:ascii="Times New Roman" w:eastAsia="Calibri" w:hAnsi="Times New Roman" w:cs="Times New Roman"/>
          <w:lang w:eastAsia="en-US" w:bidi="ar-SA"/>
        </w:rPr>
      </w:pPr>
    </w:p>
    <w:p w14:paraId="50B54E8A" w14:textId="77777777" w:rsidR="00067618" w:rsidRDefault="00067618" w:rsidP="00067618">
      <w:pPr>
        <w:jc w:val="both"/>
        <w:rPr>
          <w:rFonts w:ascii="Times New Roman" w:eastAsia="Calibri" w:hAnsi="Times New Roman" w:cs="Times New Roman"/>
          <w:lang w:eastAsia="en-US" w:bidi="ar-SA"/>
        </w:rPr>
      </w:pPr>
    </w:p>
    <w:p w14:paraId="5B4EEBA5" w14:textId="77777777" w:rsidR="00067618" w:rsidRDefault="00067618" w:rsidP="00067618">
      <w:pPr>
        <w:jc w:val="both"/>
        <w:rPr>
          <w:rFonts w:ascii="Times New Roman" w:eastAsia="Calibri" w:hAnsi="Times New Roman" w:cs="Times New Roman"/>
          <w:lang w:eastAsia="en-US" w:bidi="ar-SA"/>
        </w:rPr>
      </w:pPr>
    </w:p>
    <w:p w14:paraId="577FD8A7" w14:textId="77777777" w:rsidR="00067618" w:rsidRPr="00067618" w:rsidRDefault="00067618" w:rsidP="00067618">
      <w:pPr>
        <w:jc w:val="both"/>
        <w:rPr>
          <w:rFonts w:ascii="Times New Roman" w:eastAsia="Calibri" w:hAnsi="Times New Roman" w:cs="Times New Roman"/>
          <w:lang w:eastAsia="en-US" w:bidi="ar-SA"/>
        </w:rPr>
      </w:pPr>
    </w:p>
    <w:p w14:paraId="2A6E1DCF" w14:textId="77777777" w:rsidR="00817DFF" w:rsidRPr="00CB513F" w:rsidRDefault="00817DFF" w:rsidP="00153308">
      <w:pPr>
        <w:pStyle w:val="ListParagraph"/>
        <w:numPr>
          <w:ilvl w:val="0"/>
          <w:numId w:val="6"/>
        </w:numPr>
        <w:jc w:val="both"/>
        <w:rPr>
          <w:rFonts w:ascii="Times New Roman" w:eastAsia="Calibri" w:hAnsi="Times New Roman" w:cs="Times New Roman"/>
          <w:b/>
          <w:bCs/>
          <w:szCs w:val="24"/>
          <w:lang w:eastAsia="en-US" w:bidi="ar-SA"/>
        </w:rPr>
      </w:pPr>
      <w:r w:rsidRPr="00CB513F">
        <w:rPr>
          <w:rFonts w:ascii="Times New Roman" w:eastAsia="Calibri" w:hAnsi="Times New Roman" w:cs="Times New Roman"/>
          <w:b/>
          <w:bCs/>
          <w:szCs w:val="24"/>
          <w:lang w:eastAsia="en-US" w:bidi="ar-SA"/>
        </w:rPr>
        <w:lastRenderedPageBreak/>
        <w:t>Research Questions</w:t>
      </w:r>
    </w:p>
    <w:p w14:paraId="4997761D" w14:textId="659F5198" w:rsidR="00817DFF" w:rsidRPr="00CB513F" w:rsidRDefault="00817DFF" w:rsidP="00153308">
      <w:pPr>
        <w:pStyle w:val="ListParagraph"/>
        <w:numPr>
          <w:ilvl w:val="1"/>
          <w:numId w:val="6"/>
        </w:numPr>
        <w:jc w:val="both"/>
        <w:rPr>
          <w:rFonts w:ascii="Times New Roman" w:hAnsi="Times New Roman" w:cs="Times New Roman"/>
          <w:szCs w:val="24"/>
        </w:rPr>
      </w:pPr>
      <w:r w:rsidRPr="00CB513F">
        <w:rPr>
          <w:rFonts w:ascii="Times New Roman" w:eastAsia="Times New Roman" w:hAnsi="Times New Roman" w:cs="Times New Roman"/>
          <w:szCs w:val="24"/>
        </w:rPr>
        <w:t>Our study addresses the following primary research questions:</w:t>
      </w:r>
    </w:p>
    <w:p w14:paraId="648C9A9B" w14:textId="50ECDECD" w:rsidR="00817DFF" w:rsidRPr="00CB513F" w:rsidRDefault="00817DFF" w:rsidP="00153308">
      <w:pPr>
        <w:pStyle w:val="ListParagraph"/>
        <w:numPr>
          <w:ilvl w:val="2"/>
          <w:numId w:val="14"/>
        </w:numPr>
        <w:jc w:val="both"/>
        <w:rPr>
          <w:rFonts w:ascii="Times New Roman" w:hAnsi="Times New Roman" w:cs="Times New Roman"/>
          <w:szCs w:val="24"/>
        </w:rPr>
      </w:pPr>
      <w:r w:rsidRPr="00CB513F">
        <w:rPr>
          <w:rFonts w:ascii="Times New Roman" w:eastAsia="Times New Roman" w:hAnsi="Times New Roman" w:cs="Times New Roman"/>
          <w:szCs w:val="24"/>
        </w:rPr>
        <w:t>How does the intervention impact employment status two and four quarters after exiting WIOA programs?</w:t>
      </w:r>
    </w:p>
    <w:p w14:paraId="01140780" w14:textId="4090DE3C" w:rsidR="00817DFF" w:rsidRPr="00CB513F" w:rsidRDefault="00817DFF" w:rsidP="00153308">
      <w:pPr>
        <w:pStyle w:val="ListParagraph"/>
        <w:numPr>
          <w:ilvl w:val="2"/>
          <w:numId w:val="14"/>
        </w:numPr>
        <w:jc w:val="both"/>
        <w:rPr>
          <w:rFonts w:ascii="Times New Roman" w:hAnsi="Times New Roman" w:cs="Times New Roman"/>
          <w:szCs w:val="24"/>
        </w:rPr>
      </w:pPr>
      <w:r w:rsidRPr="00CB513F">
        <w:rPr>
          <w:rFonts w:ascii="Times New Roman" w:eastAsia="Times New Roman" w:hAnsi="Times New Roman" w:cs="Times New Roman"/>
          <w:szCs w:val="24"/>
        </w:rPr>
        <w:t>How does the intervention impact earnings two</w:t>
      </w:r>
      <w:r w:rsidR="00D63121">
        <w:rPr>
          <w:rFonts w:ascii="Times New Roman" w:eastAsia="Times New Roman" w:hAnsi="Times New Roman" w:cs="Times New Roman"/>
          <w:szCs w:val="24"/>
        </w:rPr>
        <w:t xml:space="preserve"> </w:t>
      </w:r>
      <w:r w:rsidRPr="00CB513F">
        <w:rPr>
          <w:rFonts w:ascii="Times New Roman" w:eastAsia="Times New Roman" w:hAnsi="Times New Roman" w:cs="Times New Roman"/>
          <w:szCs w:val="24"/>
        </w:rPr>
        <w:t>and four quarters after exiting WIOA programs?</w:t>
      </w:r>
    </w:p>
    <w:p w14:paraId="0C64E0BF" w14:textId="1F6B9688" w:rsidR="00817DFF" w:rsidRPr="00CB513F" w:rsidRDefault="00817DFF" w:rsidP="00153308">
      <w:pPr>
        <w:pStyle w:val="ListParagraph"/>
        <w:numPr>
          <w:ilvl w:val="2"/>
          <w:numId w:val="14"/>
        </w:numPr>
        <w:jc w:val="both"/>
        <w:rPr>
          <w:rFonts w:ascii="Times New Roman" w:eastAsia="Times New Roman" w:hAnsi="Times New Roman" w:cs="Times New Roman"/>
          <w:szCs w:val="24"/>
        </w:rPr>
      </w:pPr>
      <w:r w:rsidRPr="00CB513F">
        <w:rPr>
          <w:rFonts w:ascii="Times New Roman" w:eastAsia="Times New Roman" w:hAnsi="Times New Roman" w:cs="Times New Roman"/>
          <w:szCs w:val="24"/>
        </w:rPr>
        <w:t xml:space="preserve">How does the intervention impact employment status and earnings </w:t>
      </w:r>
      <w:r w:rsidR="0012775D" w:rsidRPr="00CB513F">
        <w:rPr>
          <w:rFonts w:ascii="Times New Roman" w:eastAsia="Times New Roman" w:hAnsi="Times New Roman" w:cs="Times New Roman"/>
          <w:szCs w:val="24"/>
        </w:rPr>
        <w:t xml:space="preserve">18, </w:t>
      </w:r>
      <w:r w:rsidRPr="00CB513F">
        <w:rPr>
          <w:rFonts w:ascii="Times New Roman" w:eastAsia="Times New Roman" w:hAnsi="Times New Roman" w:cs="Times New Roman"/>
          <w:szCs w:val="24"/>
        </w:rPr>
        <w:t>24 and 30 months after exiting WIOA programs</w:t>
      </w:r>
      <w:r w:rsidR="00B41247" w:rsidRPr="00CB513F">
        <w:rPr>
          <w:rStyle w:val="FootnoteReference"/>
          <w:rFonts w:ascii="Times New Roman" w:eastAsia="Times New Roman" w:hAnsi="Times New Roman" w:cs="Times New Roman"/>
          <w:szCs w:val="24"/>
        </w:rPr>
        <w:footnoteReference w:id="1"/>
      </w:r>
      <w:r w:rsidRPr="00CB513F">
        <w:rPr>
          <w:rFonts w:ascii="Times New Roman" w:eastAsia="Times New Roman" w:hAnsi="Times New Roman" w:cs="Times New Roman"/>
          <w:szCs w:val="24"/>
        </w:rPr>
        <w:t>?</w:t>
      </w:r>
    </w:p>
    <w:p w14:paraId="4F3723CD" w14:textId="10AA80C9" w:rsidR="0043552D" w:rsidRPr="00CB513F" w:rsidRDefault="0043552D" w:rsidP="00153308">
      <w:pPr>
        <w:pStyle w:val="ListParagraph"/>
        <w:numPr>
          <w:ilvl w:val="2"/>
          <w:numId w:val="14"/>
        </w:numPr>
        <w:jc w:val="both"/>
        <w:rPr>
          <w:rFonts w:ascii="Times New Roman" w:eastAsia="Times New Roman" w:hAnsi="Times New Roman" w:cs="Times New Roman"/>
          <w:strike/>
          <w:szCs w:val="24"/>
        </w:rPr>
      </w:pPr>
      <w:r w:rsidRPr="00CB513F">
        <w:rPr>
          <w:rFonts w:ascii="Times New Roman" w:hAnsi="Times New Roman" w:cs="Times New Roman"/>
          <w:szCs w:val="24"/>
        </w:rPr>
        <w:t xml:space="preserve">Is there heterogeneity in treatment effects by initial WIOA program of exit and gender? </w:t>
      </w:r>
    </w:p>
    <w:p w14:paraId="490BED86" w14:textId="5BCBB152" w:rsidR="00817DFF" w:rsidRPr="00CB513F" w:rsidRDefault="0068146B" w:rsidP="00153308">
      <w:pPr>
        <w:pStyle w:val="ListParagraph"/>
        <w:numPr>
          <w:ilvl w:val="1"/>
          <w:numId w:val="14"/>
        </w:numPr>
        <w:jc w:val="both"/>
        <w:rPr>
          <w:rFonts w:ascii="Times New Roman" w:eastAsia="Times New Roman" w:hAnsi="Times New Roman" w:cs="Times New Roman"/>
          <w:szCs w:val="24"/>
        </w:rPr>
      </w:pPr>
      <w:r w:rsidRPr="00CB513F">
        <w:rPr>
          <w:rFonts w:ascii="Times New Roman" w:eastAsia="Times New Roman" w:hAnsi="Times New Roman" w:cs="Times New Roman"/>
          <w:szCs w:val="24"/>
        </w:rPr>
        <w:t>In addition to these three main research questions, we will also perform additional exploratory analysis to answer the following questions</w:t>
      </w:r>
      <w:r w:rsidR="00817DFF" w:rsidRPr="00CB513F">
        <w:rPr>
          <w:rFonts w:ascii="Times New Roman" w:eastAsia="Times New Roman" w:hAnsi="Times New Roman" w:cs="Times New Roman"/>
          <w:szCs w:val="24"/>
        </w:rPr>
        <w:t>:</w:t>
      </w:r>
    </w:p>
    <w:p w14:paraId="566A12A3" w14:textId="635316B0" w:rsidR="00817DFF" w:rsidRPr="00CB513F" w:rsidRDefault="00817DFF" w:rsidP="00153308">
      <w:pPr>
        <w:pStyle w:val="ListParagraph"/>
        <w:numPr>
          <w:ilvl w:val="2"/>
          <w:numId w:val="15"/>
        </w:numPr>
        <w:jc w:val="both"/>
        <w:rPr>
          <w:rFonts w:ascii="Times New Roman" w:hAnsi="Times New Roman" w:cs="Times New Roman"/>
          <w:szCs w:val="24"/>
        </w:rPr>
      </w:pPr>
      <w:r w:rsidRPr="00CB513F">
        <w:rPr>
          <w:rFonts w:ascii="Times New Roman" w:hAnsi="Times New Roman" w:cs="Times New Roman"/>
          <w:szCs w:val="24"/>
        </w:rPr>
        <w:t>What are the factors that increase take up of the intervention among individuals exiting WIOA programs?</w:t>
      </w:r>
      <w:r w:rsidR="0092674C" w:rsidRPr="00CB513F">
        <w:rPr>
          <w:rFonts w:ascii="Times New Roman" w:hAnsi="Times New Roman" w:cs="Times New Roman"/>
          <w:szCs w:val="24"/>
        </w:rPr>
        <w:t xml:space="preserve"> Do caseworker characteristics matter?</w:t>
      </w:r>
    </w:p>
    <w:p w14:paraId="2559DCFE" w14:textId="1E37BA81" w:rsidR="003B0725" w:rsidRDefault="00817DFF" w:rsidP="00153308">
      <w:pPr>
        <w:pStyle w:val="ListParagraph"/>
        <w:numPr>
          <w:ilvl w:val="2"/>
          <w:numId w:val="15"/>
        </w:numPr>
        <w:jc w:val="both"/>
        <w:rPr>
          <w:rFonts w:ascii="Times New Roman" w:hAnsi="Times New Roman" w:cs="Times New Roman"/>
          <w:szCs w:val="24"/>
        </w:rPr>
      </w:pPr>
      <w:r w:rsidRPr="00CB513F">
        <w:rPr>
          <w:rFonts w:ascii="Times New Roman" w:hAnsi="Times New Roman" w:cs="Times New Roman"/>
          <w:szCs w:val="24"/>
        </w:rPr>
        <w:t>What are the effects of the intervention on inter-state labor mobility</w:t>
      </w:r>
      <w:r w:rsidR="0043552D" w:rsidRPr="00CB513F">
        <w:rPr>
          <w:rStyle w:val="FootnoteReference"/>
          <w:rFonts w:ascii="Times New Roman" w:hAnsi="Times New Roman" w:cs="Times New Roman"/>
          <w:szCs w:val="24"/>
        </w:rPr>
        <w:footnoteReference w:id="2"/>
      </w:r>
      <w:r w:rsidRPr="00CB513F">
        <w:rPr>
          <w:rFonts w:ascii="Times New Roman" w:hAnsi="Times New Roman" w:cs="Times New Roman"/>
          <w:szCs w:val="24"/>
        </w:rPr>
        <w:t>?</w:t>
      </w:r>
    </w:p>
    <w:p w14:paraId="41A4DC83" w14:textId="6A1B7364" w:rsidR="00AA7CDB" w:rsidRPr="00AA7CDB" w:rsidRDefault="00AA7CDB" w:rsidP="00153308">
      <w:pPr>
        <w:pStyle w:val="ListParagraph"/>
        <w:numPr>
          <w:ilvl w:val="2"/>
          <w:numId w:val="15"/>
        </w:numPr>
        <w:jc w:val="both"/>
        <w:rPr>
          <w:rFonts w:ascii="Times New Roman" w:hAnsi="Times New Roman" w:cs="Times New Roman"/>
          <w:szCs w:val="24"/>
        </w:rPr>
      </w:pPr>
      <w:r>
        <w:rPr>
          <w:rFonts w:ascii="Times New Roman" w:hAnsi="Times New Roman" w:cs="Times New Roman"/>
          <w:szCs w:val="24"/>
        </w:rPr>
        <w:t xml:space="preserve">Do program beneficiaries hold better jobs? </w:t>
      </w:r>
      <w:r w:rsidRPr="00AA7CDB">
        <w:rPr>
          <w:rFonts w:ascii="Times New Roman" w:hAnsi="Times New Roman" w:cs="Times New Roman"/>
          <w:szCs w:val="24"/>
        </w:rPr>
        <w:t xml:space="preserve">The </w:t>
      </w:r>
      <w:r w:rsidRPr="00AA7CDB">
        <w:rPr>
          <w:rFonts w:cs="Times New Roman"/>
          <w:szCs w:val="24"/>
        </w:rPr>
        <w:t xml:space="preserve">evaluation will aim to focus on several other key dimensions of beneficiary outcomes, if the data allows for it. First, it is essential to determine whether participants obtain better jobs after program participation. This can be assessed by comparing their post-program employment to pre-program jobs in terms of wages and salary, job stability (e.g., longer tenure and fewer layoffs), and the alignment of new roles with their skills and career aspirations. </w:t>
      </w:r>
      <w:r w:rsidRPr="00AA7CDB">
        <w:rPr>
          <w:rFonts w:ascii="Times New Roman" w:hAnsi="Times New Roman" w:cs="Times New Roman"/>
        </w:rPr>
        <w:t xml:space="preserve">Second, the analysis will examine the number of job transitions beneficiaries experience. This includes assessing whether transitions indicate upward mobility. The average time between job transitions </w:t>
      </w:r>
      <w:r w:rsidR="009E5410">
        <w:rPr>
          <w:rFonts w:ascii="Times New Roman" w:hAnsi="Times New Roman" w:cs="Times New Roman"/>
        </w:rPr>
        <w:t>will also be used</w:t>
      </w:r>
      <w:r w:rsidRPr="00AA7CDB">
        <w:rPr>
          <w:rFonts w:ascii="Times New Roman" w:hAnsi="Times New Roman" w:cs="Times New Roman"/>
        </w:rPr>
        <w:t xml:space="preserve">. Third, the number of jobs held by </w:t>
      </w:r>
      <w:proofErr w:type="gramStart"/>
      <w:r w:rsidRPr="00AA7CDB">
        <w:rPr>
          <w:rFonts w:ascii="Times New Roman" w:hAnsi="Times New Roman" w:cs="Times New Roman"/>
        </w:rPr>
        <w:t>beneficiaries</w:t>
      </w:r>
      <w:proofErr w:type="gramEnd"/>
      <w:r w:rsidRPr="00AA7CDB">
        <w:rPr>
          <w:rFonts w:ascii="Times New Roman" w:hAnsi="Times New Roman" w:cs="Times New Roman"/>
        </w:rPr>
        <w:t xml:space="preserve"> post-program </w:t>
      </w:r>
      <w:r w:rsidR="009E5410">
        <w:rPr>
          <w:rFonts w:ascii="Times New Roman" w:hAnsi="Times New Roman" w:cs="Times New Roman"/>
        </w:rPr>
        <w:t xml:space="preserve">will also be </w:t>
      </w:r>
      <w:r w:rsidR="00067618">
        <w:rPr>
          <w:rFonts w:ascii="Times New Roman" w:hAnsi="Times New Roman" w:cs="Times New Roman"/>
        </w:rPr>
        <w:t>evaluated</w:t>
      </w:r>
      <w:r w:rsidRPr="00AA7CDB">
        <w:rPr>
          <w:rFonts w:ascii="Times New Roman" w:hAnsi="Times New Roman" w:cs="Times New Roman"/>
        </w:rPr>
        <w:t>. Finally, qualitative insights from the one-on-one sessions with career navigators will be analyzed to understand their nature and content, including the topics discussed, such as resume building, interview preparation, and networking strategies.</w:t>
      </w:r>
    </w:p>
    <w:p w14:paraId="17CA142F" w14:textId="03B32506" w:rsidR="00817DFF" w:rsidRPr="00CB513F" w:rsidRDefault="00817DFF" w:rsidP="00153308">
      <w:pPr>
        <w:pStyle w:val="ListParagraph"/>
        <w:numPr>
          <w:ilvl w:val="0"/>
          <w:numId w:val="6"/>
        </w:numPr>
        <w:jc w:val="both"/>
        <w:rPr>
          <w:rFonts w:ascii="Times New Roman" w:eastAsia="Calibri" w:hAnsi="Times New Roman" w:cs="Times New Roman"/>
          <w:b/>
          <w:bCs/>
          <w:szCs w:val="24"/>
          <w:lang w:eastAsia="en-US" w:bidi="ar-SA"/>
        </w:rPr>
      </w:pPr>
      <w:r w:rsidRPr="00CB513F">
        <w:rPr>
          <w:rFonts w:ascii="Times New Roman" w:eastAsia="Calibri" w:hAnsi="Times New Roman" w:cs="Times New Roman"/>
          <w:b/>
          <w:bCs/>
          <w:szCs w:val="24"/>
          <w:lang w:eastAsia="en-US" w:bidi="ar-SA"/>
        </w:rPr>
        <w:t>Data Sources</w:t>
      </w:r>
    </w:p>
    <w:p w14:paraId="6D9F43FD" w14:textId="6034D4EB" w:rsidR="00817DFF" w:rsidRPr="00CB513F" w:rsidRDefault="00817DFF" w:rsidP="00153308">
      <w:pPr>
        <w:pStyle w:val="ListParagraph"/>
        <w:numPr>
          <w:ilvl w:val="1"/>
          <w:numId w:val="6"/>
        </w:numPr>
        <w:spacing w:after="86"/>
        <w:jc w:val="both"/>
        <w:rPr>
          <w:rFonts w:ascii="Times New Roman" w:eastAsia="Calibri" w:hAnsi="Times New Roman" w:cs="Times New Roman"/>
          <w:kern w:val="0"/>
          <w:szCs w:val="24"/>
          <w:lang w:eastAsia="en-US" w:bidi="ar-SA"/>
        </w:rPr>
      </w:pPr>
      <w:r w:rsidRPr="00CB513F">
        <w:rPr>
          <w:rFonts w:ascii="Times New Roman" w:eastAsia="Calibri" w:hAnsi="Times New Roman" w:cs="Times New Roman"/>
          <w:b/>
          <w:bCs/>
          <w:kern w:val="0"/>
          <w:szCs w:val="24"/>
          <w:lang w:eastAsia="en-US" w:bidi="ar-SA"/>
        </w:rPr>
        <w:t>Secondary, Administrative Data</w:t>
      </w:r>
      <w:r w:rsidRPr="00CB513F">
        <w:rPr>
          <w:rFonts w:ascii="Times New Roman" w:eastAsia="Calibri" w:hAnsi="Times New Roman" w:cs="Times New Roman"/>
          <w:kern w:val="0"/>
          <w:szCs w:val="24"/>
          <w:lang w:eastAsia="en-US" w:bidi="ar-SA"/>
        </w:rPr>
        <w:t xml:space="preserve">: The WDP will provide access to administrative data through an established data-sharing agreement between the University of Toronto and the DEDC (attached). The secondary data </w:t>
      </w:r>
      <w:r w:rsidR="00497BD7">
        <w:rPr>
          <w:rFonts w:ascii="Times New Roman" w:eastAsia="Calibri" w:hAnsi="Times New Roman" w:cs="Times New Roman"/>
          <w:kern w:val="0"/>
          <w:szCs w:val="24"/>
          <w:lang w:eastAsia="en-US" w:bidi="ar-SA"/>
        </w:rPr>
        <w:t>is made of</w:t>
      </w:r>
      <w:r w:rsidRPr="00CB513F">
        <w:rPr>
          <w:rFonts w:ascii="Times New Roman" w:eastAsia="Calibri" w:hAnsi="Times New Roman" w:cs="Times New Roman"/>
          <w:kern w:val="0"/>
          <w:szCs w:val="24"/>
          <w:lang w:eastAsia="en-US" w:bidi="ar-SA"/>
        </w:rPr>
        <w:t xml:space="preserve"> two administrative databases, one containing participants’ information and outcomes collected by DEDC, and another one with data about participants in treatment from the service provider, as described below </w:t>
      </w:r>
    </w:p>
    <w:p w14:paraId="4BC60B98" w14:textId="04453217" w:rsidR="00817DFF" w:rsidRPr="00CB513F" w:rsidRDefault="00817DFF" w:rsidP="00153308">
      <w:pPr>
        <w:pStyle w:val="ListParagraph"/>
        <w:numPr>
          <w:ilvl w:val="1"/>
          <w:numId w:val="6"/>
        </w:numPr>
        <w:spacing w:after="86"/>
        <w:jc w:val="both"/>
        <w:rPr>
          <w:rFonts w:ascii="Times New Roman" w:eastAsia="Calibri" w:hAnsi="Times New Roman" w:cs="Times New Roman"/>
          <w:kern w:val="0"/>
          <w:szCs w:val="24"/>
          <w:lang w:eastAsia="en-US" w:bidi="ar-SA"/>
        </w:rPr>
      </w:pPr>
      <w:r w:rsidRPr="00CB513F">
        <w:rPr>
          <w:rFonts w:ascii="Times New Roman" w:eastAsia="Calibri" w:hAnsi="Times New Roman" w:cs="Times New Roman"/>
          <w:b/>
          <w:bCs/>
          <w:kern w:val="0"/>
          <w:szCs w:val="24"/>
          <w:lang w:eastAsia="en-US" w:bidi="ar-SA"/>
        </w:rPr>
        <w:t>First dataset</w:t>
      </w:r>
      <w:r w:rsidRPr="00CB513F">
        <w:rPr>
          <w:rFonts w:ascii="Times New Roman" w:eastAsia="Calibri" w:hAnsi="Times New Roman" w:cs="Times New Roman"/>
          <w:kern w:val="0"/>
          <w:szCs w:val="24"/>
          <w:lang w:eastAsia="en-US" w:bidi="ar-SA"/>
        </w:rPr>
        <w:t xml:space="preserve">: The first dataset is structured following the Participant Individual Record Layout (PIRL), a standardized reporting format mandated by the federal government. It encompasses a comprehensive range of information, including: (i) Individual data of program participants, covering identifying details, equal opportunity information, veteran characteristics, pre-service employment history, public assistance data, and educational background, (ii) Detailed records of education, training, and other services provided under the WIOA umbrella to clients, and (iii) WIOA program outcome information, which includes data on educational and credential attainment and acquired skills, as well as post-service employment records and compensation-related data. The PIRL (form ETA 9172, by the Employment and Training Administration) is an extensive dataset with many data elements (variables), described here: </w:t>
      </w:r>
      <w:hyperlink r:id="rId7" w:history="1">
        <w:r w:rsidRPr="00CB513F">
          <w:rPr>
            <w:rStyle w:val="Hyperlink"/>
            <w:rFonts w:ascii="Times New Roman" w:eastAsia="Calibri" w:hAnsi="Times New Roman" w:cs="Times New Roman"/>
            <w:kern w:val="0"/>
            <w:szCs w:val="24"/>
            <w:lang w:eastAsia="en-US" w:bidi="ar-SA"/>
          </w:rPr>
          <w:t>https://www.dol.gov/sites/dolgov/files/ETA/Performance/pdfs/PIRL_COMBINED_2.28.20_SP.pdf</w:t>
        </w:r>
      </w:hyperlink>
      <w:r w:rsidRPr="00CB513F">
        <w:rPr>
          <w:rFonts w:ascii="Times New Roman" w:eastAsia="Calibri" w:hAnsi="Times New Roman" w:cs="Times New Roman"/>
          <w:kern w:val="0"/>
          <w:szCs w:val="24"/>
          <w:lang w:eastAsia="en-US" w:bidi="ar-SA"/>
        </w:rPr>
        <w:t xml:space="preserve"> It is worth noting that WIOA program participant administrative records found in the PIRL </w:t>
      </w:r>
      <w:r w:rsidRPr="00CB513F">
        <w:rPr>
          <w:rFonts w:ascii="Times New Roman" w:eastAsia="Calibri" w:hAnsi="Times New Roman" w:cs="Times New Roman"/>
          <w:kern w:val="0"/>
          <w:szCs w:val="24"/>
          <w:lang w:eastAsia="en-US" w:bidi="ar-SA"/>
        </w:rPr>
        <w:lastRenderedPageBreak/>
        <w:t xml:space="preserve">dataset contain performance indicators for up to four quarters following the programmatic WIOA exit, as per WIOA requirements: </w:t>
      </w:r>
      <w:hyperlink r:id="rId8" w:history="1">
        <w:r w:rsidRPr="00CB513F">
          <w:rPr>
            <w:rStyle w:val="Hyperlink"/>
            <w:rFonts w:ascii="Times New Roman" w:eastAsia="Calibri" w:hAnsi="Times New Roman" w:cs="Times New Roman"/>
            <w:kern w:val="0"/>
            <w:szCs w:val="24"/>
            <w:lang w:eastAsia="en-US" w:bidi="ar-SA"/>
          </w:rPr>
          <w:t>https://www.dol.gov/agencies/eta/performance/performance-indicators</w:t>
        </w:r>
      </w:hyperlink>
      <w:r w:rsidRPr="00CB513F">
        <w:rPr>
          <w:rFonts w:ascii="Times New Roman" w:eastAsia="Calibri" w:hAnsi="Times New Roman" w:cs="Times New Roman"/>
          <w:b/>
          <w:bCs/>
          <w:szCs w:val="24"/>
          <w:lang w:eastAsia="en-US" w:bidi="ar-SA"/>
        </w:rPr>
        <w:t xml:space="preserve"> </w:t>
      </w:r>
    </w:p>
    <w:p w14:paraId="211CE300" w14:textId="62564586" w:rsidR="00E375EE" w:rsidRPr="00CB513F" w:rsidRDefault="00D63121" w:rsidP="00153308">
      <w:pPr>
        <w:pStyle w:val="ListParagraph"/>
        <w:numPr>
          <w:ilvl w:val="2"/>
          <w:numId w:val="6"/>
        </w:numPr>
        <w:spacing w:after="86"/>
        <w:jc w:val="both"/>
        <w:rPr>
          <w:rFonts w:ascii="Times New Roman" w:eastAsia="Calibri" w:hAnsi="Times New Roman" w:cs="Times New Roman"/>
          <w:kern w:val="0"/>
          <w:szCs w:val="24"/>
          <w:lang w:eastAsia="en-US" w:bidi="ar-SA"/>
        </w:rPr>
      </w:pPr>
      <w:r>
        <w:rPr>
          <w:rFonts w:ascii="Times New Roman" w:eastAsia="Calibri" w:hAnsi="Times New Roman" w:cs="Times New Roman"/>
          <w:b/>
          <w:bCs/>
          <w:kern w:val="0"/>
          <w:szCs w:val="24"/>
          <w:lang w:eastAsia="en-US" w:bidi="ar-SA"/>
        </w:rPr>
        <w:t>Medium and Longer-Run Effects</w:t>
      </w:r>
      <w:r w:rsidR="00462D70">
        <w:rPr>
          <w:rFonts w:ascii="Times New Roman" w:eastAsia="Calibri" w:hAnsi="Times New Roman" w:cs="Times New Roman"/>
          <w:b/>
          <w:bCs/>
          <w:kern w:val="0"/>
          <w:szCs w:val="24"/>
          <w:lang w:eastAsia="en-US" w:bidi="ar-SA"/>
        </w:rPr>
        <w:t xml:space="preserve"> and Migration</w:t>
      </w:r>
      <w:r w:rsidR="00C153F8" w:rsidRPr="00CB513F">
        <w:rPr>
          <w:rFonts w:ascii="Times New Roman" w:eastAsia="Calibri" w:hAnsi="Times New Roman" w:cs="Times New Roman"/>
          <w:kern w:val="0"/>
          <w:szCs w:val="24"/>
          <w:lang w:eastAsia="en-US" w:bidi="ar-SA"/>
        </w:rPr>
        <w:t xml:space="preserve">: </w:t>
      </w:r>
      <w:r w:rsidR="00E375EE" w:rsidRPr="00CB513F">
        <w:rPr>
          <w:rFonts w:ascii="Times New Roman" w:eastAsia="Calibri" w:hAnsi="Times New Roman" w:cs="Times New Roman"/>
          <w:kern w:val="0"/>
          <w:szCs w:val="24"/>
          <w:lang w:eastAsia="en-US" w:bidi="ar-SA"/>
        </w:rPr>
        <w:t xml:space="preserve">For the purposes of our impact evaluation, </w:t>
      </w:r>
      <w:r w:rsidR="00C62A97" w:rsidRPr="00CB513F">
        <w:rPr>
          <w:rFonts w:ascii="Times New Roman" w:eastAsia="Calibri" w:hAnsi="Times New Roman" w:cs="Times New Roman"/>
          <w:kern w:val="0"/>
          <w:szCs w:val="24"/>
          <w:lang w:eastAsia="en-US" w:bidi="ar-SA"/>
        </w:rPr>
        <w:t>we aim to</w:t>
      </w:r>
      <w:r w:rsidR="00E375EE" w:rsidRPr="00CB513F">
        <w:rPr>
          <w:rFonts w:ascii="Times New Roman" w:eastAsia="Calibri" w:hAnsi="Times New Roman" w:cs="Times New Roman"/>
          <w:kern w:val="0"/>
          <w:szCs w:val="24"/>
          <w:lang w:eastAsia="en-US" w:bidi="ar-SA"/>
        </w:rPr>
        <w:t xml:space="preserve"> establish potential longer-term effects (performance indicators that go beyond the 4-quarter evaluation required by WIOA, including</w:t>
      </w:r>
      <w:r w:rsidR="001E3088" w:rsidRPr="00CB513F">
        <w:rPr>
          <w:rFonts w:ascii="Times New Roman" w:eastAsia="Calibri" w:hAnsi="Times New Roman" w:cs="Times New Roman"/>
          <w:kern w:val="0"/>
          <w:szCs w:val="24"/>
          <w:lang w:eastAsia="en-US" w:bidi="ar-SA"/>
        </w:rPr>
        <w:t xml:space="preserve"> 18-month,</w:t>
      </w:r>
      <w:r w:rsidR="00E375EE" w:rsidRPr="00CB513F">
        <w:rPr>
          <w:rFonts w:ascii="Times New Roman" w:eastAsia="Calibri" w:hAnsi="Times New Roman" w:cs="Times New Roman"/>
          <w:kern w:val="0"/>
          <w:szCs w:val="24"/>
          <w:lang w:eastAsia="en-US" w:bidi="ar-SA"/>
        </w:rPr>
        <w:t xml:space="preserve"> 24-month and 30-month impacts). For this reason, we will petition the partner agency (the Workforce Development Program (WDP)) to include these medium-term and long-term follow ups. In addition, we are also interested in determining if program participant choose to migrate outside of Puerto Rico. To achieve this, the agency will link participant records to Unemployment Insurance databases in the mainland US through the State Wage Interchange System.</w:t>
      </w:r>
      <w:r w:rsidR="00462D70">
        <w:rPr>
          <w:rFonts w:ascii="Times New Roman" w:eastAsia="Calibri" w:hAnsi="Times New Roman" w:cs="Times New Roman"/>
          <w:kern w:val="0"/>
          <w:szCs w:val="24"/>
          <w:lang w:eastAsia="en-US" w:bidi="ar-SA"/>
        </w:rPr>
        <w:t xml:space="preserve"> These records are not part of the WIOA standard reporting requirements. </w:t>
      </w:r>
    </w:p>
    <w:p w14:paraId="3D600330" w14:textId="77777777" w:rsidR="00FB3D3F" w:rsidRPr="00CB513F" w:rsidRDefault="00155B3B" w:rsidP="00153308">
      <w:pPr>
        <w:pStyle w:val="ListParagraph"/>
        <w:numPr>
          <w:ilvl w:val="1"/>
          <w:numId w:val="6"/>
        </w:numPr>
        <w:spacing w:after="86"/>
        <w:jc w:val="both"/>
        <w:rPr>
          <w:rFonts w:ascii="Times New Roman" w:eastAsia="Calibri" w:hAnsi="Times New Roman" w:cs="Times New Roman"/>
          <w:kern w:val="0"/>
          <w:szCs w:val="24"/>
          <w:lang w:eastAsia="en-US" w:bidi="ar-SA"/>
        </w:rPr>
      </w:pPr>
      <w:r w:rsidRPr="00CB513F">
        <w:rPr>
          <w:rFonts w:ascii="Times New Roman" w:eastAsia="Calibri" w:hAnsi="Times New Roman" w:cs="Times New Roman"/>
          <w:b/>
          <w:bCs/>
          <w:kern w:val="0"/>
          <w:szCs w:val="24"/>
          <w:lang w:eastAsia="en-US" w:bidi="ar-SA"/>
        </w:rPr>
        <w:t>Second dataset</w:t>
      </w:r>
      <w:r w:rsidRPr="00CB513F">
        <w:rPr>
          <w:rFonts w:ascii="Times New Roman" w:eastAsia="Calibri" w:hAnsi="Times New Roman" w:cs="Times New Roman"/>
          <w:kern w:val="0"/>
          <w:szCs w:val="24"/>
          <w:lang w:eastAsia="en-US" w:bidi="ar-SA"/>
        </w:rPr>
        <w:t xml:space="preserve">: </w:t>
      </w:r>
      <w:r w:rsidR="0068146B" w:rsidRPr="00CB513F">
        <w:rPr>
          <w:rFonts w:ascii="Times New Roman" w:eastAsia="Calibri" w:hAnsi="Times New Roman" w:cs="Times New Roman"/>
          <w:kern w:val="0"/>
          <w:szCs w:val="24"/>
          <w:lang w:eastAsia="en-US" w:bidi="ar-SA"/>
        </w:rPr>
        <w:t>To measure take-up and actual participation in the program, t</w:t>
      </w:r>
      <w:r w:rsidR="00E375EE" w:rsidRPr="00CB513F">
        <w:rPr>
          <w:rFonts w:ascii="Times New Roman" w:eastAsia="Calibri" w:hAnsi="Times New Roman" w:cs="Times New Roman"/>
          <w:kern w:val="0"/>
          <w:szCs w:val="24"/>
          <w:lang w:eastAsia="en-US" w:bidi="ar-SA"/>
        </w:rPr>
        <w:t xml:space="preserve">here will be a second administrative dataset </w:t>
      </w:r>
      <w:r w:rsidR="00605C75" w:rsidRPr="00CB513F">
        <w:rPr>
          <w:rFonts w:ascii="Times New Roman" w:eastAsia="Calibri" w:hAnsi="Times New Roman" w:cs="Times New Roman"/>
          <w:kern w:val="0"/>
          <w:szCs w:val="24"/>
          <w:lang w:eastAsia="en-US" w:bidi="ar-SA"/>
        </w:rPr>
        <w:t xml:space="preserve">collected by the external provider. This second </w:t>
      </w:r>
      <w:r w:rsidR="00EF13C7" w:rsidRPr="00CB513F">
        <w:rPr>
          <w:rFonts w:ascii="Times New Roman" w:eastAsia="Calibri" w:hAnsi="Times New Roman" w:cs="Times New Roman"/>
          <w:kern w:val="0"/>
          <w:szCs w:val="24"/>
          <w:lang w:eastAsia="en-US" w:bidi="ar-SA"/>
        </w:rPr>
        <w:t>dataset</w:t>
      </w:r>
      <w:r w:rsidR="00605C75" w:rsidRPr="00CB513F">
        <w:rPr>
          <w:rFonts w:ascii="Times New Roman" w:eastAsia="Calibri" w:hAnsi="Times New Roman" w:cs="Times New Roman"/>
          <w:kern w:val="0"/>
          <w:szCs w:val="24"/>
          <w:lang w:eastAsia="en-US" w:bidi="ar-SA"/>
        </w:rPr>
        <w:t xml:space="preserve"> will </w:t>
      </w:r>
      <w:r w:rsidR="00E375EE" w:rsidRPr="00CB513F">
        <w:rPr>
          <w:rFonts w:ascii="Times New Roman" w:eastAsia="Calibri" w:hAnsi="Times New Roman" w:cs="Times New Roman"/>
          <w:kern w:val="0"/>
          <w:szCs w:val="24"/>
          <w:lang w:eastAsia="en-US" w:bidi="ar-SA"/>
        </w:rPr>
        <w:t>contain information about the characteristics of the service provided to those assigned to treatment</w:t>
      </w:r>
      <w:r w:rsidR="00EF13C7" w:rsidRPr="00CB513F">
        <w:rPr>
          <w:rFonts w:ascii="Times New Roman" w:eastAsia="Calibri" w:hAnsi="Times New Roman" w:cs="Times New Roman"/>
          <w:kern w:val="0"/>
          <w:szCs w:val="24"/>
          <w:lang w:eastAsia="en-US" w:bidi="ar-SA"/>
        </w:rPr>
        <w:t xml:space="preserve"> and their engagement</w:t>
      </w:r>
      <w:r w:rsidR="00E375EE" w:rsidRPr="00CB513F">
        <w:rPr>
          <w:rFonts w:ascii="Times New Roman" w:eastAsia="Calibri" w:hAnsi="Times New Roman" w:cs="Times New Roman"/>
          <w:kern w:val="0"/>
          <w:szCs w:val="24"/>
          <w:lang w:eastAsia="en-US" w:bidi="ar-SA"/>
        </w:rPr>
        <w:t>. This data doesn’t exist yet because the government program hasn’t launched</w:t>
      </w:r>
      <w:r w:rsidR="00C92CFF" w:rsidRPr="00CB513F">
        <w:rPr>
          <w:rFonts w:ascii="Times New Roman" w:eastAsia="Calibri" w:hAnsi="Times New Roman" w:cs="Times New Roman"/>
          <w:kern w:val="0"/>
          <w:szCs w:val="24"/>
          <w:lang w:eastAsia="en-US" w:bidi="ar-SA"/>
        </w:rPr>
        <w:t xml:space="preserve"> (we anticipate that the first monthly cohort will be offered treatment in September 2024)</w:t>
      </w:r>
      <w:r w:rsidR="00E375EE" w:rsidRPr="00CB513F">
        <w:rPr>
          <w:rFonts w:ascii="Times New Roman" w:eastAsia="Calibri" w:hAnsi="Times New Roman" w:cs="Times New Roman"/>
          <w:kern w:val="0"/>
          <w:szCs w:val="24"/>
          <w:lang w:eastAsia="en-US" w:bidi="ar-SA"/>
        </w:rPr>
        <w:t xml:space="preserve">. We anticipate that it will include the following variables: (i) frequency, duration and format of interaction between the client and the career navigator/coach assigned (number of times that the client interacted with the coach, format of that interaction, be it in person or virtual, duration of the interaction); (ii) type of service requested (coaching, job search assistance, </w:t>
      </w:r>
      <w:proofErr w:type="spellStart"/>
      <w:r w:rsidR="00E375EE" w:rsidRPr="00CB513F">
        <w:rPr>
          <w:rFonts w:ascii="Times New Roman" w:eastAsia="Calibri" w:hAnsi="Times New Roman" w:cs="Times New Roman"/>
          <w:kern w:val="0"/>
          <w:szCs w:val="24"/>
          <w:lang w:eastAsia="en-US" w:bidi="ar-SA"/>
        </w:rPr>
        <w:t>etc</w:t>
      </w:r>
      <w:proofErr w:type="spellEnd"/>
      <w:r w:rsidR="00E375EE" w:rsidRPr="00CB513F">
        <w:rPr>
          <w:rFonts w:ascii="Times New Roman" w:eastAsia="Calibri" w:hAnsi="Times New Roman" w:cs="Times New Roman"/>
          <w:kern w:val="0"/>
          <w:szCs w:val="24"/>
          <w:lang w:eastAsia="en-US" w:bidi="ar-SA"/>
        </w:rPr>
        <w:t>); (iii) characteristics of the coach (gender, years of experience, educational background)</w:t>
      </w:r>
      <w:r w:rsidR="00C92CFF" w:rsidRPr="00CB513F">
        <w:rPr>
          <w:rFonts w:ascii="Times New Roman" w:eastAsia="Calibri" w:hAnsi="Times New Roman" w:cs="Times New Roman"/>
          <w:kern w:val="0"/>
          <w:szCs w:val="24"/>
          <w:lang w:eastAsia="en-US" w:bidi="ar-SA"/>
        </w:rPr>
        <w:t xml:space="preserve">; (iv) client perceptions, experiences and satisfaction. </w:t>
      </w:r>
    </w:p>
    <w:p w14:paraId="366D92E3" w14:textId="6206F98B" w:rsidR="00E375EE" w:rsidRPr="00CB513F" w:rsidRDefault="00FB3D3F" w:rsidP="00153308">
      <w:pPr>
        <w:pStyle w:val="ListParagraph"/>
        <w:numPr>
          <w:ilvl w:val="1"/>
          <w:numId w:val="6"/>
        </w:numPr>
        <w:spacing w:after="86"/>
        <w:jc w:val="both"/>
        <w:rPr>
          <w:rFonts w:ascii="Times New Roman" w:eastAsia="Calibri" w:hAnsi="Times New Roman" w:cs="Times New Roman"/>
          <w:kern w:val="0"/>
          <w:szCs w:val="24"/>
          <w:lang w:eastAsia="en-US" w:bidi="ar-SA"/>
        </w:rPr>
      </w:pPr>
      <w:r w:rsidRPr="00CB513F">
        <w:rPr>
          <w:rFonts w:ascii="Times New Roman" w:eastAsia="Calibri" w:hAnsi="Times New Roman" w:cs="Times New Roman"/>
          <w:b/>
          <w:bCs/>
          <w:kern w:val="0"/>
          <w:szCs w:val="24"/>
          <w:lang w:eastAsia="en-US" w:bidi="ar-SA"/>
        </w:rPr>
        <w:t>Linkage</w:t>
      </w:r>
      <w:r w:rsidRPr="00CB513F">
        <w:rPr>
          <w:rFonts w:ascii="Times New Roman" w:eastAsia="Calibri" w:hAnsi="Times New Roman" w:cs="Times New Roman"/>
          <w:kern w:val="0"/>
          <w:szCs w:val="24"/>
          <w:lang w:eastAsia="en-US" w:bidi="ar-SA"/>
        </w:rPr>
        <w:t xml:space="preserve">: </w:t>
      </w:r>
      <w:r w:rsidR="00E375EE" w:rsidRPr="00CB513F">
        <w:rPr>
          <w:rFonts w:ascii="Times New Roman" w:eastAsia="Calibri" w:hAnsi="Times New Roman" w:cs="Times New Roman"/>
          <w:kern w:val="0"/>
          <w:szCs w:val="24"/>
          <w:lang w:eastAsia="en-US" w:bidi="ar-SA"/>
        </w:rPr>
        <w:t>Both datasets mentioned above can be linked by the WIOA unique individual identifier (assigned upon entering a WIOA program by the agency)</w:t>
      </w:r>
      <w:r w:rsidR="00C15ED2" w:rsidRPr="00CB513F">
        <w:rPr>
          <w:rFonts w:ascii="Times New Roman" w:eastAsia="Calibri" w:hAnsi="Times New Roman" w:cs="Times New Roman"/>
          <w:kern w:val="0"/>
          <w:szCs w:val="24"/>
          <w:lang w:eastAsia="en-US" w:bidi="ar-SA"/>
        </w:rPr>
        <w:t xml:space="preserve"> or the study ID (assigned by the research manager in the process of de-identifying and coding the data)</w:t>
      </w:r>
      <w:r w:rsidR="00E375EE" w:rsidRPr="00CB513F">
        <w:rPr>
          <w:rFonts w:ascii="Times New Roman" w:eastAsia="Calibri" w:hAnsi="Times New Roman" w:cs="Times New Roman"/>
          <w:kern w:val="0"/>
          <w:szCs w:val="24"/>
          <w:lang w:eastAsia="en-US" w:bidi="ar-SA"/>
        </w:rPr>
        <w:t xml:space="preserve">. </w:t>
      </w:r>
    </w:p>
    <w:p w14:paraId="50D317BE" w14:textId="77777777" w:rsidR="00E375EE" w:rsidRPr="00CB513F" w:rsidRDefault="00E375EE"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t>Hypothesis and Outcomes</w:t>
      </w:r>
    </w:p>
    <w:p w14:paraId="703B1EF4" w14:textId="1778FDA7" w:rsidR="00C70C5F" w:rsidRPr="00910CC8" w:rsidRDefault="00C70C5F" w:rsidP="00153308">
      <w:pPr>
        <w:pStyle w:val="ListParagraph"/>
        <w:numPr>
          <w:ilvl w:val="1"/>
          <w:numId w:val="6"/>
        </w:numPr>
        <w:jc w:val="both"/>
        <w:rPr>
          <w:rFonts w:ascii="Times New Roman" w:hAnsi="Times New Roman" w:cs="Times New Roman"/>
          <w:szCs w:val="24"/>
        </w:rPr>
      </w:pPr>
      <w:r w:rsidRPr="00CB513F">
        <w:rPr>
          <w:rFonts w:ascii="Times New Roman" w:hAnsi="Times New Roman" w:cs="Times New Roman"/>
          <w:b/>
          <w:bCs/>
          <w:szCs w:val="24"/>
        </w:rPr>
        <w:t xml:space="preserve">Primary Outcomes:  </w:t>
      </w:r>
      <w:r w:rsidRPr="00CB513F">
        <w:rPr>
          <w:rFonts w:ascii="Times New Roman" w:eastAsia="Calibri" w:hAnsi="Times New Roman" w:cs="Times New Roman"/>
          <w:kern w:val="0"/>
          <w:szCs w:val="24"/>
          <w:lang w:eastAsia="en-US" w:bidi="ar-SA"/>
        </w:rPr>
        <w:t xml:space="preserve">The primary outcomes of interest will be program participant employment status and earnings following treatment. Specifically, the first main outcome concerns employment status (employed=1) two, </w:t>
      </w:r>
      <w:r w:rsidR="004A1FB4" w:rsidRPr="00CB513F">
        <w:rPr>
          <w:rFonts w:ascii="Times New Roman" w:eastAsia="Calibri" w:hAnsi="Times New Roman" w:cs="Times New Roman"/>
          <w:kern w:val="0"/>
          <w:szCs w:val="24"/>
          <w:lang w:eastAsia="en-US" w:bidi="ar-SA"/>
        </w:rPr>
        <w:t xml:space="preserve">and </w:t>
      </w:r>
      <w:r w:rsidRPr="00CB513F">
        <w:rPr>
          <w:rFonts w:ascii="Times New Roman" w:eastAsia="Calibri" w:hAnsi="Times New Roman" w:cs="Times New Roman"/>
          <w:kern w:val="0"/>
          <w:szCs w:val="24"/>
          <w:lang w:eastAsia="en-US" w:bidi="ar-SA"/>
        </w:rPr>
        <w:t xml:space="preserve">four quarters after exiting WIOA programs. </w:t>
      </w:r>
      <w:r w:rsidR="00C15ED2" w:rsidRPr="00CB513F">
        <w:rPr>
          <w:rFonts w:ascii="Times New Roman" w:eastAsia="Calibri" w:hAnsi="Times New Roman" w:cs="Times New Roman"/>
          <w:kern w:val="0"/>
          <w:szCs w:val="24"/>
          <w:lang w:eastAsia="en-US" w:bidi="ar-SA"/>
        </w:rPr>
        <w:t xml:space="preserve">Thus, our main hypothesis is that program participation will lead to an improvement in employment status. </w:t>
      </w:r>
      <w:r w:rsidRPr="00CB513F">
        <w:rPr>
          <w:rFonts w:ascii="Times New Roman" w:eastAsia="Calibri" w:hAnsi="Times New Roman" w:cs="Times New Roman"/>
          <w:kern w:val="0"/>
          <w:szCs w:val="24"/>
          <w:lang w:eastAsia="en-US" w:bidi="ar-SA"/>
        </w:rPr>
        <w:t xml:space="preserve">The second </w:t>
      </w:r>
      <w:r w:rsidR="00520F0F" w:rsidRPr="00CB513F">
        <w:rPr>
          <w:rFonts w:ascii="Times New Roman" w:eastAsia="Calibri" w:hAnsi="Times New Roman" w:cs="Times New Roman"/>
          <w:kern w:val="0"/>
          <w:szCs w:val="24"/>
          <w:lang w:eastAsia="en-US" w:bidi="ar-SA"/>
        </w:rPr>
        <w:t>primary</w:t>
      </w:r>
      <w:r w:rsidRPr="00CB513F">
        <w:rPr>
          <w:rFonts w:ascii="Times New Roman" w:eastAsia="Calibri" w:hAnsi="Times New Roman" w:cs="Times New Roman"/>
          <w:kern w:val="0"/>
          <w:szCs w:val="24"/>
          <w:lang w:eastAsia="en-US" w:bidi="ar-SA"/>
        </w:rPr>
        <w:t xml:space="preserve"> outcome correspond</w:t>
      </w:r>
      <w:r w:rsidR="009E09D4" w:rsidRPr="00CB513F">
        <w:rPr>
          <w:rFonts w:ascii="Times New Roman" w:eastAsia="Calibri" w:hAnsi="Times New Roman" w:cs="Times New Roman"/>
          <w:kern w:val="0"/>
          <w:szCs w:val="24"/>
          <w:lang w:eastAsia="en-US" w:bidi="ar-SA"/>
        </w:rPr>
        <w:t>s</w:t>
      </w:r>
      <w:r w:rsidRPr="00CB513F">
        <w:rPr>
          <w:rFonts w:ascii="Times New Roman" w:eastAsia="Calibri" w:hAnsi="Times New Roman" w:cs="Times New Roman"/>
          <w:kern w:val="0"/>
          <w:szCs w:val="24"/>
          <w:lang w:eastAsia="en-US" w:bidi="ar-SA"/>
        </w:rPr>
        <w:t xml:space="preserve"> to earnings two</w:t>
      </w:r>
      <w:r w:rsidR="00D63121">
        <w:rPr>
          <w:rFonts w:ascii="Times New Roman" w:eastAsia="Calibri" w:hAnsi="Times New Roman" w:cs="Times New Roman"/>
          <w:kern w:val="0"/>
          <w:szCs w:val="24"/>
          <w:lang w:eastAsia="en-US" w:bidi="ar-SA"/>
        </w:rPr>
        <w:t xml:space="preserve"> </w:t>
      </w:r>
      <w:r w:rsidRPr="00CB513F">
        <w:rPr>
          <w:rFonts w:ascii="Times New Roman" w:eastAsia="Calibri" w:hAnsi="Times New Roman" w:cs="Times New Roman"/>
          <w:kern w:val="0"/>
          <w:szCs w:val="24"/>
          <w:lang w:eastAsia="en-US" w:bidi="ar-SA"/>
        </w:rPr>
        <w:t>and four quarters after exiting WIOA programs.</w:t>
      </w:r>
      <w:r w:rsidR="00C15ED2" w:rsidRPr="00CB513F">
        <w:rPr>
          <w:rFonts w:ascii="Times New Roman" w:eastAsia="Calibri" w:hAnsi="Times New Roman" w:cs="Times New Roman"/>
          <w:kern w:val="0"/>
          <w:szCs w:val="24"/>
          <w:lang w:eastAsia="en-US" w:bidi="ar-SA"/>
        </w:rPr>
        <w:t xml:space="preserve"> </w:t>
      </w:r>
      <w:r w:rsidRPr="00CB513F">
        <w:rPr>
          <w:rFonts w:ascii="Times New Roman" w:eastAsia="Calibri" w:hAnsi="Times New Roman" w:cs="Times New Roman"/>
          <w:kern w:val="0"/>
          <w:szCs w:val="24"/>
          <w:lang w:eastAsia="en-US" w:bidi="ar-SA"/>
        </w:rPr>
        <w:t xml:space="preserve">These outcomes are currently available in the administrative data shared with the research team. However, </w:t>
      </w:r>
      <w:r w:rsidR="0077346B" w:rsidRPr="00CB513F">
        <w:rPr>
          <w:rFonts w:ascii="Times New Roman" w:eastAsia="Calibri" w:hAnsi="Times New Roman" w:cs="Times New Roman"/>
          <w:kern w:val="0"/>
          <w:szCs w:val="24"/>
          <w:lang w:eastAsia="en-US" w:bidi="ar-SA"/>
        </w:rPr>
        <w:t>to</w:t>
      </w:r>
      <w:r w:rsidRPr="00CB513F">
        <w:rPr>
          <w:rFonts w:ascii="Times New Roman" w:eastAsia="Calibri" w:hAnsi="Times New Roman" w:cs="Times New Roman"/>
          <w:kern w:val="0"/>
          <w:szCs w:val="24"/>
          <w:lang w:eastAsia="en-US" w:bidi="ar-SA"/>
        </w:rPr>
        <w:t xml:space="preserve"> measure longer term outcomes, we </w:t>
      </w:r>
      <w:r w:rsidR="003125CF">
        <w:rPr>
          <w:rFonts w:ascii="Times New Roman" w:eastAsia="Calibri" w:hAnsi="Times New Roman" w:cs="Times New Roman"/>
          <w:kern w:val="0"/>
          <w:szCs w:val="24"/>
          <w:lang w:eastAsia="en-US" w:bidi="ar-SA"/>
        </w:rPr>
        <w:t>will</w:t>
      </w:r>
      <w:r w:rsidRPr="00CB513F">
        <w:rPr>
          <w:rFonts w:ascii="Times New Roman" w:eastAsia="Calibri" w:hAnsi="Times New Roman" w:cs="Times New Roman"/>
          <w:kern w:val="0"/>
          <w:szCs w:val="24"/>
          <w:lang w:eastAsia="en-US" w:bidi="ar-SA"/>
        </w:rPr>
        <w:t xml:space="preserve"> petition the partner agency to include medium-term follow ups </w:t>
      </w:r>
      <w:r w:rsidR="003125CF">
        <w:rPr>
          <w:rFonts w:ascii="Times New Roman" w:eastAsia="Calibri" w:hAnsi="Times New Roman" w:cs="Times New Roman"/>
          <w:kern w:val="0"/>
          <w:szCs w:val="24"/>
          <w:lang w:eastAsia="en-US" w:bidi="ar-SA"/>
        </w:rPr>
        <w:t xml:space="preserve">measured 18, </w:t>
      </w:r>
      <w:r w:rsidRPr="00CB513F">
        <w:rPr>
          <w:rFonts w:ascii="Times New Roman" w:eastAsia="Calibri" w:hAnsi="Times New Roman" w:cs="Times New Roman"/>
          <w:kern w:val="0"/>
          <w:szCs w:val="24"/>
          <w:lang w:eastAsia="en-US" w:bidi="ar-SA"/>
        </w:rPr>
        <w:t xml:space="preserve">24 and 30 months after </w:t>
      </w:r>
      <w:r w:rsidR="001107D2" w:rsidRPr="00CB513F">
        <w:rPr>
          <w:rFonts w:ascii="Times New Roman" w:eastAsia="Calibri" w:hAnsi="Times New Roman" w:cs="Times New Roman"/>
          <w:kern w:val="0"/>
          <w:szCs w:val="24"/>
          <w:lang w:eastAsia="en-US" w:bidi="ar-SA"/>
        </w:rPr>
        <w:t xml:space="preserve">WIOA </w:t>
      </w:r>
      <w:r w:rsidRPr="00CB513F">
        <w:rPr>
          <w:rFonts w:ascii="Times New Roman" w:eastAsia="Calibri" w:hAnsi="Times New Roman" w:cs="Times New Roman"/>
          <w:kern w:val="0"/>
          <w:szCs w:val="24"/>
          <w:lang w:eastAsia="en-US" w:bidi="ar-SA"/>
        </w:rPr>
        <w:t>program exit.</w:t>
      </w:r>
    </w:p>
    <w:p w14:paraId="7C42FBB2" w14:textId="4969B1D0" w:rsidR="00910CC8" w:rsidRPr="00CB513F" w:rsidRDefault="00910CC8" w:rsidP="00153308">
      <w:pPr>
        <w:pStyle w:val="ListParagraph"/>
        <w:numPr>
          <w:ilvl w:val="1"/>
          <w:numId w:val="6"/>
        </w:numPr>
        <w:jc w:val="both"/>
        <w:rPr>
          <w:rFonts w:ascii="Times New Roman" w:hAnsi="Times New Roman" w:cs="Times New Roman"/>
          <w:szCs w:val="24"/>
        </w:rPr>
      </w:pPr>
      <w:r w:rsidRPr="00910CC8">
        <w:rPr>
          <w:rFonts w:ascii="Times New Roman" w:hAnsi="Times New Roman" w:cs="Times New Roman"/>
          <w:b/>
          <w:bCs/>
          <w:szCs w:val="24"/>
        </w:rPr>
        <w:t>Secondary, Exploratory Outcomes</w:t>
      </w:r>
      <w:r w:rsidRPr="00910CC8">
        <w:rPr>
          <w:rFonts w:ascii="Times New Roman" w:hAnsi="Times New Roman" w:cs="Times New Roman"/>
          <w:szCs w:val="24"/>
        </w:rPr>
        <w:t>: Additional variables of interest to be examined</w:t>
      </w:r>
      <w:r>
        <w:rPr>
          <w:rFonts w:ascii="Times New Roman" w:hAnsi="Times New Roman" w:cs="Times New Roman"/>
          <w:szCs w:val="24"/>
        </w:rPr>
        <w:t xml:space="preserve"> include t</w:t>
      </w:r>
      <w:r w:rsidRPr="00910CC8">
        <w:rPr>
          <w:rFonts w:ascii="Times New Roman" w:hAnsi="Times New Roman" w:cs="Times New Roman"/>
          <w:szCs w:val="24"/>
        </w:rPr>
        <w:t xml:space="preserve">ake up; </w:t>
      </w:r>
      <w:r w:rsidR="00254278">
        <w:rPr>
          <w:rFonts w:ascii="Times New Roman" w:hAnsi="Times New Roman" w:cs="Times New Roman"/>
          <w:szCs w:val="24"/>
        </w:rPr>
        <w:t>mobility and</w:t>
      </w:r>
      <w:r>
        <w:rPr>
          <w:rFonts w:ascii="Times New Roman" w:hAnsi="Times New Roman" w:cs="Times New Roman"/>
          <w:szCs w:val="24"/>
        </w:rPr>
        <w:t xml:space="preserve"> exploring m</w:t>
      </w:r>
      <w:r w:rsidRPr="00910CC8">
        <w:rPr>
          <w:rFonts w:ascii="Times New Roman" w:hAnsi="Times New Roman" w:cs="Times New Roman"/>
          <w:szCs w:val="24"/>
        </w:rPr>
        <w:t>echanisms</w:t>
      </w:r>
      <w:r>
        <w:rPr>
          <w:rFonts w:ascii="Times New Roman" w:hAnsi="Times New Roman" w:cs="Times New Roman"/>
          <w:szCs w:val="24"/>
        </w:rPr>
        <w:t xml:space="preserve"> through which changes might happen</w:t>
      </w:r>
      <w:r w:rsidRPr="00910CC8">
        <w:rPr>
          <w:rFonts w:ascii="Times New Roman" w:hAnsi="Times New Roman" w:cs="Times New Roman"/>
          <w:szCs w:val="24"/>
        </w:rPr>
        <w:t xml:space="preserve">. </w:t>
      </w:r>
      <w:r>
        <w:rPr>
          <w:rFonts w:ascii="Times New Roman" w:hAnsi="Times New Roman" w:cs="Times New Roman"/>
          <w:szCs w:val="24"/>
        </w:rPr>
        <w:t>These a</w:t>
      </w:r>
      <w:r w:rsidRPr="00910CC8">
        <w:rPr>
          <w:rFonts w:ascii="Times New Roman" w:hAnsi="Times New Roman" w:cs="Times New Roman"/>
          <w:szCs w:val="24"/>
        </w:rPr>
        <w:t>dditional exploratory outcomes of interest will help us understand what features and components of the program might increase take up and strengthen implementation quality. They will also provide additional insights about treatment effect heterogeneity and possible effects on participant’s mobility (as measured by inter-state migration). In addition to mean earnings impact, we will include a binary variable intended to indicate the attainment of a good job. We suggest defining this variable as the median earnings goal negotiated between the Puerto Rico WDP and the US Department of Labor, in accordance with WIOA. We will also use two other stable employment variables defined by earnings levels set at 25% and 50% above the state-negotiated earnings goal.</w:t>
      </w:r>
    </w:p>
    <w:p w14:paraId="1F00E576" w14:textId="08A32884" w:rsidR="00E375EE" w:rsidRPr="00CB513F" w:rsidRDefault="00E375EE" w:rsidP="00153308">
      <w:pPr>
        <w:pStyle w:val="ListParagraph"/>
        <w:numPr>
          <w:ilvl w:val="1"/>
          <w:numId w:val="6"/>
        </w:numPr>
        <w:jc w:val="both"/>
        <w:rPr>
          <w:rFonts w:ascii="Times New Roman" w:hAnsi="Times New Roman" w:cs="Times New Roman"/>
          <w:szCs w:val="24"/>
          <w:shd w:val="clear" w:color="auto" w:fill="EEEEEE"/>
        </w:rPr>
      </w:pPr>
      <w:r w:rsidRPr="00CB513F">
        <w:rPr>
          <w:rFonts w:ascii="Times New Roman" w:eastAsia="Calibri" w:hAnsi="Times New Roman" w:cs="Times New Roman"/>
          <w:b/>
          <w:bCs/>
          <w:szCs w:val="24"/>
          <w:lang w:eastAsia="en-US" w:bidi="ar-SA"/>
        </w:rPr>
        <w:t xml:space="preserve">Covariates: </w:t>
      </w:r>
      <w:r w:rsidRPr="00CB513F">
        <w:rPr>
          <w:rFonts w:ascii="Times New Roman" w:eastAsia="Times New Roman" w:hAnsi="Times New Roman" w:cs="Times New Roman"/>
          <w:szCs w:val="24"/>
        </w:rPr>
        <w:t xml:space="preserve">We will </w:t>
      </w:r>
      <w:r w:rsidR="009A40EF" w:rsidRPr="00CB513F">
        <w:rPr>
          <w:rFonts w:ascii="Times New Roman" w:eastAsia="Times New Roman" w:hAnsi="Times New Roman" w:cs="Times New Roman"/>
          <w:szCs w:val="24"/>
        </w:rPr>
        <w:t>account</w:t>
      </w:r>
      <w:r w:rsidRPr="00CB513F">
        <w:rPr>
          <w:rFonts w:ascii="Times New Roman" w:eastAsia="Times New Roman" w:hAnsi="Times New Roman" w:cs="Times New Roman"/>
          <w:szCs w:val="24"/>
        </w:rPr>
        <w:t xml:space="preserve"> for randomization strata fixed effects: gender, WIOA program. </w:t>
      </w:r>
      <w:r w:rsidR="00E65C77" w:rsidRPr="00CB513F">
        <w:rPr>
          <w:rFonts w:ascii="Times New Roman" w:eastAsia="Times New Roman" w:hAnsi="Times New Roman" w:cs="Times New Roman"/>
          <w:szCs w:val="24"/>
        </w:rPr>
        <w:t xml:space="preserve">We will also control for WIOA exit month (to capture the monthly cohorts receiving treatment). </w:t>
      </w:r>
      <w:r w:rsidRPr="00CB513F">
        <w:rPr>
          <w:rFonts w:ascii="Times New Roman" w:eastAsia="Times New Roman" w:hAnsi="Times New Roman" w:cs="Times New Roman"/>
          <w:szCs w:val="24"/>
        </w:rPr>
        <w:lastRenderedPageBreak/>
        <w:t xml:space="preserve">Other controls to improve precision will be selected using the post-double-selection Lasso method developed by Belloni et al. (2014a, b). We will </w:t>
      </w:r>
      <w:r w:rsidR="00DD727E" w:rsidRPr="00CB513F">
        <w:rPr>
          <w:rFonts w:ascii="Times New Roman" w:eastAsia="Times New Roman" w:hAnsi="Times New Roman" w:cs="Times New Roman"/>
          <w:szCs w:val="24"/>
        </w:rPr>
        <w:t>select</w:t>
      </w:r>
      <w:r w:rsidRPr="00CB513F">
        <w:rPr>
          <w:rFonts w:ascii="Times New Roman" w:eastAsia="Times New Roman" w:hAnsi="Times New Roman" w:cs="Times New Roman"/>
          <w:szCs w:val="24"/>
        </w:rPr>
        <w:t xml:space="preserve"> these controls from the </w:t>
      </w:r>
      <w:r w:rsidR="00DD727E" w:rsidRPr="00CB513F">
        <w:rPr>
          <w:rFonts w:ascii="Times New Roman" w:eastAsia="Times New Roman" w:hAnsi="Times New Roman" w:cs="Times New Roman"/>
          <w:szCs w:val="24"/>
        </w:rPr>
        <w:t xml:space="preserve">following </w:t>
      </w:r>
      <w:r w:rsidRPr="00CB513F">
        <w:rPr>
          <w:rFonts w:ascii="Times New Roman" w:eastAsia="Times New Roman" w:hAnsi="Times New Roman" w:cs="Times New Roman"/>
          <w:szCs w:val="24"/>
        </w:rPr>
        <w:t>list</w:t>
      </w:r>
      <w:r w:rsidR="00DD727E" w:rsidRPr="00CB513F">
        <w:rPr>
          <w:rFonts w:ascii="Times New Roman" w:eastAsia="Times New Roman" w:hAnsi="Times New Roman" w:cs="Times New Roman"/>
          <w:szCs w:val="24"/>
        </w:rPr>
        <w:t xml:space="preserve"> of variables</w:t>
      </w:r>
      <w:r w:rsidR="00D90F61">
        <w:rPr>
          <w:rFonts w:ascii="Times New Roman" w:eastAsia="Times New Roman" w:hAnsi="Times New Roman" w:cs="Times New Roman"/>
          <w:szCs w:val="24"/>
        </w:rPr>
        <w:t xml:space="preserve"> </w:t>
      </w:r>
      <w:r w:rsidR="00AE7055" w:rsidRPr="00CB513F">
        <w:rPr>
          <w:rFonts w:ascii="Times New Roman" w:eastAsia="Times New Roman" w:hAnsi="Times New Roman" w:cs="Times New Roman"/>
          <w:szCs w:val="24"/>
        </w:rPr>
        <w:t xml:space="preserve">(measured </w:t>
      </w:r>
      <w:r w:rsidR="003837D6" w:rsidRPr="00CB513F">
        <w:rPr>
          <w:rFonts w:ascii="Times New Roman" w:eastAsia="Times New Roman" w:hAnsi="Times New Roman" w:cs="Times New Roman"/>
          <w:szCs w:val="24"/>
        </w:rPr>
        <w:t>before the initial onset of</w:t>
      </w:r>
      <w:r w:rsidR="00AE7055" w:rsidRPr="00CB513F">
        <w:rPr>
          <w:rFonts w:ascii="Times New Roman" w:eastAsia="Times New Roman" w:hAnsi="Times New Roman" w:cs="Times New Roman"/>
          <w:szCs w:val="24"/>
        </w:rPr>
        <w:t xml:space="preserve"> WIOA services)</w:t>
      </w:r>
      <w:r w:rsidR="00D90F61">
        <w:rPr>
          <w:rFonts w:ascii="Times New Roman" w:eastAsia="Times New Roman" w:hAnsi="Times New Roman" w:cs="Times New Roman"/>
          <w:szCs w:val="24"/>
        </w:rPr>
        <w:t>, or a transformation of these variables.</w:t>
      </w:r>
      <w:r w:rsidR="00DD727E" w:rsidRPr="00CB513F">
        <w:rPr>
          <w:rFonts w:ascii="Times New Roman" w:eastAsia="Times New Roman" w:hAnsi="Times New Roman" w:cs="Times New Roman"/>
          <w:szCs w:val="24"/>
        </w:rPr>
        <w:t xml:space="preserve"> </w:t>
      </w:r>
      <w:r w:rsidR="00D90F61">
        <w:rPr>
          <w:rFonts w:ascii="Times New Roman" w:eastAsia="Times New Roman" w:hAnsi="Times New Roman" w:cs="Times New Roman"/>
          <w:szCs w:val="24"/>
        </w:rPr>
        <w:t>T</w:t>
      </w:r>
      <w:r w:rsidR="00DD727E" w:rsidRPr="00CB513F">
        <w:rPr>
          <w:rFonts w:ascii="Times New Roman" w:eastAsia="Times New Roman" w:hAnsi="Times New Roman" w:cs="Times New Roman"/>
          <w:szCs w:val="24"/>
        </w:rPr>
        <w:t>he</w:t>
      </w:r>
      <w:r w:rsidR="00D90F61">
        <w:rPr>
          <w:rFonts w:ascii="Times New Roman" w:eastAsia="Times New Roman" w:hAnsi="Times New Roman" w:cs="Times New Roman"/>
          <w:szCs w:val="24"/>
        </w:rPr>
        <w:t xml:space="preserve"> choices</w:t>
      </w:r>
      <w:r w:rsidR="00DD727E" w:rsidRPr="00CB513F">
        <w:rPr>
          <w:rFonts w:ascii="Times New Roman" w:eastAsia="Times New Roman" w:hAnsi="Times New Roman" w:cs="Times New Roman"/>
          <w:szCs w:val="24"/>
        </w:rPr>
        <w:t xml:space="preserve"> will be determined</w:t>
      </w:r>
      <w:r w:rsidRPr="00CB513F">
        <w:rPr>
          <w:rFonts w:ascii="Times New Roman" w:eastAsia="Times New Roman" w:hAnsi="Times New Roman" w:cs="Times New Roman"/>
          <w:szCs w:val="24"/>
        </w:rPr>
        <w:t xml:space="preserve"> prior to estimating impacts: </w:t>
      </w:r>
    </w:p>
    <w:p w14:paraId="006F97D8" w14:textId="63BF90C2"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Local labor area</w:t>
      </w:r>
      <w:r w:rsidR="00B87D16" w:rsidRPr="00CB513F">
        <w:rPr>
          <w:rFonts w:ascii="Times New Roman" w:eastAsia="Times New Roman" w:hAnsi="Times New Roman" w:cs="Times New Roman"/>
        </w:rPr>
        <w:t xml:space="preserve"> (AJC assigned while active under WIOA)</w:t>
      </w:r>
    </w:p>
    <w:p w14:paraId="5420E0E1" w14:textId="5DA12EC8"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Age of the program participant</w:t>
      </w:r>
      <w:r w:rsidR="007721DB" w:rsidRPr="00CB513F">
        <w:rPr>
          <w:rFonts w:ascii="Times New Roman" w:eastAsia="Times New Roman" w:hAnsi="Times New Roman" w:cs="Times New Roman"/>
        </w:rPr>
        <w:t xml:space="preserve"> and age squared</w:t>
      </w:r>
    </w:p>
    <w:p w14:paraId="0C600669" w14:textId="77777777"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Veteran status (=1)</w:t>
      </w:r>
    </w:p>
    <w:p w14:paraId="5AE2B3F3" w14:textId="77777777"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Disability (=1)</w:t>
      </w:r>
    </w:p>
    <w:p w14:paraId="461E47E5" w14:textId="77777777"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Long term unemployed (=1)</w:t>
      </w:r>
    </w:p>
    <w:p w14:paraId="12B8F522" w14:textId="77777777"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School status (attending=1)</w:t>
      </w:r>
    </w:p>
    <w:p w14:paraId="5CA0E421" w14:textId="77777777" w:rsidR="00E375EE" w:rsidRPr="00CB513F" w:rsidRDefault="00E375EE"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Employment status (employed=1)</w:t>
      </w:r>
    </w:p>
    <w:p w14:paraId="5B974352" w14:textId="77777777" w:rsidR="00DC1154" w:rsidRPr="00CB513F" w:rsidRDefault="00E375EE" w:rsidP="00153308">
      <w:pPr>
        <w:numPr>
          <w:ilvl w:val="0"/>
          <w:numId w:val="1"/>
        </w:numPr>
        <w:jc w:val="both"/>
        <w:rPr>
          <w:rFonts w:ascii="Times New Roman" w:eastAsia="Times New Roman" w:hAnsi="Times New Roman" w:cs="Times New Roman"/>
        </w:rPr>
      </w:pPr>
      <w:r w:rsidRPr="00CB513F">
        <w:rPr>
          <w:rFonts w:ascii="Times New Roman" w:eastAsia="Times New Roman" w:hAnsi="Times New Roman" w:cs="Times New Roman"/>
        </w:rPr>
        <w:t xml:space="preserve">Education </w:t>
      </w:r>
    </w:p>
    <w:p w14:paraId="014CE0CB" w14:textId="77777777"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eastAsia="Times New Roman" w:hAnsi="Times New Roman" w:cs="Times New Roman"/>
          <w:szCs w:val="24"/>
        </w:rPr>
        <w:t>1 = Attained secondary school diploma</w:t>
      </w:r>
    </w:p>
    <w:p w14:paraId="4893CE2E" w14:textId="6A0FB5B5"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2 = Attained a secondary school equivalency</w:t>
      </w:r>
    </w:p>
    <w:p w14:paraId="2CAA76A3" w14:textId="30E48FB7"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 xml:space="preserve">3 = The participant with a disability receives a certificate of attendance/completion </w:t>
      </w:r>
      <w:proofErr w:type="gramStart"/>
      <w:r w:rsidRPr="00CB513F">
        <w:rPr>
          <w:rFonts w:ascii="Times New Roman" w:hAnsi="Times New Roman" w:cs="Times New Roman"/>
          <w:szCs w:val="24"/>
        </w:rPr>
        <w:t>as a result of</w:t>
      </w:r>
      <w:proofErr w:type="gramEnd"/>
      <w:r w:rsidRPr="00CB513F">
        <w:rPr>
          <w:rFonts w:ascii="Times New Roman" w:hAnsi="Times New Roman" w:cs="Times New Roman"/>
          <w:szCs w:val="24"/>
        </w:rPr>
        <w:t xml:space="preserve"> successfully completing an Individualized Education Program (IEP)</w:t>
      </w:r>
    </w:p>
    <w:p w14:paraId="22961C5D" w14:textId="77777777"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4 = Completed one of more years of postsecondary education</w:t>
      </w:r>
    </w:p>
    <w:p w14:paraId="4A9CFF8C" w14:textId="7B35F886"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5 = Attained a postsecondary technical or vocational certificate (non-degree)</w:t>
      </w:r>
    </w:p>
    <w:p w14:paraId="3DB27A32" w14:textId="146468C0"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 xml:space="preserve">6 </w:t>
      </w:r>
      <w:proofErr w:type="gramStart"/>
      <w:r w:rsidRPr="00CB513F">
        <w:rPr>
          <w:rFonts w:ascii="Times New Roman" w:hAnsi="Times New Roman" w:cs="Times New Roman"/>
          <w:szCs w:val="24"/>
        </w:rPr>
        <w:t>=  Attained</w:t>
      </w:r>
      <w:proofErr w:type="gramEnd"/>
      <w:r w:rsidRPr="00CB513F">
        <w:rPr>
          <w:rFonts w:ascii="Times New Roman" w:hAnsi="Times New Roman" w:cs="Times New Roman"/>
          <w:szCs w:val="24"/>
        </w:rPr>
        <w:t xml:space="preserve"> an </w:t>
      </w:r>
      <w:r w:rsidR="0077346B">
        <w:rPr>
          <w:rFonts w:ascii="Times New Roman" w:hAnsi="Times New Roman" w:cs="Times New Roman"/>
          <w:szCs w:val="24"/>
        </w:rPr>
        <w:t>a</w:t>
      </w:r>
      <w:r w:rsidRPr="00CB513F">
        <w:rPr>
          <w:rFonts w:ascii="Times New Roman" w:hAnsi="Times New Roman" w:cs="Times New Roman"/>
          <w:szCs w:val="24"/>
        </w:rPr>
        <w:t>ssociate</w:t>
      </w:r>
      <w:r w:rsidR="0077346B">
        <w:rPr>
          <w:rFonts w:ascii="Times New Roman" w:hAnsi="Times New Roman" w:cs="Times New Roman"/>
          <w:szCs w:val="24"/>
        </w:rPr>
        <w:t>’</w:t>
      </w:r>
      <w:r w:rsidRPr="00CB513F">
        <w:rPr>
          <w:rFonts w:ascii="Times New Roman" w:hAnsi="Times New Roman" w:cs="Times New Roman"/>
          <w:szCs w:val="24"/>
        </w:rPr>
        <w:t>s degree</w:t>
      </w:r>
    </w:p>
    <w:p w14:paraId="0306A3B7" w14:textId="6AA42985"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 xml:space="preserve">7 = Attained a </w:t>
      </w:r>
      <w:r w:rsidR="0077346B" w:rsidRPr="00CB513F">
        <w:rPr>
          <w:rFonts w:ascii="Times New Roman" w:hAnsi="Times New Roman" w:cs="Times New Roman"/>
          <w:szCs w:val="24"/>
        </w:rPr>
        <w:t>bachelor’s</w:t>
      </w:r>
      <w:r w:rsidRPr="00CB513F">
        <w:rPr>
          <w:rFonts w:ascii="Times New Roman" w:hAnsi="Times New Roman" w:cs="Times New Roman"/>
          <w:szCs w:val="24"/>
        </w:rPr>
        <w:t xml:space="preserve"> degree                                   </w:t>
      </w:r>
    </w:p>
    <w:p w14:paraId="437F2F78" w14:textId="25035FFC" w:rsidR="00DC1154" w:rsidRPr="00CB513F" w:rsidRDefault="00DC1154" w:rsidP="00153308">
      <w:pPr>
        <w:pStyle w:val="ListParagraph"/>
        <w:numPr>
          <w:ilvl w:val="1"/>
          <w:numId w:val="1"/>
        </w:numPr>
        <w:rPr>
          <w:rFonts w:ascii="Times New Roman" w:hAnsi="Times New Roman" w:cs="Times New Roman"/>
          <w:szCs w:val="24"/>
        </w:rPr>
      </w:pPr>
      <w:r w:rsidRPr="00CB513F">
        <w:rPr>
          <w:rFonts w:ascii="Times New Roman" w:hAnsi="Times New Roman" w:cs="Times New Roman"/>
          <w:szCs w:val="24"/>
        </w:rPr>
        <w:t xml:space="preserve">8 = Attained a degree beyond a </w:t>
      </w:r>
      <w:r w:rsidR="0077346B" w:rsidRPr="00CB513F">
        <w:rPr>
          <w:rFonts w:ascii="Times New Roman" w:hAnsi="Times New Roman" w:cs="Times New Roman"/>
          <w:szCs w:val="24"/>
        </w:rPr>
        <w:t>bachelor’s</w:t>
      </w:r>
      <w:r w:rsidRPr="00CB513F">
        <w:rPr>
          <w:rFonts w:ascii="Times New Roman" w:hAnsi="Times New Roman" w:cs="Times New Roman"/>
          <w:szCs w:val="24"/>
        </w:rPr>
        <w:t xml:space="preserve"> degree                                                                                                                                                                                                                                                                                                                                                                                                                           0 = No Educational Level Completed</w:t>
      </w:r>
    </w:p>
    <w:p w14:paraId="0860D3DF" w14:textId="77777777"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Low-income status</w:t>
      </w:r>
    </w:p>
    <w:p w14:paraId="05ACD91F" w14:textId="77777777"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Ex-offender</w:t>
      </w:r>
    </w:p>
    <w:p w14:paraId="53123C33" w14:textId="77777777"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English language learner</w:t>
      </w:r>
    </w:p>
    <w:p w14:paraId="7D9C445E" w14:textId="77777777"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Basic skill deficient</w:t>
      </w:r>
    </w:p>
    <w:p w14:paraId="14384D69" w14:textId="56149962" w:rsidR="003A312A" w:rsidRPr="00CB513F" w:rsidRDefault="003A312A"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 xml:space="preserve">Being married or cohabitating </w:t>
      </w:r>
    </w:p>
    <w:p w14:paraId="4BFD89AB" w14:textId="2B37C418" w:rsidR="00A4496A" w:rsidRPr="00CB513F" w:rsidRDefault="00A4496A"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 xml:space="preserve">Having children </w:t>
      </w:r>
    </w:p>
    <w:p w14:paraId="6EF7D42A" w14:textId="53AC4DFA"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Single parent</w:t>
      </w:r>
    </w:p>
    <w:p w14:paraId="34933F94" w14:textId="77777777"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Cultural barriers</w:t>
      </w:r>
    </w:p>
    <w:p w14:paraId="4F73CE5A" w14:textId="5AF1AD85" w:rsidR="00DC1154" w:rsidRPr="00CB513F" w:rsidRDefault="00DC1154" w:rsidP="00153308">
      <w:pPr>
        <w:numPr>
          <w:ilvl w:val="0"/>
          <w:numId w:val="1"/>
        </w:numPr>
        <w:jc w:val="both"/>
        <w:rPr>
          <w:rFonts w:ascii="Times New Roman" w:hAnsi="Times New Roman" w:cs="Times New Roman"/>
        </w:rPr>
      </w:pPr>
      <w:r w:rsidRPr="00CB513F">
        <w:rPr>
          <w:rFonts w:ascii="Times New Roman" w:eastAsia="Times New Roman" w:hAnsi="Times New Roman" w:cs="Times New Roman"/>
        </w:rPr>
        <w:t>SNAP recipient</w:t>
      </w:r>
    </w:p>
    <w:p w14:paraId="6E71660A" w14:textId="4E28D0C1" w:rsidR="00AE7055" w:rsidRPr="00CB513F" w:rsidRDefault="00AE7055" w:rsidP="00153308">
      <w:pPr>
        <w:numPr>
          <w:ilvl w:val="0"/>
          <w:numId w:val="1"/>
        </w:numPr>
        <w:jc w:val="both"/>
        <w:rPr>
          <w:rFonts w:ascii="Times New Roman" w:eastAsia="Times New Roman" w:hAnsi="Times New Roman" w:cs="Times New Roman"/>
        </w:rPr>
      </w:pPr>
      <w:r w:rsidRPr="00CB513F">
        <w:rPr>
          <w:rFonts w:ascii="Times New Roman" w:eastAsia="Times New Roman" w:hAnsi="Times New Roman" w:cs="Times New Roman"/>
        </w:rPr>
        <w:t>Received WIOA training (=1) as part of the WIOA services</w:t>
      </w:r>
    </w:p>
    <w:p w14:paraId="1F71F5EA" w14:textId="77777777" w:rsidR="00501CCF" w:rsidRPr="00CB513F" w:rsidRDefault="00501CCF" w:rsidP="00153308">
      <w:pPr>
        <w:jc w:val="both"/>
        <w:rPr>
          <w:rFonts w:ascii="Times New Roman" w:eastAsia="Times New Roman" w:hAnsi="Times New Roman" w:cs="Times New Roman"/>
          <w:b/>
          <w:bCs/>
        </w:rPr>
      </w:pPr>
    </w:p>
    <w:p w14:paraId="2DA240FF" w14:textId="08D326FF" w:rsidR="00212E8F" w:rsidRPr="00CB513F" w:rsidRDefault="00450716"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hAnsi="Times New Roman" w:cs="Times New Roman"/>
          <w:b/>
          <w:bCs/>
          <w:szCs w:val="24"/>
        </w:rPr>
        <w:t xml:space="preserve">Data Analysis Plan / </w:t>
      </w:r>
      <w:r w:rsidR="00B76571" w:rsidRPr="00CB513F">
        <w:rPr>
          <w:rFonts w:ascii="Times New Roman" w:hAnsi="Times New Roman" w:cs="Times New Roman"/>
          <w:b/>
          <w:bCs/>
          <w:szCs w:val="24"/>
        </w:rPr>
        <w:t xml:space="preserve">Econometric </w:t>
      </w:r>
      <w:r w:rsidR="00824E71" w:rsidRPr="00CB513F">
        <w:rPr>
          <w:rFonts w:ascii="Times New Roman" w:hAnsi="Times New Roman" w:cs="Times New Roman"/>
          <w:b/>
          <w:bCs/>
          <w:szCs w:val="24"/>
        </w:rPr>
        <w:t>Specification</w:t>
      </w:r>
      <w:r w:rsidR="00B76571" w:rsidRPr="00CB513F">
        <w:rPr>
          <w:rFonts w:ascii="Times New Roman" w:hAnsi="Times New Roman" w:cs="Times New Roman"/>
          <w:b/>
          <w:bCs/>
          <w:szCs w:val="24"/>
        </w:rPr>
        <w:t xml:space="preserve">/ </w:t>
      </w:r>
      <w:r w:rsidR="00DC1154" w:rsidRPr="00CB513F">
        <w:rPr>
          <w:rFonts w:ascii="Times New Roman" w:hAnsi="Times New Roman" w:cs="Times New Roman"/>
          <w:b/>
          <w:bCs/>
          <w:szCs w:val="24"/>
        </w:rPr>
        <w:t>Statistical Model Specification</w:t>
      </w:r>
    </w:p>
    <w:p w14:paraId="755D80E8" w14:textId="74EC0AB0" w:rsidR="00C317DF" w:rsidRPr="000A38B0" w:rsidRDefault="00212E8F" w:rsidP="00153308">
      <w:pPr>
        <w:pStyle w:val="ListParagraph"/>
        <w:numPr>
          <w:ilvl w:val="1"/>
          <w:numId w:val="6"/>
        </w:numPr>
        <w:jc w:val="both"/>
        <w:rPr>
          <w:rFonts w:ascii="Times New Roman" w:eastAsia="Calibri" w:hAnsi="Times New Roman" w:cs="Times New Roman"/>
          <w:kern w:val="0"/>
          <w:lang w:eastAsia="en-US" w:bidi="ar-SA"/>
        </w:rPr>
      </w:pPr>
      <w:r w:rsidRPr="00CB513F">
        <w:rPr>
          <w:rFonts w:ascii="Times New Roman" w:hAnsi="Times New Roman" w:cs="Times New Roman"/>
          <w:b/>
          <w:bCs/>
          <w:szCs w:val="24"/>
        </w:rPr>
        <w:t>Intent to Treat</w:t>
      </w:r>
      <w:r w:rsidR="00FF41E2" w:rsidRPr="00CB513F">
        <w:rPr>
          <w:rFonts w:ascii="Times New Roman" w:hAnsi="Times New Roman" w:cs="Times New Roman"/>
          <w:b/>
          <w:bCs/>
          <w:szCs w:val="24"/>
        </w:rPr>
        <w:t>:</w:t>
      </w:r>
      <w:r w:rsidR="00C317DF" w:rsidRPr="00CB513F">
        <w:rPr>
          <w:rFonts w:ascii="Times New Roman" w:hAnsi="Times New Roman" w:cs="Times New Roman"/>
          <w:b/>
          <w:bCs/>
          <w:szCs w:val="24"/>
        </w:rPr>
        <w:t xml:space="preserve"> </w:t>
      </w:r>
      <w:r w:rsidR="00C317DF" w:rsidRPr="00CB513F">
        <w:rPr>
          <w:rFonts w:ascii="Times New Roman" w:eastAsia="Calibri" w:hAnsi="Times New Roman" w:cs="Times New Roman"/>
          <w:kern w:val="0"/>
          <w:szCs w:val="24"/>
          <w:lang w:eastAsia="en-US" w:bidi="ar-SA"/>
        </w:rPr>
        <w:t xml:space="preserve">Our </w:t>
      </w:r>
      <w:r w:rsidR="00B76571" w:rsidRPr="00CB513F">
        <w:rPr>
          <w:rFonts w:ascii="Times New Roman" w:eastAsia="Calibri" w:hAnsi="Times New Roman" w:cs="Times New Roman"/>
          <w:kern w:val="0"/>
          <w:szCs w:val="24"/>
          <w:lang w:eastAsia="en-US" w:bidi="ar-SA"/>
        </w:rPr>
        <w:t xml:space="preserve">data are a </w:t>
      </w:r>
      <w:r w:rsidR="00BA2B3A" w:rsidRPr="00CB513F">
        <w:rPr>
          <w:rFonts w:ascii="Times New Roman" w:eastAsia="Calibri" w:hAnsi="Times New Roman" w:cs="Times New Roman"/>
          <w:kern w:val="0"/>
          <w:szCs w:val="24"/>
          <w:lang w:eastAsia="en-US" w:bidi="ar-SA"/>
        </w:rPr>
        <w:t>panel</w:t>
      </w:r>
      <w:r w:rsidR="00D3444D">
        <w:rPr>
          <w:rFonts w:ascii="Times New Roman" w:eastAsia="Calibri" w:hAnsi="Times New Roman" w:cs="Times New Roman"/>
          <w:kern w:val="0"/>
          <w:szCs w:val="24"/>
          <w:lang w:eastAsia="en-US" w:bidi="ar-SA"/>
        </w:rPr>
        <w:t xml:space="preserve">, </w:t>
      </w:r>
      <w:r w:rsidR="00B76571" w:rsidRPr="00CB513F">
        <w:rPr>
          <w:rFonts w:ascii="Times New Roman" w:eastAsia="Calibri" w:hAnsi="Times New Roman" w:cs="Times New Roman"/>
          <w:kern w:val="0"/>
          <w:szCs w:val="24"/>
          <w:lang w:eastAsia="en-US" w:bidi="ar-SA"/>
        </w:rPr>
        <w:t xml:space="preserve">and our unit of observation is at the individual level. </w:t>
      </w:r>
      <w:r w:rsidR="00B56F76">
        <w:rPr>
          <w:rFonts w:ascii="Times New Roman" w:eastAsia="Calibri" w:hAnsi="Times New Roman" w:cs="Times New Roman"/>
          <w:kern w:val="0"/>
          <w:szCs w:val="24"/>
          <w:lang w:eastAsia="en-US" w:bidi="ar-SA"/>
        </w:rPr>
        <w:t xml:space="preserve">Participation in the program is voluntary. </w:t>
      </w:r>
      <w:r w:rsidR="00C317DF" w:rsidRPr="00CB513F">
        <w:rPr>
          <w:rFonts w:ascii="Times New Roman" w:eastAsia="Calibri" w:hAnsi="Times New Roman" w:cs="Times New Roman"/>
          <w:kern w:val="0"/>
          <w:szCs w:val="24"/>
          <w:lang w:eastAsia="en-US" w:bidi="ar-SA"/>
        </w:rPr>
        <w:t xml:space="preserve">We will estimate intent-to-treat (ITT) </w:t>
      </w:r>
      <w:r w:rsidR="00B56F76">
        <w:rPr>
          <w:rFonts w:ascii="Times New Roman" w:eastAsia="Calibri" w:hAnsi="Times New Roman" w:cs="Times New Roman"/>
          <w:kern w:val="0"/>
          <w:szCs w:val="24"/>
          <w:lang w:eastAsia="en-US" w:bidi="ar-SA"/>
        </w:rPr>
        <w:t xml:space="preserve">effects to capture the causal effect of the intervention invitation, regardless of whether participants participated in the program when given the opportunity. </w:t>
      </w:r>
      <w:r w:rsidR="000A38B0">
        <w:rPr>
          <w:rFonts w:ascii="Times New Roman" w:eastAsia="Calibri" w:hAnsi="Times New Roman" w:cs="Times New Roman"/>
          <w:kern w:val="0"/>
          <w:szCs w:val="24"/>
          <w:lang w:eastAsia="en-US" w:bidi="ar-SA"/>
        </w:rPr>
        <w:t xml:space="preserve">We will analyze </w:t>
      </w:r>
      <w:r w:rsidR="00C317DF" w:rsidRPr="000A38B0">
        <w:rPr>
          <w:rFonts w:ascii="Times New Roman" w:eastAsia="Calibri" w:hAnsi="Times New Roman" w:cs="Times New Roman"/>
          <w:kern w:val="0"/>
          <w:lang w:eastAsia="en-US" w:bidi="ar-SA"/>
        </w:rPr>
        <w:t xml:space="preserve">the </w:t>
      </w:r>
      <w:r w:rsidR="00B051CB" w:rsidRPr="000A38B0">
        <w:rPr>
          <w:rFonts w:ascii="Times New Roman" w:eastAsia="Calibri" w:hAnsi="Times New Roman" w:cs="Times New Roman"/>
          <w:kern w:val="0"/>
          <w:lang w:eastAsia="en-US" w:bidi="ar-SA"/>
        </w:rPr>
        <w:t xml:space="preserve">new </w:t>
      </w:r>
      <w:r w:rsidR="00C317DF" w:rsidRPr="000A38B0">
        <w:rPr>
          <w:rFonts w:ascii="Times New Roman" w:eastAsia="Calibri" w:hAnsi="Times New Roman" w:cs="Times New Roman"/>
          <w:kern w:val="0"/>
          <w:lang w:eastAsia="en-US" w:bidi="ar-SA"/>
        </w:rPr>
        <w:t>package of intensive job search and support services</w:t>
      </w:r>
      <w:r w:rsidR="000A38B0">
        <w:rPr>
          <w:rFonts w:ascii="Times New Roman" w:eastAsia="Calibri" w:hAnsi="Times New Roman" w:cs="Times New Roman"/>
          <w:kern w:val="0"/>
          <w:lang w:eastAsia="en-US" w:bidi="ar-SA"/>
        </w:rPr>
        <w:t xml:space="preserve"> led to improvement in labor market outcomes at different points in time post treatment</w:t>
      </w:r>
      <w:r w:rsidR="00C317DF" w:rsidRPr="000A38B0">
        <w:rPr>
          <w:rFonts w:ascii="Times New Roman" w:eastAsia="Calibri" w:hAnsi="Times New Roman" w:cs="Times New Roman"/>
          <w:kern w:val="0"/>
          <w:lang w:eastAsia="en-US" w:bidi="ar-SA"/>
        </w:rPr>
        <w:t xml:space="preserve">. ITT impacts will be estimated using the following </w:t>
      </w:r>
      <w:r w:rsidR="00191C94">
        <w:rPr>
          <w:rFonts w:ascii="Times New Roman" w:eastAsia="Calibri" w:hAnsi="Times New Roman" w:cs="Times New Roman"/>
          <w:kern w:val="0"/>
          <w:lang w:eastAsia="en-US" w:bidi="ar-SA"/>
        </w:rPr>
        <w:t xml:space="preserve">ordinary least squares (OLS) </w:t>
      </w:r>
      <w:r w:rsidR="00C317DF" w:rsidRPr="000A38B0">
        <w:rPr>
          <w:rFonts w:ascii="Times New Roman" w:eastAsia="Calibri" w:hAnsi="Times New Roman" w:cs="Times New Roman"/>
          <w:kern w:val="0"/>
          <w:lang w:eastAsia="en-US" w:bidi="ar-SA"/>
        </w:rPr>
        <w:t>model</w:t>
      </w:r>
      <w:r w:rsidR="00582C55" w:rsidRPr="000A38B0">
        <w:rPr>
          <w:rFonts w:ascii="Times New Roman" w:eastAsia="Calibri" w:hAnsi="Times New Roman" w:cs="Times New Roman"/>
          <w:kern w:val="0"/>
          <w:lang w:eastAsia="en-US" w:bidi="ar-SA"/>
        </w:rPr>
        <w:t xml:space="preserve"> specification</w:t>
      </w:r>
      <w:r w:rsidR="00C317DF" w:rsidRPr="000A38B0">
        <w:rPr>
          <w:rFonts w:ascii="Times New Roman" w:eastAsia="Calibri" w:hAnsi="Times New Roman" w:cs="Times New Roman"/>
          <w:kern w:val="0"/>
          <w:lang w:eastAsia="en-US" w:bidi="ar-SA"/>
        </w:rPr>
        <w:t>:</w:t>
      </w:r>
    </w:p>
    <w:p w14:paraId="1F2747C8" w14:textId="5D0C400D" w:rsidR="00C317DF" w:rsidRPr="00CB513F" w:rsidRDefault="00000000" w:rsidP="00153308">
      <w:pPr>
        <w:spacing w:after="200"/>
        <w:jc w:val="cente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it</m:t>
            </m:r>
          </m:sub>
        </m:sSub>
        <m:r>
          <w:rPr>
            <w:rFonts w:ascii="Cambria Math" w:hAnsi="Cambria Math" w:cs="Times New Roman"/>
          </w:rPr>
          <m:t>=θ</m:t>
        </m:r>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it</m:t>
            </m:r>
          </m:sub>
        </m:sSub>
        <m:r>
          <w:rPr>
            <w:rFonts w:ascii="Cambria Math" w:hAnsi="Cambria Math" w:cs="Times New Roman"/>
          </w:rPr>
          <m:t>+β</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+dstrata+</m:t>
        </m:r>
        <m:sSub>
          <m:sSubPr>
            <m:ctrlPr>
              <w:rPr>
                <w:rFonts w:ascii="Cambria Math" w:hAnsi="Cambria Math" w:cs="Times New Roman"/>
              </w:rPr>
            </m:ctrlPr>
          </m:sSubPr>
          <m:e>
            <m:r>
              <w:rPr>
                <w:rFonts w:ascii="Cambria Math" w:hAnsi="Cambria Math" w:cs="Times New Roman"/>
                <w:i/>
              </w:rPr>
              <w:sym w:font="Symbol" w:char="F064"/>
            </m:r>
          </m:e>
          <m:sub>
            <m:r>
              <w:rPr>
                <w:rFonts w:ascii="Cambria Math" w:hAnsi="Cambria Math" w:cs="Times New Roman"/>
              </w:rPr>
              <m:t>g</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ε</m:t>
            </m:r>
          </m:e>
          <m:sub>
            <m:r>
              <w:rPr>
                <w:rFonts w:ascii="Cambria Math" w:hAnsi="Cambria Math" w:cs="Times New Roman"/>
              </w:rPr>
              <m:t>it</m:t>
            </m:r>
          </m:sub>
        </m:sSub>
      </m:oMath>
      <w:r w:rsidR="005D04B8" w:rsidRPr="00CB513F">
        <w:rPr>
          <w:rFonts w:ascii="Times New Roman" w:hAnsi="Times New Roman" w:cs="Times New Roman"/>
        </w:rPr>
        <w:t xml:space="preserve"> (1)</w:t>
      </w:r>
    </w:p>
    <w:p w14:paraId="5DF9B3C0" w14:textId="77777777" w:rsidR="00153308" w:rsidRDefault="00C317DF" w:rsidP="00153308">
      <w:pPr>
        <w:ind w:left="709"/>
        <w:jc w:val="both"/>
        <w:rPr>
          <w:rFonts w:ascii="Times New Roman" w:eastAsia="Calibri" w:hAnsi="Times New Roman" w:cs="Times New Roman"/>
          <w:kern w:val="0"/>
          <w:lang w:eastAsia="en-US" w:bidi="ar-SA"/>
        </w:rPr>
      </w:pPr>
      <w:r w:rsidRPr="00CB513F">
        <w:rPr>
          <w:rFonts w:ascii="Times New Roman" w:eastAsia="Calibri" w:hAnsi="Times New Roman" w:cs="Times New Roman"/>
          <w:kern w:val="0"/>
          <w:lang w:eastAsia="en-US" w:bidi="ar-SA"/>
        </w:rPr>
        <w:t>where Y</w:t>
      </w:r>
      <w:r w:rsidRPr="00CB513F">
        <w:rPr>
          <w:rFonts w:ascii="Times New Roman" w:eastAsia="Calibri" w:hAnsi="Times New Roman" w:cs="Times New Roman"/>
          <w:i/>
          <w:iCs/>
          <w:kern w:val="0"/>
          <w:lang w:eastAsia="en-US" w:bidi="ar-SA"/>
        </w:rPr>
        <w:t>it</w:t>
      </w:r>
      <w:r w:rsidRPr="00CB513F">
        <w:rPr>
          <w:rFonts w:ascii="Times New Roman" w:eastAsia="Calibri" w:hAnsi="Times New Roman" w:cs="Times New Roman"/>
          <w:kern w:val="0"/>
          <w:lang w:eastAsia="en-US" w:bidi="ar-SA"/>
        </w:rPr>
        <w:t xml:space="preserve"> is a labor market outcome for individual </w:t>
      </w:r>
      <w:r w:rsidRPr="00CB513F">
        <w:rPr>
          <w:rFonts w:ascii="Times New Roman" w:eastAsia="Calibri" w:hAnsi="Times New Roman" w:cs="Times New Roman"/>
          <w:i/>
          <w:iCs/>
          <w:kern w:val="0"/>
          <w:lang w:eastAsia="en-US" w:bidi="ar-SA"/>
        </w:rPr>
        <w:t>i</w:t>
      </w:r>
      <w:r w:rsidRPr="00CB513F">
        <w:rPr>
          <w:rFonts w:ascii="Times New Roman" w:eastAsia="Calibri" w:hAnsi="Times New Roman" w:cs="Times New Roman"/>
          <w:kern w:val="0"/>
          <w:lang w:eastAsia="en-US" w:bidi="ar-SA"/>
        </w:rPr>
        <w:t xml:space="preserve"> in period </w:t>
      </w:r>
      <w:r w:rsidRPr="00CB513F">
        <w:rPr>
          <w:rFonts w:ascii="Times New Roman" w:eastAsia="Calibri" w:hAnsi="Times New Roman" w:cs="Times New Roman"/>
          <w:i/>
          <w:iCs/>
          <w:kern w:val="0"/>
          <w:lang w:eastAsia="en-US" w:bidi="ar-SA"/>
        </w:rPr>
        <w:t>t</w:t>
      </w:r>
      <w:r w:rsidRPr="00CB513F">
        <w:rPr>
          <w:rFonts w:ascii="Times New Roman" w:eastAsia="Calibri" w:hAnsi="Times New Roman" w:cs="Times New Roman"/>
          <w:kern w:val="0"/>
          <w:lang w:eastAsia="en-US" w:bidi="ar-SA"/>
        </w:rPr>
        <w:t>, T</w:t>
      </w:r>
      <w:r w:rsidR="005D04B8" w:rsidRPr="00CB513F">
        <w:rPr>
          <w:rFonts w:ascii="Times New Roman" w:eastAsia="Calibri" w:hAnsi="Times New Roman" w:cs="Times New Roman"/>
          <w:i/>
          <w:iCs/>
          <w:kern w:val="0"/>
          <w:lang w:eastAsia="en-US" w:bidi="ar-SA"/>
        </w:rPr>
        <w:t>it</w:t>
      </w:r>
      <w:r w:rsidRPr="00CB513F">
        <w:rPr>
          <w:rFonts w:ascii="Times New Roman" w:eastAsia="Calibri" w:hAnsi="Times New Roman" w:cs="Times New Roman"/>
          <w:kern w:val="0"/>
          <w:lang w:eastAsia="en-US" w:bidi="ar-SA"/>
        </w:rPr>
        <w:t xml:space="preserve"> is an indicator of assignment to treatment</w:t>
      </w:r>
      <w:r w:rsidR="005D04B8" w:rsidRPr="00CB513F">
        <w:rPr>
          <w:rFonts w:ascii="Times New Roman" w:eastAsia="Calibri" w:hAnsi="Times New Roman" w:cs="Times New Roman"/>
          <w:kern w:val="0"/>
          <w:lang w:eastAsia="en-US" w:bidi="ar-SA"/>
        </w:rPr>
        <w:t xml:space="preserve"> in period </w:t>
      </w:r>
      <w:r w:rsidR="005D04B8" w:rsidRPr="00CB513F">
        <w:rPr>
          <w:rFonts w:ascii="Times New Roman" w:eastAsia="Calibri" w:hAnsi="Times New Roman" w:cs="Times New Roman"/>
          <w:i/>
          <w:iCs/>
          <w:kern w:val="0"/>
          <w:lang w:eastAsia="en-US" w:bidi="ar-SA"/>
        </w:rPr>
        <w:t>t</w:t>
      </w:r>
      <w:r w:rsidRPr="00CB513F">
        <w:rPr>
          <w:rFonts w:ascii="Times New Roman" w:eastAsia="Calibri" w:hAnsi="Times New Roman" w:cs="Times New Roman"/>
          <w:kern w:val="0"/>
          <w:lang w:eastAsia="en-US" w:bidi="ar-SA"/>
        </w:rPr>
        <w:t>, X</w:t>
      </w:r>
      <w:r w:rsidRPr="00CB513F">
        <w:rPr>
          <w:rFonts w:ascii="Times New Roman" w:eastAsia="Calibri" w:hAnsi="Times New Roman" w:cs="Times New Roman"/>
          <w:i/>
          <w:iCs/>
          <w:kern w:val="0"/>
          <w:lang w:eastAsia="en-US" w:bidi="ar-SA"/>
        </w:rPr>
        <w:t>i</w:t>
      </w:r>
      <w:r w:rsidRPr="00CB513F">
        <w:rPr>
          <w:rFonts w:ascii="Times New Roman" w:eastAsia="Calibri" w:hAnsi="Times New Roman" w:cs="Times New Roman"/>
          <w:kern w:val="0"/>
          <w:lang w:eastAsia="en-US" w:bidi="ar-SA"/>
        </w:rPr>
        <w:t xml:space="preserve"> is a set of</w:t>
      </w:r>
      <w:r w:rsidR="00816309" w:rsidRPr="00CB513F">
        <w:rPr>
          <w:rFonts w:ascii="Times New Roman" w:eastAsia="Calibri" w:hAnsi="Times New Roman" w:cs="Times New Roman"/>
          <w:kern w:val="0"/>
          <w:lang w:eastAsia="en-US" w:bidi="ar-SA"/>
        </w:rPr>
        <w:t xml:space="preserve"> baseline</w:t>
      </w:r>
      <w:r w:rsidRPr="00CB513F">
        <w:rPr>
          <w:rFonts w:ascii="Times New Roman" w:eastAsia="Calibri" w:hAnsi="Times New Roman" w:cs="Times New Roman"/>
          <w:kern w:val="0"/>
          <w:lang w:eastAsia="en-US" w:bidi="ar-SA"/>
        </w:rPr>
        <w:t xml:space="preserve"> individual-level </w:t>
      </w:r>
      <w:r w:rsidR="0076169E" w:rsidRPr="00CB513F">
        <w:rPr>
          <w:rFonts w:ascii="Times New Roman" w:eastAsia="Calibri" w:hAnsi="Times New Roman" w:cs="Times New Roman"/>
          <w:kern w:val="0"/>
          <w:lang w:eastAsia="en-US" w:bidi="ar-SA"/>
        </w:rPr>
        <w:t>characteristics</w:t>
      </w:r>
      <w:r w:rsidRPr="00CB513F">
        <w:rPr>
          <w:rFonts w:ascii="Times New Roman" w:eastAsia="Calibri" w:hAnsi="Times New Roman" w:cs="Times New Roman"/>
          <w:kern w:val="0"/>
          <w:lang w:eastAsia="en-US" w:bidi="ar-SA"/>
        </w:rPr>
        <w:t xml:space="preserve"> (including </w:t>
      </w:r>
      <w:r w:rsidRPr="00CB513F">
        <w:rPr>
          <w:rFonts w:ascii="Times New Roman" w:eastAsia="Calibri" w:hAnsi="Times New Roman" w:cs="Times New Roman"/>
          <w:kern w:val="0"/>
          <w:lang w:eastAsia="en-US" w:bidi="ar-SA"/>
        </w:rPr>
        <w:lastRenderedPageBreak/>
        <w:t>demographic characteristics)</w:t>
      </w:r>
      <w:r w:rsidR="0076169E" w:rsidRPr="00CB513F">
        <w:rPr>
          <w:rFonts w:ascii="Times New Roman" w:eastAsia="Calibri" w:hAnsi="Times New Roman" w:cs="Times New Roman"/>
          <w:kern w:val="0"/>
          <w:lang w:eastAsia="en-US" w:bidi="ar-SA"/>
        </w:rPr>
        <w:t xml:space="preserve"> to increase the precision of the estimates</w:t>
      </w:r>
      <w:r w:rsidRPr="00CB513F">
        <w:rPr>
          <w:rFonts w:ascii="Times New Roman" w:eastAsia="Calibri" w:hAnsi="Times New Roman" w:cs="Times New Roman"/>
          <w:kern w:val="0"/>
          <w:lang w:eastAsia="en-US" w:bidi="ar-SA"/>
        </w:rPr>
        <w:t>,</w:t>
      </w:r>
      <w:r w:rsidR="0076169E" w:rsidRPr="00CB513F">
        <w:rPr>
          <w:rFonts w:ascii="Times New Roman" w:eastAsia="Calibri" w:hAnsi="Times New Roman" w:cs="Times New Roman"/>
          <w:kern w:val="0"/>
          <w:lang w:eastAsia="en-US" w:bidi="ar-SA"/>
        </w:rPr>
        <w:t xml:space="preserve"> dstrata are strata fixed effects</w:t>
      </w:r>
      <w:r w:rsidR="00C9600F" w:rsidRPr="00CB513F">
        <w:rPr>
          <w:rFonts w:ascii="Times New Roman" w:eastAsia="Calibri" w:hAnsi="Times New Roman" w:cs="Times New Roman"/>
          <w:kern w:val="0"/>
          <w:lang w:eastAsia="en-US" w:bidi="ar-SA"/>
        </w:rPr>
        <w:t xml:space="preserve">, and </w:t>
      </w:r>
      <m:oMath>
        <m:sSub>
          <m:sSubPr>
            <m:ctrlPr>
              <w:rPr>
                <w:rFonts w:ascii="Cambria Math" w:hAnsi="Cambria Math" w:cs="Times New Roman"/>
              </w:rPr>
            </m:ctrlPr>
          </m:sSubPr>
          <m:e>
            <m:r>
              <w:rPr>
                <w:rFonts w:ascii="Cambria Math" w:hAnsi="Cambria Math" w:cs="Times New Roman"/>
                <w:i/>
              </w:rPr>
              <w:sym w:font="Symbol" w:char="F064"/>
            </m:r>
          </m:e>
          <m:sub>
            <m:r>
              <w:rPr>
                <w:rFonts w:ascii="Cambria Math" w:hAnsi="Cambria Math" w:cs="Times New Roman"/>
              </w:rPr>
              <m:t>g</m:t>
            </m:r>
          </m:sub>
        </m:sSub>
      </m:oMath>
      <w:r w:rsidR="00C9600F" w:rsidRPr="00CB513F">
        <w:rPr>
          <w:rFonts w:ascii="Times New Roman" w:eastAsia="Calibri" w:hAnsi="Times New Roman" w:cs="Times New Roman"/>
        </w:rPr>
        <w:t xml:space="preserve"> is a wave fixed effect</w:t>
      </w:r>
      <w:r w:rsidR="00024F92" w:rsidRPr="00CB513F">
        <w:rPr>
          <w:rFonts w:ascii="Times New Roman" w:eastAsia="Calibri" w:hAnsi="Times New Roman" w:cs="Times New Roman"/>
        </w:rPr>
        <w:t xml:space="preserve"> </w:t>
      </w:r>
      <w:r w:rsidR="00342A11" w:rsidRPr="00CB513F">
        <w:rPr>
          <w:rFonts w:ascii="Times New Roman" w:eastAsia="Calibri" w:hAnsi="Times New Roman" w:cs="Times New Roman"/>
        </w:rPr>
        <w:t>(capturing the monthly cohort)</w:t>
      </w:r>
      <w:r w:rsidR="00024F92" w:rsidRPr="00CB513F">
        <w:rPr>
          <w:rFonts w:ascii="Times New Roman" w:eastAsia="Calibri" w:hAnsi="Times New Roman" w:cs="Times New Roman"/>
        </w:rPr>
        <w:t xml:space="preserve">. </w:t>
      </w:r>
      <w:r w:rsidR="00024F92" w:rsidRPr="00191C94">
        <w:rPr>
          <w:rFonts w:ascii="Times New Roman" w:eastAsia="Calibri" w:hAnsi="Times New Roman" w:cs="Times New Roman"/>
        </w:rPr>
        <w:t>The parameter of interest is θ</w:t>
      </w:r>
      <w:r w:rsidRPr="00CB513F">
        <w:rPr>
          <w:rFonts w:ascii="Times New Roman" w:eastAsia="Calibri" w:hAnsi="Times New Roman" w:cs="Times New Roman"/>
          <w:kern w:val="0"/>
          <w:lang w:eastAsia="en-US" w:bidi="ar-SA"/>
        </w:rPr>
        <w:t xml:space="preserve">. </w:t>
      </w:r>
    </w:p>
    <w:p w14:paraId="45F40D29" w14:textId="006C8367" w:rsidR="003D5AF0" w:rsidRPr="00B56F76" w:rsidRDefault="00C317DF" w:rsidP="00153308">
      <w:pPr>
        <w:ind w:left="709"/>
        <w:jc w:val="both"/>
        <w:rPr>
          <w:rFonts w:ascii="Times New Roman" w:eastAsia="Calibri" w:hAnsi="Times New Roman" w:cs="Times New Roman"/>
          <w:kern w:val="0"/>
          <w:lang w:eastAsia="en-US" w:bidi="ar-SA"/>
        </w:rPr>
      </w:pPr>
      <w:r w:rsidRPr="00CB513F">
        <w:rPr>
          <w:rFonts w:ascii="Times New Roman" w:eastAsia="Calibri" w:hAnsi="Times New Roman" w:cs="Times New Roman"/>
          <w:kern w:val="0"/>
          <w:lang w:eastAsia="en-US" w:bidi="ar-SA"/>
        </w:rPr>
        <w:t>Understanding which type of job seeker derives the greatest benefit from job-search assistance and career navigator support is a critical question that needs to be addressed.</w:t>
      </w:r>
      <w:r w:rsidR="00F4384D" w:rsidRPr="00CB513F">
        <w:rPr>
          <w:rFonts w:ascii="Times New Roman" w:eastAsia="Calibri" w:hAnsi="Times New Roman" w:cs="Times New Roman"/>
          <w:kern w:val="0"/>
          <w:lang w:eastAsia="en-US" w:bidi="ar-SA"/>
        </w:rPr>
        <w:t xml:space="preserve"> Because we are interested in heterogenous treatment effects, we procced with a stratification of treatment by gender and WIOA </w:t>
      </w:r>
      <w:r w:rsidR="00424CB8" w:rsidRPr="00CB513F">
        <w:rPr>
          <w:rFonts w:ascii="Times New Roman" w:eastAsia="Calibri" w:hAnsi="Times New Roman" w:cs="Times New Roman"/>
          <w:kern w:val="0"/>
          <w:lang w:eastAsia="en-US" w:bidi="ar-SA"/>
        </w:rPr>
        <w:t xml:space="preserve">exit </w:t>
      </w:r>
      <w:r w:rsidR="00F4384D" w:rsidRPr="00CB513F">
        <w:rPr>
          <w:rFonts w:ascii="Times New Roman" w:eastAsia="Calibri" w:hAnsi="Times New Roman" w:cs="Times New Roman"/>
          <w:kern w:val="0"/>
          <w:lang w:eastAsia="en-US" w:bidi="ar-SA"/>
        </w:rPr>
        <w:t>program (adult, dislocated worker, youth, Wagner-Peyser) at baseline.</w:t>
      </w:r>
      <w:r w:rsidRPr="00CB513F">
        <w:rPr>
          <w:rFonts w:ascii="Times New Roman" w:hAnsi="Times New Roman" w:cs="Times New Roman"/>
        </w:rPr>
        <w:t xml:space="preserve"> </w:t>
      </w:r>
      <w:r w:rsidRPr="00CB513F">
        <w:rPr>
          <w:rFonts w:ascii="Times New Roman" w:eastAsia="Calibri" w:hAnsi="Times New Roman" w:cs="Times New Roman"/>
          <w:kern w:val="0"/>
          <w:lang w:eastAsia="en-US" w:bidi="ar-SA"/>
        </w:rPr>
        <w:t>We will estimate the impact relative to the labor-market outcomes in the control group.</w:t>
      </w:r>
      <w:r w:rsidR="00BB21F0" w:rsidRPr="00CB513F">
        <w:rPr>
          <w:rFonts w:ascii="Times New Roman" w:hAnsi="Times New Roman" w:cs="Times New Roman"/>
          <w:b/>
          <w:bCs/>
        </w:rPr>
        <w:t xml:space="preserve"> </w:t>
      </w:r>
      <w:r w:rsidR="003D5AF0" w:rsidRPr="00CB513F">
        <w:rPr>
          <w:rFonts w:ascii="Times New Roman" w:eastAsia="Calibri" w:hAnsi="Times New Roman" w:cs="Times New Roman"/>
        </w:rPr>
        <w:t xml:space="preserve"> </w:t>
      </w:r>
    </w:p>
    <w:p w14:paraId="36167B09" w14:textId="1BD56629" w:rsidR="00F40964" w:rsidRPr="00CB513F" w:rsidRDefault="00BB21F0" w:rsidP="00153308">
      <w:pPr>
        <w:pStyle w:val="ListParagraph"/>
        <w:numPr>
          <w:ilvl w:val="1"/>
          <w:numId w:val="6"/>
        </w:numPr>
        <w:jc w:val="both"/>
        <w:rPr>
          <w:rFonts w:ascii="Times New Roman" w:hAnsi="Times New Roman" w:cs="Times New Roman"/>
          <w:szCs w:val="24"/>
        </w:rPr>
      </w:pPr>
      <w:r w:rsidRPr="00CB513F">
        <w:rPr>
          <w:rFonts w:ascii="Times New Roman" w:hAnsi="Times New Roman" w:cs="Times New Roman"/>
          <w:b/>
          <w:bCs/>
          <w:szCs w:val="24"/>
        </w:rPr>
        <w:t xml:space="preserve">Treatment on the Treated: </w:t>
      </w:r>
      <w:r w:rsidR="009B431F" w:rsidRPr="00CB513F">
        <w:rPr>
          <w:rFonts w:ascii="Times New Roman" w:eastAsia="Calibri" w:hAnsi="Times New Roman" w:cs="Times New Roman"/>
          <w:kern w:val="0"/>
          <w:szCs w:val="24"/>
          <w:lang w:eastAsia="en-US" w:bidi="ar-SA"/>
        </w:rPr>
        <w:t>Of particular interest are labor market outcomes among treated participants, having accepted and received the services offered</w:t>
      </w:r>
      <w:r w:rsidR="00902859">
        <w:rPr>
          <w:rFonts w:ascii="Times New Roman" w:eastAsia="Calibri" w:hAnsi="Times New Roman" w:cs="Times New Roman"/>
          <w:kern w:val="0"/>
          <w:szCs w:val="24"/>
          <w:lang w:eastAsia="en-US" w:bidi="ar-SA"/>
        </w:rPr>
        <w:t>. Thus</w:t>
      </w:r>
      <w:r w:rsidR="00902859" w:rsidRPr="00902859">
        <w:rPr>
          <w:rFonts w:ascii="Times New Roman" w:eastAsia="Calibri" w:hAnsi="Times New Roman" w:cs="Times New Roman"/>
          <w:kern w:val="0"/>
          <w:szCs w:val="24"/>
          <w:lang w:eastAsia="en-US" w:bidi="ar-SA"/>
        </w:rPr>
        <w:t xml:space="preserve">, our analysis will also estimate treatment on the treated (TOT) effects. </w:t>
      </w:r>
      <w:r w:rsidR="00B66139">
        <w:rPr>
          <w:rFonts w:ascii="Times New Roman" w:eastAsia="Calibri" w:hAnsi="Times New Roman" w:cs="Times New Roman"/>
          <w:kern w:val="0"/>
          <w:szCs w:val="24"/>
          <w:lang w:eastAsia="en-US" w:bidi="ar-SA"/>
        </w:rPr>
        <w:t>We</w:t>
      </w:r>
      <w:r w:rsidR="00902859" w:rsidRPr="00902859">
        <w:rPr>
          <w:rFonts w:ascii="Times New Roman" w:eastAsia="Calibri" w:hAnsi="Times New Roman" w:cs="Times New Roman"/>
          <w:kern w:val="0"/>
          <w:szCs w:val="24"/>
          <w:lang w:eastAsia="en-US" w:bidi="ar-SA"/>
        </w:rPr>
        <w:t xml:space="preserve"> will use </w:t>
      </w:r>
      <w:r w:rsidR="00893D20">
        <w:rPr>
          <w:rFonts w:ascii="Times New Roman" w:eastAsia="Calibri" w:hAnsi="Times New Roman" w:cs="Times New Roman"/>
          <w:kern w:val="0"/>
          <w:szCs w:val="24"/>
          <w:lang w:eastAsia="en-US" w:bidi="ar-SA"/>
        </w:rPr>
        <w:t xml:space="preserve">randomization to treatment as an instrument for participation in the program. </w:t>
      </w:r>
    </w:p>
    <w:p w14:paraId="69F6370A" w14:textId="4E3B5EBF" w:rsidR="00683017" w:rsidRPr="00CB513F" w:rsidRDefault="00212E8F" w:rsidP="00153308">
      <w:pPr>
        <w:pStyle w:val="ListParagraph"/>
        <w:numPr>
          <w:ilvl w:val="1"/>
          <w:numId w:val="6"/>
        </w:numPr>
        <w:jc w:val="both"/>
        <w:rPr>
          <w:rFonts w:ascii="Times New Roman" w:hAnsi="Times New Roman" w:cs="Times New Roman"/>
          <w:szCs w:val="24"/>
          <w:shd w:val="clear" w:color="auto" w:fill="EEEEEE"/>
        </w:rPr>
      </w:pPr>
      <w:r w:rsidRPr="00CB513F">
        <w:rPr>
          <w:rFonts w:ascii="Times New Roman" w:hAnsi="Times New Roman" w:cs="Times New Roman"/>
          <w:b/>
          <w:bCs/>
          <w:szCs w:val="24"/>
        </w:rPr>
        <w:t>Heterogenous Effects</w:t>
      </w:r>
      <w:r w:rsidR="00BB21F0" w:rsidRPr="00CB513F">
        <w:rPr>
          <w:rFonts w:ascii="Times New Roman" w:hAnsi="Times New Roman" w:cs="Times New Roman"/>
          <w:b/>
          <w:bCs/>
          <w:szCs w:val="24"/>
        </w:rPr>
        <w:t>/Subgroup Analysis</w:t>
      </w:r>
      <w:r w:rsidR="00A07964" w:rsidRPr="00CB513F">
        <w:rPr>
          <w:rFonts w:ascii="Times New Roman" w:hAnsi="Times New Roman" w:cs="Times New Roman"/>
          <w:b/>
          <w:bCs/>
          <w:szCs w:val="24"/>
        </w:rPr>
        <w:t xml:space="preserve">: </w:t>
      </w:r>
      <w:r w:rsidR="009E5410" w:rsidRPr="009E5410">
        <w:rPr>
          <w:rFonts w:ascii="Times New Roman" w:hAnsi="Times New Roman" w:cs="Times New Roman"/>
          <w:szCs w:val="24"/>
        </w:rPr>
        <w:t>We will also investigate whether heterogeneous treatment effects of the program exist across baseline characteristics, including by gender and WIOA exit program. Since these estimates do not comprise our key parameters, we consider them secondary and do not adjust p-values for multiple testing.</w:t>
      </w:r>
    </w:p>
    <w:p w14:paraId="493EF921" w14:textId="47D52604" w:rsidR="00EB1FDC" w:rsidRPr="009E5410" w:rsidRDefault="00642D14" w:rsidP="00153308">
      <w:pPr>
        <w:pStyle w:val="ListParagraph"/>
        <w:numPr>
          <w:ilvl w:val="1"/>
          <w:numId w:val="6"/>
        </w:numPr>
        <w:rPr>
          <w:rFonts w:ascii="Times New Roman" w:hAnsi="Times New Roman" w:cs="Times New Roman"/>
          <w:szCs w:val="24"/>
          <w:shd w:val="clear" w:color="auto" w:fill="EEEEEE"/>
        </w:rPr>
      </w:pPr>
      <w:r w:rsidRPr="00CB513F">
        <w:rPr>
          <w:rFonts w:ascii="Times New Roman" w:hAnsi="Times New Roman" w:cs="Times New Roman"/>
          <w:b/>
          <w:bCs/>
          <w:szCs w:val="24"/>
        </w:rPr>
        <w:t>Standard Error Adjustments</w:t>
      </w:r>
      <w:r w:rsidR="009E5410" w:rsidRPr="009E5410">
        <w:rPr>
          <w:rFonts w:ascii="Times New Roman" w:hAnsi="Times New Roman" w:cs="Times New Roman"/>
          <w:b/>
          <w:bCs/>
          <w:szCs w:val="24"/>
        </w:rPr>
        <w:t xml:space="preserve">: </w:t>
      </w:r>
      <w:r w:rsidR="009E5410" w:rsidRPr="009E5410">
        <w:rPr>
          <w:rFonts w:ascii="Times New Roman" w:hAnsi="Times New Roman" w:cs="Times New Roman"/>
          <w:szCs w:val="24"/>
        </w:rPr>
        <w:t xml:space="preserve">Standard errors will be clustered at the individual level, to account for any remaining correlation of an individual’s observations. </w:t>
      </w:r>
      <w:r w:rsidR="00B72CE0" w:rsidRPr="009E5410">
        <w:rPr>
          <w:rFonts w:ascii="Times New Roman" w:hAnsi="Times New Roman" w:cs="Times New Roman"/>
          <w:szCs w:val="24"/>
          <w:shd w:val="clear" w:color="auto" w:fill="EEEEEE"/>
        </w:rPr>
        <w:t xml:space="preserve"> </w:t>
      </w:r>
    </w:p>
    <w:p w14:paraId="58A1E183" w14:textId="77777777" w:rsidR="005E2570" w:rsidRPr="00CB513F" w:rsidRDefault="00944F2D" w:rsidP="00153308">
      <w:pPr>
        <w:pStyle w:val="ListParagraph"/>
        <w:numPr>
          <w:ilvl w:val="0"/>
          <w:numId w:val="6"/>
        </w:numPr>
        <w:rPr>
          <w:rFonts w:ascii="Times New Roman" w:eastAsia="Times New Roman" w:hAnsi="Times New Roman" w:cs="Times New Roman"/>
          <w:szCs w:val="24"/>
        </w:rPr>
      </w:pPr>
      <w:r w:rsidRPr="00CB513F">
        <w:rPr>
          <w:rFonts w:ascii="Times New Roman" w:eastAsia="Times New Roman" w:hAnsi="Times New Roman" w:cs="Times New Roman"/>
          <w:b/>
          <w:bCs/>
          <w:szCs w:val="24"/>
        </w:rPr>
        <w:t>Statistical Power:</w:t>
      </w:r>
      <w:r w:rsidRPr="00CB513F">
        <w:rPr>
          <w:rFonts w:ascii="Times New Roman" w:eastAsia="Times New Roman" w:hAnsi="Times New Roman" w:cs="Times New Roman"/>
          <w:szCs w:val="24"/>
        </w:rPr>
        <w:t xml:space="preserve"> </w:t>
      </w:r>
      <w:r w:rsidR="00F558D4" w:rsidRPr="00CB513F">
        <w:rPr>
          <w:rFonts w:ascii="Times New Roman" w:eastAsia="Times New Roman" w:hAnsi="Times New Roman" w:cs="Times New Roman"/>
          <w:szCs w:val="24"/>
        </w:rPr>
        <w:t>The most recent numbers shows that t</w:t>
      </w:r>
      <w:r w:rsidRPr="00CB513F">
        <w:rPr>
          <w:rFonts w:ascii="Times New Roman" w:eastAsia="Times New Roman" w:hAnsi="Times New Roman" w:cs="Times New Roman"/>
          <w:szCs w:val="24"/>
        </w:rPr>
        <w:t xml:space="preserve">he weighted average employment rate for clients exiting AJC services stood at 53 percent </w:t>
      </w:r>
      <w:r w:rsidR="007C3D3C" w:rsidRPr="00CB513F">
        <w:rPr>
          <w:rFonts w:ascii="Times New Roman" w:eastAsia="Times New Roman" w:hAnsi="Times New Roman" w:cs="Times New Roman"/>
          <w:szCs w:val="24"/>
        </w:rPr>
        <w:t xml:space="preserve">and it </w:t>
      </w:r>
      <w:r w:rsidRPr="00CB513F">
        <w:rPr>
          <w:rFonts w:ascii="Times New Roman" w:eastAsia="Times New Roman" w:hAnsi="Times New Roman" w:cs="Times New Roman"/>
          <w:szCs w:val="24"/>
        </w:rPr>
        <w:t xml:space="preserve">dropped to 44 percent three quarters thereafter (WDP 2022). Assuming a control mean of 50% employment rate, power calculations (power=0.80, α=0.05) establish that with a sample size of 18,000 individuals we will be able to detect a </w:t>
      </w:r>
      <w:proofErr w:type="gramStart"/>
      <w:r w:rsidRPr="00CB513F">
        <w:rPr>
          <w:rFonts w:ascii="Times New Roman" w:eastAsia="Times New Roman" w:hAnsi="Times New Roman" w:cs="Times New Roman"/>
          <w:szCs w:val="24"/>
        </w:rPr>
        <w:t>+2.08 pp</w:t>
      </w:r>
      <w:proofErr w:type="gramEnd"/>
      <w:r w:rsidRPr="00CB513F">
        <w:rPr>
          <w:rFonts w:ascii="Times New Roman" w:eastAsia="Times New Roman" w:hAnsi="Times New Roman" w:cs="Times New Roman"/>
          <w:szCs w:val="24"/>
        </w:rPr>
        <w:t xml:space="preserve"> effect size (equivalent to 0.05 standard deviations). Considering a conservatively modest treatment take-up rate of 20 percent</w:t>
      </w:r>
      <w:r w:rsidRPr="00CB513F">
        <w:rPr>
          <w:rFonts w:ascii="Times New Roman" w:eastAsia="Times New Roman" w:hAnsi="Times New Roman" w:cs="Times New Roman"/>
          <w:szCs w:val="24"/>
          <w:vertAlign w:val="superscript"/>
        </w:rPr>
        <w:footnoteReference w:id="3"/>
      </w:r>
      <w:r w:rsidRPr="00CB513F">
        <w:rPr>
          <w:rFonts w:ascii="Times New Roman" w:eastAsia="Times New Roman" w:hAnsi="Times New Roman" w:cs="Times New Roman"/>
          <w:szCs w:val="24"/>
        </w:rPr>
        <w:t xml:space="preserve">, this will correspond to a +10 pp increase among takers. The magnitude of this effect size aligns with the estimated impacts reported in other settings (Behaghel et al., 2014). </w:t>
      </w:r>
    </w:p>
    <w:p w14:paraId="33D7861D" w14:textId="77777777" w:rsidR="003B0725" w:rsidRDefault="00944F2D" w:rsidP="00153308">
      <w:pPr>
        <w:pStyle w:val="ListParagraph"/>
        <w:numPr>
          <w:ilvl w:val="1"/>
          <w:numId w:val="6"/>
        </w:numPr>
        <w:rPr>
          <w:rFonts w:ascii="Times New Roman" w:eastAsia="Times New Roman" w:hAnsi="Times New Roman" w:cs="Times New Roman"/>
          <w:szCs w:val="24"/>
        </w:rPr>
      </w:pPr>
      <w:r w:rsidRPr="00CB513F">
        <w:rPr>
          <w:rFonts w:ascii="Times New Roman" w:eastAsia="Times New Roman" w:hAnsi="Times New Roman" w:cs="Times New Roman"/>
          <w:b/>
          <w:bCs/>
          <w:szCs w:val="24"/>
        </w:rPr>
        <w:t>Admitting uncertainty</w:t>
      </w:r>
      <w:r w:rsidRPr="00CB513F">
        <w:rPr>
          <w:rFonts w:ascii="Times New Roman" w:eastAsia="Times New Roman" w:hAnsi="Times New Roman" w:cs="Times New Roman"/>
          <w:szCs w:val="24"/>
        </w:rPr>
        <w:t xml:space="preserve">: The operating capacity of the selected provider may require adjusting the treatment allocation (proportion of the sample assigned to treatment). Our calculations suggest that even with an unequal split, and a sample of 18,000 participants, we would still be able to detect an increase in the employment rate ranging from 2.10 to 2.61 pp (0.04 – 0.05 SD). With access to the PR </w:t>
      </w:r>
      <w:r w:rsidRPr="00CB513F">
        <w:rPr>
          <w:rFonts w:ascii="Times New Roman" w:eastAsia="Times New Roman" w:hAnsi="Times New Roman" w:cs="Times New Roman"/>
          <w:szCs w:val="24"/>
          <w:lang w:val="en-CA"/>
        </w:rPr>
        <w:t xml:space="preserve">WIOA </w:t>
      </w:r>
      <w:r w:rsidRPr="00CB513F">
        <w:rPr>
          <w:rFonts w:ascii="Times New Roman" w:eastAsia="Times New Roman" w:hAnsi="Times New Roman" w:cs="Times New Roman"/>
          <w:i/>
          <w:iCs/>
          <w:szCs w:val="24"/>
          <w:lang w:val="en-CA"/>
        </w:rPr>
        <w:t xml:space="preserve">Participant Record Information System </w:t>
      </w:r>
      <w:r w:rsidRPr="00CB513F">
        <w:rPr>
          <w:rFonts w:ascii="Times New Roman" w:eastAsia="Times New Roman" w:hAnsi="Times New Roman" w:cs="Times New Roman"/>
          <w:szCs w:val="24"/>
          <w:lang w:val="en-CA"/>
        </w:rPr>
        <w:t xml:space="preserve">(PRIS), </w:t>
      </w:r>
      <w:r w:rsidRPr="00CB513F">
        <w:rPr>
          <w:rFonts w:ascii="Times New Roman" w:eastAsia="Times New Roman" w:hAnsi="Times New Roman" w:cs="Times New Roman"/>
          <w:szCs w:val="24"/>
        </w:rPr>
        <w:t>we will additionally incorporate a set of rich covariates and multiple data points both before and after the intervention.</w:t>
      </w:r>
      <w:r w:rsidR="003B0725">
        <w:rPr>
          <w:rFonts w:ascii="Times New Roman" w:eastAsia="Times New Roman" w:hAnsi="Times New Roman" w:cs="Times New Roman"/>
          <w:szCs w:val="24"/>
        </w:rPr>
        <w:t xml:space="preserve"> </w:t>
      </w:r>
    </w:p>
    <w:p w14:paraId="4D5DA27B" w14:textId="77777777" w:rsidR="00910CC8" w:rsidRDefault="003B0725" w:rsidP="00153308">
      <w:pPr>
        <w:pStyle w:val="ListParagraph"/>
        <w:numPr>
          <w:ilvl w:val="1"/>
          <w:numId w:val="6"/>
        </w:numPr>
        <w:rPr>
          <w:rFonts w:ascii="Times New Roman" w:eastAsia="Times New Roman" w:hAnsi="Times New Roman" w:cs="Times New Roman"/>
          <w:szCs w:val="24"/>
        </w:rPr>
      </w:pPr>
      <w:r w:rsidRPr="003B0725">
        <w:rPr>
          <w:rFonts w:ascii="Times New Roman" w:eastAsia="Times New Roman" w:hAnsi="Times New Roman" w:cs="Times New Roman"/>
          <w:szCs w:val="24"/>
        </w:rPr>
        <w:t>Analyze Impact Separately Within Subgroups: According to the latest available numbers from the Puerto Rico WIOA &amp; Wagner-Peyser Annual Report (PY 2022)</w:t>
      </w:r>
      <w:r w:rsidR="00910CC8">
        <w:rPr>
          <w:rStyle w:val="FootnoteReference"/>
          <w:rFonts w:ascii="Times New Roman" w:eastAsia="Times New Roman" w:hAnsi="Times New Roman" w:cs="Times New Roman"/>
          <w:szCs w:val="24"/>
        </w:rPr>
        <w:footnoteReference w:id="4"/>
      </w:r>
      <w:r w:rsidRPr="003B0725">
        <w:rPr>
          <w:rFonts w:ascii="Times New Roman" w:eastAsia="Times New Roman" w:hAnsi="Times New Roman" w:cs="Times New Roman"/>
          <w:szCs w:val="24"/>
        </w:rPr>
        <w:t xml:space="preserve">, in 2022 there were 9,153 Title I program exits: 46% were from the Adults Program (n=4,251), 42% Dislocated Workers (n=3,845) and the remaining 12% Youth Program exits (n=1,057). In addition, there were 7,455 Wagner-Peyser (Title III) program exits. Assuming a program duration of one year and using the number of programmatic exits from 2022, our power calculations will enable us to discern program impact on the following subgroups: Adult, Dislocated Worker Program, and Wagner-Peyser Program participants. Because Adult and Dislocated workers share similar </w:t>
      </w:r>
      <w:r w:rsidRPr="003B0725">
        <w:rPr>
          <w:rFonts w:ascii="Times New Roman" w:eastAsia="Times New Roman" w:hAnsi="Times New Roman" w:cs="Times New Roman"/>
          <w:szCs w:val="24"/>
        </w:rPr>
        <w:lastRenderedPageBreak/>
        <w:t xml:space="preserve">outcomes upon exit, we can also compare the combined pool of Adult and Dislocated workers versus the Wagner-Peyser participants. The number of Youth participants is relatively low, and this will limit our ability to detect a </w:t>
      </w:r>
      <w:proofErr w:type="gramStart"/>
      <w:r w:rsidRPr="003B0725">
        <w:rPr>
          <w:rFonts w:ascii="Times New Roman" w:eastAsia="Times New Roman" w:hAnsi="Times New Roman" w:cs="Times New Roman"/>
          <w:szCs w:val="24"/>
        </w:rPr>
        <w:t>meaningfully-sized</w:t>
      </w:r>
      <w:proofErr w:type="gramEnd"/>
      <w:r w:rsidRPr="003B0725">
        <w:rPr>
          <w:rFonts w:ascii="Times New Roman" w:eastAsia="Times New Roman" w:hAnsi="Times New Roman" w:cs="Times New Roman"/>
          <w:szCs w:val="24"/>
        </w:rPr>
        <w:t xml:space="preserve"> treatment effect for this subgroup. Finally, the partner agency is open to running the intervention over a longer period, if needed (up to 18 months). We would like to analyze impacts separately within these 2 larger subgroups, and we are powered for the sample sizes within each: assuming a one-year program, a control mean of 50 percent for the employment rate in the 2nd quarter after exit, and an equal split to control and treatment, power calculations (power=0.80, α=0.05) will allow us to detect the following effect sizes:</w:t>
      </w:r>
    </w:p>
    <w:p w14:paraId="20289270" w14:textId="77777777" w:rsidR="00910CC8" w:rsidRPr="00910CC8" w:rsidRDefault="003B0725" w:rsidP="00153308">
      <w:pPr>
        <w:pStyle w:val="ListParagraph"/>
        <w:numPr>
          <w:ilvl w:val="2"/>
          <w:numId w:val="16"/>
        </w:numPr>
        <w:rPr>
          <w:rFonts w:ascii="Times New Roman" w:eastAsia="Times New Roman" w:hAnsi="Times New Roman" w:cs="Times New Roman"/>
          <w:szCs w:val="24"/>
        </w:rPr>
      </w:pPr>
      <w:r w:rsidRPr="00910CC8">
        <w:rPr>
          <w:rFonts w:ascii="Times New Roman" w:eastAsia="Times New Roman" w:hAnsi="Times New Roman" w:cs="Times New Roman"/>
        </w:rPr>
        <w:t>Adults and Dislocated Workers (8,000 observations): + 3.11 pp</w:t>
      </w:r>
    </w:p>
    <w:p w14:paraId="3CCC7D00" w14:textId="3DCDEDCC" w:rsidR="003B0725" w:rsidRPr="00910CC8" w:rsidRDefault="003B0725" w:rsidP="00153308">
      <w:pPr>
        <w:pStyle w:val="ListParagraph"/>
        <w:numPr>
          <w:ilvl w:val="2"/>
          <w:numId w:val="16"/>
        </w:numPr>
        <w:rPr>
          <w:rFonts w:ascii="Times New Roman" w:eastAsia="Times New Roman" w:hAnsi="Times New Roman" w:cs="Times New Roman"/>
          <w:szCs w:val="24"/>
        </w:rPr>
      </w:pPr>
      <w:r w:rsidRPr="00910CC8">
        <w:rPr>
          <w:rFonts w:ascii="Times New Roman" w:eastAsia="Times New Roman" w:hAnsi="Times New Roman" w:cs="Times New Roman"/>
        </w:rPr>
        <w:t>Wagner-Peyser (7,500 observations): +3.30 pp</w:t>
      </w:r>
    </w:p>
    <w:p w14:paraId="3FD47C4A" w14:textId="77777777" w:rsidR="001D6149" w:rsidRPr="00CB513F" w:rsidRDefault="00584838"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t xml:space="preserve">Other Issues </w:t>
      </w:r>
    </w:p>
    <w:p w14:paraId="32F615EB" w14:textId="579E9001" w:rsidR="00BF162E" w:rsidRPr="00CB513F" w:rsidRDefault="00BF162E" w:rsidP="00153308">
      <w:pPr>
        <w:pStyle w:val="ListParagraph"/>
        <w:numPr>
          <w:ilvl w:val="1"/>
          <w:numId w:val="6"/>
        </w:numPr>
        <w:jc w:val="both"/>
        <w:rPr>
          <w:rFonts w:ascii="Times New Roman" w:eastAsia="Times New Roman" w:hAnsi="Times New Roman" w:cs="Times New Roman"/>
          <w:szCs w:val="24"/>
        </w:rPr>
      </w:pPr>
      <w:r w:rsidRPr="00CB513F">
        <w:rPr>
          <w:rFonts w:ascii="Times New Roman" w:eastAsia="Times New Roman" w:hAnsi="Times New Roman" w:cs="Times New Roman"/>
          <w:b/>
          <w:color w:val="000000"/>
          <w:szCs w:val="24"/>
        </w:rPr>
        <w:t xml:space="preserve">Missing Data and Trimming: </w:t>
      </w:r>
      <w:r w:rsidRPr="00CB513F">
        <w:rPr>
          <w:rFonts w:ascii="Times New Roman" w:eastAsia="Times New Roman" w:hAnsi="Times New Roman" w:cs="Times New Roman"/>
          <w:color w:val="000000"/>
          <w:szCs w:val="24"/>
        </w:rPr>
        <w:t>The final analytic sample will</w:t>
      </w:r>
      <w:r w:rsidR="008F4E34" w:rsidRPr="00CB513F">
        <w:rPr>
          <w:rFonts w:ascii="Times New Roman" w:eastAsia="Times New Roman" w:hAnsi="Times New Roman" w:cs="Times New Roman"/>
          <w:color w:val="000000"/>
          <w:szCs w:val="24"/>
        </w:rPr>
        <w:t xml:space="preserve"> consist of</w:t>
      </w:r>
      <w:r w:rsidRPr="00CB513F">
        <w:rPr>
          <w:rFonts w:ascii="Times New Roman" w:eastAsia="Times New Roman" w:hAnsi="Times New Roman" w:cs="Times New Roman"/>
          <w:color w:val="000000"/>
          <w:szCs w:val="24"/>
        </w:rPr>
        <w:t xml:space="preserve"> individuals exiting Title I and Title III WIOA services. Any missing program participant outcome data will be treated as attrition. The empirical analysis will not include imputation or trimming of outliers on client outcome data. We will input covariate data for participants for which the outcome data is available. If covariate data are imputed, the primary analysis will include a covariate-specific dummy variable indicating that this data was imputed. </w:t>
      </w:r>
    </w:p>
    <w:p w14:paraId="284BA1FA" w14:textId="5ADDF893" w:rsidR="00480AF8" w:rsidRPr="00CB513F" w:rsidRDefault="001D6149" w:rsidP="00153308">
      <w:pPr>
        <w:pStyle w:val="ListParagraph"/>
        <w:numPr>
          <w:ilvl w:val="0"/>
          <w:numId w:val="6"/>
        </w:numPr>
        <w:jc w:val="both"/>
        <w:rPr>
          <w:rFonts w:ascii="Times New Roman" w:hAnsi="Times New Roman" w:cs="Times New Roman"/>
          <w:color w:val="000000" w:themeColor="text1"/>
          <w:szCs w:val="24"/>
        </w:rPr>
      </w:pPr>
      <w:r w:rsidRPr="00CB513F">
        <w:rPr>
          <w:rFonts w:ascii="Times New Roman" w:eastAsia="Times New Roman" w:hAnsi="Times New Roman" w:cs="Times New Roman"/>
          <w:b/>
          <w:bCs/>
          <w:szCs w:val="24"/>
        </w:rPr>
        <w:t>Ethical Considerations:</w:t>
      </w:r>
      <w:r w:rsidR="00017718" w:rsidRPr="00CB513F">
        <w:rPr>
          <w:rFonts w:ascii="Times New Roman" w:eastAsia="Times New Roman" w:hAnsi="Times New Roman" w:cs="Times New Roman"/>
          <w:b/>
          <w:bCs/>
          <w:szCs w:val="24"/>
        </w:rPr>
        <w:t xml:space="preserve"> </w:t>
      </w:r>
      <w:r w:rsidR="00017718" w:rsidRPr="00CB513F">
        <w:rPr>
          <w:rFonts w:ascii="Times New Roman" w:eastAsia="Times New Roman" w:hAnsi="Times New Roman" w:cs="Times New Roman"/>
          <w:szCs w:val="24"/>
        </w:rPr>
        <w:t xml:space="preserve">The research protocol will be reviewed by Northwestern University, </w:t>
      </w:r>
      <w:r w:rsidR="00480AF8" w:rsidRPr="00CB513F">
        <w:rPr>
          <w:rFonts w:ascii="Times New Roman" w:eastAsia="Times New Roman" w:hAnsi="Times New Roman" w:cs="Times New Roman"/>
          <w:szCs w:val="24"/>
        </w:rPr>
        <w:t xml:space="preserve">and </w:t>
      </w:r>
      <w:r w:rsidR="00017718" w:rsidRPr="00CB513F">
        <w:rPr>
          <w:rFonts w:ascii="Times New Roman" w:eastAsia="Times New Roman" w:hAnsi="Times New Roman" w:cs="Times New Roman"/>
          <w:szCs w:val="24"/>
        </w:rPr>
        <w:t xml:space="preserve">the University of Toronto. The program is a low-risk </w:t>
      </w:r>
      <w:r w:rsidR="007D06D7" w:rsidRPr="00CB513F">
        <w:rPr>
          <w:rFonts w:ascii="Times New Roman" w:eastAsia="Times New Roman" w:hAnsi="Times New Roman" w:cs="Times New Roman"/>
          <w:szCs w:val="24"/>
        </w:rPr>
        <w:t>intervention,</w:t>
      </w:r>
      <w:r w:rsidR="00843938" w:rsidRPr="00CB513F">
        <w:rPr>
          <w:rFonts w:ascii="Times New Roman" w:eastAsia="Times New Roman" w:hAnsi="Times New Roman" w:cs="Times New Roman"/>
          <w:szCs w:val="24"/>
        </w:rPr>
        <w:t xml:space="preserve"> and </w:t>
      </w:r>
      <w:r w:rsidR="00843938" w:rsidRPr="00CB513F">
        <w:rPr>
          <w:rFonts w:ascii="Times New Roman" w:hAnsi="Times New Roman" w:cs="Times New Roman"/>
          <w:color w:val="000000" w:themeColor="text1"/>
          <w:szCs w:val="24"/>
        </w:rPr>
        <w:t xml:space="preserve">the research involves no more than minimal risk to the participants. The study’s only risk is maintaining privacy and confidentiality of data, which is addressed and mitigated by ensuring that administrative data sets will be de-identified before the transfer to the research team. We expect improved labor outcomes and job matching services to program participants in Puerto Rico. Also, we expect that our analysis can guide the design of public policies to improve the services offered by the DEDC to program participants. </w:t>
      </w:r>
      <w:r w:rsidR="007D06D7" w:rsidRPr="00CB513F">
        <w:rPr>
          <w:rFonts w:ascii="Times New Roman" w:eastAsia="Times New Roman" w:hAnsi="Times New Roman" w:cs="Times New Roman"/>
          <w:szCs w:val="24"/>
        </w:rPr>
        <w:t xml:space="preserve">The two </w:t>
      </w:r>
      <w:r w:rsidR="00017718" w:rsidRPr="00CB513F">
        <w:rPr>
          <w:rFonts w:ascii="Times New Roman" w:eastAsia="Times New Roman" w:hAnsi="Times New Roman" w:cs="Times New Roman"/>
          <w:szCs w:val="24"/>
        </w:rPr>
        <w:t>administrative data</w:t>
      </w:r>
      <w:r w:rsidR="007D06D7" w:rsidRPr="00CB513F">
        <w:rPr>
          <w:rFonts w:ascii="Times New Roman" w:eastAsia="Times New Roman" w:hAnsi="Times New Roman" w:cs="Times New Roman"/>
          <w:szCs w:val="24"/>
        </w:rPr>
        <w:t>set</w:t>
      </w:r>
      <w:r w:rsidR="00017718" w:rsidRPr="00CB513F">
        <w:rPr>
          <w:rFonts w:ascii="Times New Roman" w:eastAsia="Times New Roman" w:hAnsi="Times New Roman" w:cs="Times New Roman"/>
          <w:szCs w:val="24"/>
        </w:rPr>
        <w:t xml:space="preserve"> </w:t>
      </w:r>
      <w:r w:rsidR="007D06D7" w:rsidRPr="00CB513F">
        <w:rPr>
          <w:rFonts w:ascii="Times New Roman" w:eastAsia="Times New Roman" w:hAnsi="Times New Roman" w:cs="Times New Roman"/>
          <w:szCs w:val="24"/>
        </w:rPr>
        <w:t>will be</w:t>
      </w:r>
      <w:r w:rsidR="00017718" w:rsidRPr="00CB513F">
        <w:rPr>
          <w:rFonts w:ascii="Times New Roman" w:eastAsia="Times New Roman" w:hAnsi="Times New Roman" w:cs="Times New Roman"/>
          <w:szCs w:val="24"/>
        </w:rPr>
        <w:t xml:space="preserve"> gathered and stored by the </w:t>
      </w:r>
      <w:r w:rsidR="007D06D7" w:rsidRPr="00CB513F">
        <w:rPr>
          <w:rFonts w:ascii="Times New Roman" w:eastAsia="Times New Roman" w:hAnsi="Times New Roman" w:cs="Times New Roman"/>
          <w:szCs w:val="24"/>
        </w:rPr>
        <w:t>DEDC</w:t>
      </w:r>
      <w:r w:rsidR="00017718" w:rsidRPr="00CB513F">
        <w:rPr>
          <w:rFonts w:ascii="Times New Roman" w:eastAsia="Times New Roman" w:hAnsi="Times New Roman" w:cs="Times New Roman"/>
          <w:szCs w:val="24"/>
        </w:rPr>
        <w:t xml:space="preserve"> and </w:t>
      </w:r>
      <w:r w:rsidR="007D06D7" w:rsidRPr="00CB513F">
        <w:rPr>
          <w:rFonts w:ascii="Times New Roman" w:eastAsia="Times New Roman" w:hAnsi="Times New Roman" w:cs="Times New Roman"/>
          <w:szCs w:val="24"/>
        </w:rPr>
        <w:t xml:space="preserve">contracted provider </w:t>
      </w:r>
      <w:r w:rsidR="00017718" w:rsidRPr="00CB513F">
        <w:rPr>
          <w:rFonts w:ascii="Times New Roman" w:eastAsia="Times New Roman" w:hAnsi="Times New Roman" w:cs="Times New Roman"/>
          <w:szCs w:val="24"/>
        </w:rPr>
        <w:t xml:space="preserve">in accordance with standard protocols employed by these entities collecting, handling, and storing private </w:t>
      </w:r>
      <w:r w:rsidR="00A73D6C" w:rsidRPr="00CB513F">
        <w:rPr>
          <w:rFonts w:ascii="Times New Roman" w:eastAsia="Times New Roman" w:hAnsi="Times New Roman" w:cs="Times New Roman"/>
          <w:szCs w:val="24"/>
        </w:rPr>
        <w:t xml:space="preserve">and confidential administrative </w:t>
      </w:r>
      <w:r w:rsidR="00017718" w:rsidRPr="00CB513F">
        <w:rPr>
          <w:rFonts w:ascii="Times New Roman" w:eastAsia="Times New Roman" w:hAnsi="Times New Roman" w:cs="Times New Roman"/>
          <w:szCs w:val="24"/>
        </w:rPr>
        <w:t xml:space="preserve">data. </w:t>
      </w:r>
      <w:r w:rsidR="00EC272C" w:rsidRPr="00CB513F">
        <w:rPr>
          <w:rFonts w:ascii="Times New Roman" w:eastAsia="Times New Roman" w:hAnsi="Times New Roman" w:cs="Times New Roman"/>
          <w:szCs w:val="24"/>
        </w:rPr>
        <w:t>D</w:t>
      </w:r>
      <w:r w:rsidR="00017718" w:rsidRPr="00CB513F">
        <w:rPr>
          <w:rFonts w:ascii="Times New Roman" w:eastAsia="Times New Roman" w:hAnsi="Times New Roman" w:cs="Times New Roman"/>
          <w:szCs w:val="24"/>
        </w:rPr>
        <w:t>ata will be shared with the University of Toronto</w:t>
      </w:r>
      <w:r w:rsidR="00EC272C" w:rsidRPr="00CB513F">
        <w:rPr>
          <w:rFonts w:ascii="Times New Roman" w:eastAsia="Times New Roman" w:hAnsi="Times New Roman" w:cs="Times New Roman"/>
          <w:szCs w:val="24"/>
        </w:rPr>
        <w:t xml:space="preserve"> and de-identified by the</w:t>
      </w:r>
      <w:r w:rsidR="00017718" w:rsidRPr="00CB513F">
        <w:rPr>
          <w:rFonts w:ascii="Times New Roman" w:eastAsia="Times New Roman" w:hAnsi="Times New Roman" w:cs="Times New Roman"/>
          <w:szCs w:val="24"/>
        </w:rPr>
        <w:t xml:space="preserve"> Research Team in accordance with US and Canadian federal and provincial legislation.</w:t>
      </w:r>
    </w:p>
    <w:p w14:paraId="005A7127" w14:textId="77777777" w:rsidR="00A07964" w:rsidRPr="00CB513F" w:rsidRDefault="00A07964" w:rsidP="00153308">
      <w:pPr>
        <w:pStyle w:val="ListParagraph"/>
        <w:ind w:left="360"/>
        <w:jc w:val="both"/>
        <w:rPr>
          <w:rFonts w:ascii="Times New Roman" w:hAnsi="Times New Roman" w:cs="Times New Roman"/>
          <w:color w:val="000000" w:themeColor="text1"/>
          <w:szCs w:val="24"/>
        </w:rPr>
      </w:pPr>
    </w:p>
    <w:p w14:paraId="06A9D01F" w14:textId="24273549" w:rsidR="0029115F" w:rsidRPr="00CB513F" w:rsidRDefault="0029115F" w:rsidP="00153308">
      <w:pPr>
        <w:pStyle w:val="ListParagraph"/>
        <w:numPr>
          <w:ilvl w:val="0"/>
          <w:numId w:val="6"/>
        </w:numPr>
        <w:jc w:val="both"/>
        <w:rPr>
          <w:rFonts w:ascii="Times New Roman" w:eastAsia="Times New Roman" w:hAnsi="Times New Roman" w:cs="Times New Roman"/>
          <w:b/>
          <w:bCs/>
          <w:szCs w:val="24"/>
        </w:rPr>
      </w:pPr>
      <w:r w:rsidRPr="00CB513F">
        <w:rPr>
          <w:rFonts w:ascii="Times New Roman" w:eastAsia="Times New Roman" w:hAnsi="Times New Roman" w:cs="Times New Roman"/>
          <w:b/>
          <w:bCs/>
          <w:szCs w:val="24"/>
        </w:rPr>
        <w:t>References</w:t>
      </w:r>
    </w:p>
    <w:p w14:paraId="2A167038" w14:textId="77777777" w:rsidR="00A07964" w:rsidRPr="00CB513F" w:rsidRDefault="00A07964" w:rsidP="00153308">
      <w:pPr>
        <w:spacing w:after="200"/>
        <w:jc w:val="both"/>
        <w:rPr>
          <w:rFonts w:ascii="Times New Roman" w:eastAsia="Calibri" w:hAnsi="Times New Roman" w:cs="Times New Roman"/>
          <w:color w:val="000000" w:themeColor="text1"/>
        </w:rPr>
      </w:pPr>
      <w:r w:rsidRPr="00637BDB">
        <w:rPr>
          <w:rFonts w:ascii="Times New Roman" w:eastAsia="Calibri" w:hAnsi="Times New Roman" w:cs="Times New Roman"/>
          <w:color w:val="000000" w:themeColor="text1"/>
          <w:lang w:val="es-ES"/>
        </w:rPr>
        <w:t xml:space="preserve">Abel, M., Burger, R., Carranza, E., </w:t>
      </w:r>
      <w:hyperlink r:id="rId9">
        <w:proofErr w:type="spellStart"/>
        <w:r w:rsidRPr="00637BDB">
          <w:rPr>
            <w:rFonts w:ascii="Times New Roman" w:eastAsia="Calibri" w:hAnsi="Times New Roman" w:cs="Times New Roman"/>
            <w:color w:val="000000" w:themeColor="text1"/>
            <w:lang w:val="es-ES"/>
          </w:rPr>
          <w:t>Piraino</w:t>
        </w:r>
        <w:proofErr w:type="spellEnd"/>
      </w:hyperlink>
      <w:r w:rsidRPr="00637BDB">
        <w:rPr>
          <w:rFonts w:ascii="Times New Roman" w:eastAsia="Calibri" w:hAnsi="Times New Roman" w:cs="Times New Roman"/>
          <w:color w:val="000000" w:themeColor="text1"/>
          <w:lang w:val="es-ES"/>
        </w:rPr>
        <w:t xml:space="preserve">, P. (2019). </w:t>
      </w:r>
      <w:r w:rsidRPr="00CB513F">
        <w:rPr>
          <w:rFonts w:ascii="Times New Roman" w:eastAsia="Calibri" w:hAnsi="Times New Roman" w:cs="Times New Roman"/>
          <w:color w:val="000000" w:themeColor="text1"/>
        </w:rPr>
        <w:t xml:space="preserve">Bridging the Intention- Behavior Gap? The Effect of Plan-Making Prompts on Job Search and Employment. </w:t>
      </w:r>
      <w:r w:rsidRPr="00CB513F">
        <w:rPr>
          <w:rStyle w:val="Emphasis"/>
          <w:rFonts w:ascii="Times New Roman" w:eastAsia="Calibri" w:hAnsi="Times New Roman" w:cs="Times New Roman"/>
          <w:color w:val="000000" w:themeColor="text1"/>
        </w:rPr>
        <w:t>American Economic Journal: Applied Economics</w:t>
      </w:r>
      <w:r w:rsidRPr="00CB513F">
        <w:rPr>
          <w:rFonts w:ascii="Times New Roman" w:eastAsia="Calibri" w:hAnsi="Times New Roman" w:cs="Times New Roman"/>
          <w:color w:val="000000" w:themeColor="text1"/>
        </w:rPr>
        <w:t xml:space="preserve"> 11(2), 284–301.</w:t>
      </w:r>
    </w:p>
    <w:p w14:paraId="39DBD143"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 xml:space="preserve">Altmann, S., Falk, A., Jäger, S., Zimmermann, F. (2018). Learning About Job Search: A Field Experiment with Job Seekers in Germany. </w:t>
      </w:r>
      <w:r w:rsidRPr="00CB513F">
        <w:rPr>
          <w:rStyle w:val="Emphasis"/>
          <w:rFonts w:ascii="Times New Roman" w:eastAsia="Calibri" w:hAnsi="Times New Roman" w:cs="Times New Roman"/>
          <w:color w:val="000000" w:themeColor="text1"/>
        </w:rPr>
        <w:t>Journal of Public Economics</w:t>
      </w:r>
      <w:r w:rsidRPr="00CB513F">
        <w:rPr>
          <w:rFonts w:ascii="Times New Roman" w:eastAsia="Calibri" w:hAnsi="Times New Roman" w:cs="Times New Roman"/>
          <w:color w:val="000000" w:themeColor="text1"/>
        </w:rPr>
        <w:t xml:space="preserve"> 64 (June): 33–49.</w:t>
      </w:r>
    </w:p>
    <w:p w14:paraId="40F7C4AB"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American Enterprise Institute. (2019). Teaching soft skills in workforce programs: Findings from WorkAdvance providers.</w:t>
      </w:r>
    </w:p>
    <w:p w14:paraId="7C4098FA"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Sarah Baird, J. Aislinn Bohren, Craig McIntosh, Berk Özler (2018). “Optimal Design of Experiments in the Presence of Interference.” </w:t>
      </w:r>
      <w:r w:rsidRPr="00CB513F">
        <w:rPr>
          <w:rFonts w:ascii="Times New Roman" w:eastAsia="Calibri" w:hAnsi="Times New Roman" w:cs="Times New Roman"/>
          <w:i/>
          <w:iCs/>
          <w:color w:val="000000" w:themeColor="text1"/>
        </w:rPr>
        <w:t>The Review of Economics and Statistics,</w:t>
      </w:r>
      <w:r w:rsidRPr="00CB513F">
        <w:rPr>
          <w:rFonts w:ascii="Times New Roman" w:eastAsia="Calibri" w:hAnsi="Times New Roman" w:cs="Times New Roman"/>
          <w:color w:val="000000" w:themeColor="text1"/>
        </w:rPr>
        <w:t xml:space="preserve"> </w:t>
      </w:r>
      <w:r w:rsidRPr="00CB513F">
        <w:rPr>
          <w:rFonts w:ascii="Times New Roman" w:eastAsia="Calibri" w:hAnsi="Times New Roman" w:cs="Times New Roman"/>
          <w:i/>
          <w:iCs/>
          <w:color w:val="000000" w:themeColor="text1"/>
        </w:rPr>
        <w:t>100</w:t>
      </w:r>
      <w:r w:rsidRPr="00CB513F">
        <w:rPr>
          <w:rFonts w:ascii="Times New Roman" w:eastAsia="Calibri" w:hAnsi="Times New Roman" w:cs="Times New Roman"/>
          <w:color w:val="000000" w:themeColor="text1"/>
        </w:rPr>
        <w:t>(5), 844–860.</w:t>
      </w:r>
    </w:p>
    <w:p w14:paraId="5539AC40" w14:textId="77777777" w:rsidR="00A07964" w:rsidRPr="00CB513F" w:rsidRDefault="00A07964" w:rsidP="00153308">
      <w:pPr>
        <w:spacing w:after="200"/>
        <w:jc w:val="both"/>
        <w:rPr>
          <w:rFonts w:ascii="Times New Roman" w:eastAsia="Calibri" w:hAnsi="Times New Roman" w:cs="Times New Roman"/>
          <w:color w:val="000000" w:themeColor="text1"/>
          <w:lang w:val="en-CA"/>
        </w:rPr>
      </w:pPr>
      <w:r w:rsidRPr="00CB513F">
        <w:rPr>
          <w:rFonts w:ascii="Times New Roman" w:eastAsia="Calibri" w:hAnsi="Times New Roman" w:cs="Times New Roman"/>
          <w:color w:val="000000" w:themeColor="text1"/>
          <w:lang w:val="en-CA"/>
        </w:rPr>
        <w:t xml:space="preserve">Babcock, Elizabeth D. (2014). “Using Brain Science to Design New Pathways Out of Poverty.” Crittenton Women’s Union. </w:t>
      </w:r>
    </w:p>
    <w:p w14:paraId="2091EFCA"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Babcock, L, Congdon, W., Katz, L., Mullainathan, S. (2012). Notes on Behavioral Economics and Labor Market Policy. IZA Journal of Labor Policy 1 (2): 1-14.</w:t>
      </w:r>
    </w:p>
    <w:p w14:paraId="19A8D860"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lastRenderedPageBreak/>
        <w:t xml:space="preserve">Behaghel, L, Crépon, B., Gurgand, M. (2014). Private and Public Provision of Counseling to Job Seekers: Evidence from a Large Controlled Experiment. </w:t>
      </w:r>
      <w:r w:rsidRPr="00CB513F">
        <w:rPr>
          <w:rFonts w:ascii="Times New Roman" w:eastAsia="Calibri" w:hAnsi="Times New Roman" w:cs="Times New Roman"/>
          <w:i/>
          <w:iCs/>
          <w:color w:val="000000" w:themeColor="text1"/>
        </w:rPr>
        <w:t>American Economic Journal: Applied Economics</w:t>
      </w:r>
      <w:r w:rsidRPr="00CB513F">
        <w:rPr>
          <w:rFonts w:ascii="Times New Roman" w:eastAsia="Calibri" w:hAnsi="Times New Roman" w:cs="Times New Roman"/>
          <w:color w:val="000000" w:themeColor="text1"/>
        </w:rPr>
        <w:t xml:space="preserve"> 6 (4): 142-174.</w:t>
      </w:r>
    </w:p>
    <w:p w14:paraId="7D8192FE"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Belot, M., Kircher, P., Muller. P. (2016). Providing Advice to Job Seekers at Low Cost: An Experimental Study on On-Line Advice. Working Paper, July 2016.</w:t>
      </w:r>
    </w:p>
    <w:p w14:paraId="6EF11C59"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Besley, T., Burgess, R., Khan, A., Xu, G. (2022). Bureaucracy and Development Annual Review of Economics, 14, 397-424.</w:t>
      </w:r>
    </w:p>
    <w:p w14:paraId="32D968C3"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Bobonis, G., Bonikowska, A., Oreopoulos, P., Riddell, WC, Ryan, S. (2021). A Helping Hand Goes a Long Way: Long-Term Effects of Counselling and Support to Workfare Program Participants. Preprint.</w:t>
      </w:r>
    </w:p>
    <w:p w14:paraId="5994C001"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 xml:space="preserve">Burgos, Giovani, and Fernando I. Rivera. “Residential Segregation, Socio-economic Status, and Disability: A Multi-level Study of Puerto Ricans in the United States.” </w:t>
      </w:r>
      <w:r w:rsidRPr="00CB513F">
        <w:rPr>
          <w:rFonts w:ascii="Times New Roman" w:eastAsia="Calibri" w:hAnsi="Times New Roman" w:cs="Times New Roman"/>
          <w:i/>
          <w:iCs/>
          <w:color w:val="000000" w:themeColor="text1"/>
        </w:rPr>
        <w:t xml:space="preserve">Centro: Journal of the Center for Puerto Rican Studies </w:t>
      </w:r>
      <w:r w:rsidRPr="00CB513F">
        <w:rPr>
          <w:rFonts w:ascii="Times New Roman" w:eastAsia="Calibri" w:hAnsi="Times New Roman" w:cs="Times New Roman"/>
          <w:color w:val="000000" w:themeColor="text1"/>
        </w:rPr>
        <w:t xml:space="preserve">24, no. 2 (2012): 14–47. </w:t>
      </w:r>
    </w:p>
    <w:p w14:paraId="3A96C4EC"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Burtless, G., Sotomayor, O. (2006). Labor Supply and Public Transfers. In Collins, S., Bosworth, B., Soto-Class, M., The Economy of Puerto Rico: Restoring Growth, Brookings Institution Press, Washington D.C., 82-135.</w:t>
      </w:r>
    </w:p>
    <w:p w14:paraId="450D746A"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David Card, Jochen Kluve, Andrea Weber, What Works? A Meta Analysis of Recent Active Labor Market Program Evaluations, </w:t>
      </w:r>
      <w:r w:rsidRPr="00CB513F">
        <w:rPr>
          <w:rFonts w:ascii="Times New Roman" w:eastAsia="Calibri" w:hAnsi="Times New Roman" w:cs="Times New Roman"/>
          <w:i/>
          <w:iCs/>
          <w:color w:val="000000" w:themeColor="text1"/>
        </w:rPr>
        <w:t>Journal of the European Economic Association</w:t>
      </w:r>
      <w:r w:rsidRPr="00CB513F">
        <w:rPr>
          <w:rFonts w:ascii="Times New Roman" w:eastAsia="Calibri" w:hAnsi="Times New Roman" w:cs="Times New Roman"/>
          <w:color w:val="000000" w:themeColor="text1"/>
        </w:rPr>
        <w:t>, Volume 16, Issue 3, June 2018, Pages 894–931, </w:t>
      </w:r>
      <w:hyperlink r:id="rId10" w:history="1">
        <w:r w:rsidRPr="00CB513F">
          <w:rPr>
            <w:rStyle w:val="Hyperlink"/>
            <w:rFonts w:ascii="Times New Roman" w:eastAsia="Calibri" w:hAnsi="Times New Roman" w:cs="Times New Roman"/>
          </w:rPr>
          <w:t>https://doi.org/10.1093/jeea/jvx028</w:t>
        </w:r>
      </w:hyperlink>
    </w:p>
    <w:p w14:paraId="3037E8D1"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lang w:val="es-ES"/>
        </w:rPr>
        <w:t xml:space="preserve">Cockx, B., Dejemeppe, M., Launov, A., Van der Linden, B. (2018). </w:t>
      </w:r>
      <w:r w:rsidRPr="00CB513F">
        <w:rPr>
          <w:rFonts w:ascii="Times New Roman" w:eastAsia="Calibri" w:hAnsi="Times New Roman" w:cs="Times New Roman"/>
          <w:color w:val="000000" w:themeColor="text1"/>
        </w:rPr>
        <w:t xml:space="preserve">Imperfect monitoring of job search: Structural estimation and policy design. </w:t>
      </w:r>
      <w:r w:rsidRPr="00CB513F">
        <w:rPr>
          <w:rFonts w:ascii="Times New Roman" w:eastAsia="Calibri" w:hAnsi="Times New Roman" w:cs="Times New Roman"/>
          <w:i/>
          <w:iCs/>
          <w:color w:val="000000" w:themeColor="text1"/>
        </w:rPr>
        <w:t>Journal of Labor Economics</w:t>
      </w:r>
      <w:r w:rsidRPr="00CB513F">
        <w:rPr>
          <w:rFonts w:ascii="Times New Roman" w:eastAsia="Calibri" w:hAnsi="Times New Roman" w:cs="Times New Roman"/>
          <w:color w:val="000000" w:themeColor="text1"/>
        </w:rPr>
        <w:t xml:space="preserve">, </w:t>
      </w:r>
      <w:r w:rsidRPr="00CB513F">
        <w:rPr>
          <w:rFonts w:ascii="Times New Roman" w:eastAsia="Calibri" w:hAnsi="Times New Roman" w:cs="Times New Roman"/>
          <w:i/>
          <w:iCs/>
          <w:color w:val="000000" w:themeColor="text1"/>
        </w:rPr>
        <w:t>36</w:t>
      </w:r>
      <w:r w:rsidRPr="00CB513F">
        <w:rPr>
          <w:rFonts w:ascii="Times New Roman" w:eastAsia="Calibri" w:hAnsi="Times New Roman" w:cs="Times New Roman"/>
          <w:color w:val="000000" w:themeColor="text1"/>
        </w:rPr>
        <w:t>(1), 75-120.</w:t>
      </w:r>
    </w:p>
    <w:p w14:paraId="6BEB5963"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Crépon, B., Esther Duflo, Marc Gurgand, Roland Rathelot, Philippe Zamora. (2013). Do Labor Market Policies have Displacement Effects? Evidence from a Clustered Randomized Experiment</w:t>
      </w:r>
      <w:r w:rsidRPr="00CB513F">
        <w:rPr>
          <w:rFonts w:ascii="Times New Roman" w:eastAsia="Calibri" w:hAnsi="Times New Roman" w:cs="Times New Roman"/>
          <w:i/>
          <w:iCs/>
          <w:color w:val="000000" w:themeColor="text1"/>
        </w:rPr>
        <w:t>, The Quarterly Journal of Economics,</w:t>
      </w:r>
      <w:r w:rsidRPr="00CB513F">
        <w:rPr>
          <w:rFonts w:ascii="Times New Roman" w:eastAsia="Calibri" w:hAnsi="Times New Roman" w:cs="Times New Roman"/>
          <w:color w:val="000000" w:themeColor="text1"/>
        </w:rPr>
        <w:t xml:space="preserve"> </w:t>
      </w:r>
      <w:r w:rsidRPr="00CB513F">
        <w:rPr>
          <w:rFonts w:ascii="Times New Roman" w:eastAsia="Calibri" w:hAnsi="Times New Roman" w:cs="Times New Roman"/>
          <w:i/>
          <w:iCs/>
          <w:color w:val="000000" w:themeColor="text1"/>
        </w:rPr>
        <w:t>128</w:t>
      </w:r>
      <w:r w:rsidRPr="00CB513F">
        <w:rPr>
          <w:rFonts w:ascii="Times New Roman" w:eastAsia="Calibri" w:hAnsi="Times New Roman" w:cs="Times New Roman"/>
          <w:color w:val="000000" w:themeColor="text1"/>
        </w:rPr>
        <w:t>(2), 531–580</w:t>
      </w:r>
    </w:p>
    <w:p w14:paraId="3ED12566" w14:textId="77777777" w:rsidR="00A07964" w:rsidRPr="00CB513F" w:rsidRDefault="00A07964" w:rsidP="00153308">
      <w:pPr>
        <w:spacing w:after="200"/>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Deming, David J. 2017. The Growing Importance of Social Skills in the Labor Market, </w:t>
      </w:r>
      <w:r w:rsidRPr="00CB513F">
        <w:rPr>
          <w:rFonts w:ascii="Times New Roman" w:eastAsia="Calibri" w:hAnsi="Times New Roman" w:cs="Times New Roman"/>
          <w:i/>
          <w:iCs/>
          <w:color w:val="000000" w:themeColor="text1"/>
        </w:rPr>
        <w:t>The Quarterly Journal of Economics</w:t>
      </w:r>
      <w:r w:rsidRPr="00CB513F">
        <w:rPr>
          <w:rFonts w:ascii="Times New Roman" w:eastAsia="Calibri" w:hAnsi="Times New Roman" w:cs="Times New Roman"/>
          <w:color w:val="000000" w:themeColor="text1"/>
        </w:rPr>
        <w:t xml:space="preserve">, </w:t>
      </w:r>
      <w:r w:rsidRPr="00CB513F">
        <w:rPr>
          <w:rFonts w:ascii="Times New Roman" w:eastAsia="Calibri" w:hAnsi="Times New Roman" w:cs="Times New Roman"/>
          <w:i/>
          <w:iCs/>
          <w:color w:val="000000" w:themeColor="text1"/>
        </w:rPr>
        <w:t>132</w:t>
      </w:r>
      <w:r w:rsidRPr="00CB513F">
        <w:rPr>
          <w:rFonts w:ascii="Times New Roman" w:eastAsia="Calibri" w:hAnsi="Times New Roman" w:cs="Times New Roman"/>
          <w:color w:val="000000" w:themeColor="text1"/>
        </w:rPr>
        <w:t>(4), 1593–640.</w:t>
      </w:r>
    </w:p>
    <w:p w14:paraId="78948C66" w14:textId="77777777" w:rsidR="00A07964" w:rsidRPr="00CB513F" w:rsidRDefault="00A07964" w:rsidP="00153308">
      <w:pPr>
        <w:spacing w:after="200"/>
        <w:rPr>
          <w:rFonts w:ascii="Times New Roman" w:hAnsi="Times New Roman" w:cs="Times New Roman"/>
          <w:color w:val="000000" w:themeColor="text1"/>
        </w:rPr>
      </w:pPr>
      <w:r w:rsidRPr="00CB513F">
        <w:rPr>
          <w:rFonts w:ascii="Times New Roman" w:eastAsia="Calibri" w:hAnsi="Times New Roman" w:cs="Times New Roman"/>
          <w:color w:val="000000" w:themeColor="text1"/>
        </w:rPr>
        <w:t>Department of Economic Development and Commerce (2020). 2020 Puerto Rico Unified State Plan: Workforce Innovation and Opportunity Act, Government of Puerto Rico.</w:t>
      </w:r>
    </w:p>
    <w:p w14:paraId="75DB16CB" w14:textId="77777777" w:rsidR="00A07964" w:rsidRPr="00CB513F" w:rsidRDefault="00A07964" w:rsidP="00153308">
      <w:pPr>
        <w:spacing w:after="200"/>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Department of Economic Development and Commerce (2021). </w:t>
      </w:r>
      <w:r w:rsidRPr="00CB513F">
        <w:rPr>
          <w:rFonts w:ascii="Times New Roman" w:eastAsia="Calibri" w:hAnsi="Times New Roman" w:cs="Times New Roman"/>
          <w:color w:val="000000" w:themeColor="text1"/>
          <w:lang w:val="es-ES"/>
        </w:rPr>
        <w:t xml:space="preserve">Evaluación del Programa de Título I-B en Puerto Rico Bajo los Fondos WIOA. </w:t>
      </w:r>
      <w:r w:rsidRPr="00CB513F">
        <w:rPr>
          <w:rFonts w:ascii="Times New Roman" w:eastAsia="Calibri" w:hAnsi="Times New Roman" w:cs="Times New Roman"/>
          <w:color w:val="000000" w:themeColor="text1"/>
        </w:rPr>
        <w:t>Estudios Técnicos and Government of Puerto Rico.</w:t>
      </w:r>
    </w:p>
    <w:p w14:paraId="71065FC1" w14:textId="77777777" w:rsidR="00A07964" w:rsidRPr="00CB513F" w:rsidRDefault="00A07964" w:rsidP="00153308">
      <w:pPr>
        <w:spacing w:after="200"/>
        <w:rPr>
          <w:rFonts w:ascii="Times New Roman" w:hAnsi="Times New Roman" w:cs="Times New Roman"/>
          <w:color w:val="000000" w:themeColor="text1"/>
        </w:rPr>
      </w:pPr>
      <w:r w:rsidRPr="00CB513F">
        <w:rPr>
          <w:rFonts w:ascii="Times New Roman" w:eastAsia="Calibri" w:hAnsi="Times New Roman" w:cs="Times New Roman"/>
          <w:color w:val="000000" w:themeColor="text1"/>
        </w:rPr>
        <w:t>Finan, F., Olken, B., Pande, R. (2017). “The Personnel Economics of the Developing State.” Chapter 6 in Banerjee, A., and E. Duflo (eds.). Handbook of Field Experiments, Volume 2: Elsevier/North Holland, 467-514.</w:t>
      </w:r>
    </w:p>
    <w:p w14:paraId="1C94729D" w14:textId="77777777" w:rsidR="00A07964" w:rsidRPr="00CB513F" w:rsidRDefault="00A07964" w:rsidP="00153308">
      <w:pPr>
        <w:spacing w:after="200"/>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Franklin, S. (2017). Location, Search Costs and Youth Unemployment: Experimental Evidence from Transport Subsidies. </w:t>
      </w:r>
      <w:r w:rsidRPr="00CB513F">
        <w:rPr>
          <w:rStyle w:val="Emphasis"/>
          <w:rFonts w:ascii="Times New Roman" w:eastAsia="Calibri" w:hAnsi="Times New Roman" w:cs="Times New Roman"/>
          <w:color w:val="000000" w:themeColor="text1"/>
        </w:rPr>
        <w:t>The Economic Journal</w:t>
      </w:r>
      <w:r w:rsidRPr="00CB513F">
        <w:rPr>
          <w:rFonts w:ascii="Times New Roman" w:eastAsia="Calibri" w:hAnsi="Times New Roman" w:cs="Times New Roman"/>
          <w:color w:val="000000" w:themeColor="text1"/>
        </w:rPr>
        <w:t xml:space="preserve"> 128 (614): 2353–2379.</w:t>
      </w:r>
    </w:p>
    <w:p w14:paraId="05FDC27C" w14:textId="77777777" w:rsidR="00A07964" w:rsidRPr="00CB513F" w:rsidRDefault="00A07964" w:rsidP="00153308">
      <w:pPr>
        <w:spacing w:after="200"/>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Meyer, B. (1995). Lessons from the US Unemployment Insurance Experiments. </w:t>
      </w:r>
      <w:r w:rsidRPr="00CB513F">
        <w:rPr>
          <w:rFonts w:ascii="Times New Roman" w:eastAsia="Calibri" w:hAnsi="Times New Roman" w:cs="Times New Roman"/>
          <w:i/>
          <w:iCs/>
          <w:color w:val="000000" w:themeColor="text1"/>
        </w:rPr>
        <w:t>Journal of Economic Literature</w:t>
      </w:r>
      <w:r w:rsidRPr="00CB513F">
        <w:rPr>
          <w:rFonts w:ascii="Times New Roman" w:eastAsia="Calibri" w:hAnsi="Times New Roman" w:cs="Times New Roman"/>
          <w:color w:val="000000" w:themeColor="text1"/>
        </w:rPr>
        <w:t xml:space="preserve"> 33 (1): 91-131.</w:t>
      </w:r>
    </w:p>
    <w:p w14:paraId="731AD387"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Michaelides, M., Mueser, P. (2018). Are reemployment services effective? Experimental evidence from the Great Recession. </w:t>
      </w:r>
      <w:r w:rsidRPr="00CB513F">
        <w:rPr>
          <w:rFonts w:ascii="Times New Roman" w:eastAsia="Calibri" w:hAnsi="Times New Roman" w:cs="Times New Roman"/>
          <w:i/>
          <w:iCs/>
          <w:color w:val="000000" w:themeColor="text1"/>
        </w:rPr>
        <w:t>Journal of Policy Analysis and Management, 37</w:t>
      </w:r>
      <w:r w:rsidRPr="00CB513F">
        <w:rPr>
          <w:rFonts w:ascii="Times New Roman" w:eastAsia="Calibri" w:hAnsi="Times New Roman" w:cs="Times New Roman"/>
          <w:color w:val="000000" w:themeColor="text1"/>
        </w:rPr>
        <w:t>(3), 546-570.</w:t>
      </w:r>
    </w:p>
    <w:p w14:paraId="6731E2FE" w14:textId="77777777" w:rsidR="00A07964" w:rsidRPr="00CB513F" w:rsidRDefault="00A07964" w:rsidP="00153308">
      <w:pPr>
        <w:spacing w:after="200"/>
        <w:jc w:val="both"/>
        <w:rPr>
          <w:rFonts w:ascii="Times New Roman" w:hAnsi="Times New Roman" w:cs="Times New Roman"/>
          <w:color w:val="000000" w:themeColor="text1"/>
        </w:rPr>
      </w:pPr>
      <w:hyperlink r:id="rId11">
        <w:r w:rsidRPr="00CB513F">
          <w:rPr>
            <w:rFonts w:ascii="Times New Roman" w:eastAsia="Calibri" w:hAnsi="Times New Roman" w:cs="Times New Roman"/>
            <w:i/>
            <w:iCs/>
            <w:color w:val="000000" w:themeColor="text1"/>
          </w:rPr>
          <w:t>Michaelides</w:t>
        </w:r>
      </w:hyperlink>
      <w:r w:rsidRPr="00CB513F">
        <w:rPr>
          <w:rFonts w:ascii="Times New Roman" w:eastAsia="Calibri" w:hAnsi="Times New Roman" w:cs="Times New Roman"/>
          <w:i/>
          <w:iCs/>
          <w:color w:val="000000" w:themeColor="text1"/>
        </w:rPr>
        <w:t xml:space="preserve">, M., </w:t>
      </w:r>
      <w:hyperlink r:id="rId12">
        <w:r w:rsidRPr="00CB513F">
          <w:rPr>
            <w:rFonts w:ascii="Times New Roman" w:eastAsia="Calibri" w:hAnsi="Times New Roman" w:cs="Times New Roman"/>
            <w:i/>
            <w:iCs/>
            <w:color w:val="000000" w:themeColor="text1"/>
          </w:rPr>
          <w:t>Mueser</w:t>
        </w:r>
      </w:hyperlink>
      <w:r w:rsidRPr="00CB513F">
        <w:rPr>
          <w:rFonts w:ascii="Times New Roman" w:eastAsia="Calibri" w:hAnsi="Times New Roman" w:cs="Times New Roman"/>
          <w:i/>
          <w:iCs/>
          <w:color w:val="000000" w:themeColor="text1"/>
        </w:rPr>
        <w:t xml:space="preserve">, P., </w:t>
      </w:r>
      <w:hyperlink r:id="rId13">
        <w:r w:rsidRPr="00CB513F">
          <w:rPr>
            <w:rFonts w:ascii="Times New Roman" w:eastAsia="Calibri" w:hAnsi="Times New Roman" w:cs="Times New Roman"/>
            <w:i/>
            <w:iCs/>
            <w:color w:val="000000" w:themeColor="text1"/>
          </w:rPr>
          <w:t>Smith</w:t>
        </w:r>
      </w:hyperlink>
      <w:r w:rsidRPr="00CB513F">
        <w:rPr>
          <w:rFonts w:ascii="Times New Roman" w:eastAsia="Calibri" w:hAnsi="Times New Roman" w:cs="Times New Roman"/>
          <w:i/>
          <w:iCs/>
          <w:color w:val="000000" w:themeColor="text1"/>
        </w:rPr>
        <w:t>, J. (2020). Do Reemployment Programs for the Unemployed Work for Youth? Evidence from the Great Recession in the United States, Economic Inquiry, 59(11), 162-185.</w:t>
      </w:r>
    </w:p>
    <w:p w14:paraId="7FDE1B56"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Michaelides, M., Mueser, P. (2020). The Labor Market Effects of US Reemployment Policy: Lessons from an Analysis of Four Programs during the Great Recession. </w:t>
      </w:r>
      <w:r w:rsidRPr="00CB513F">
        <w:rPr>
          <w:rFonts w:ascii="Times New Roman" w:eastAsia="Calibri" w:hAnsi="Times New Roman" w:cs="Times New Roman"/>
          <w:i/>
          <w:iCs/>
          <w:color w:val="000000" w:themeColor="text1"/>
        </w:rPr>
        <w:t>Journal of Labor Economics</w:t>
      </w:r>
      <w:r w:rsidRPr="00CB513F">
        <w:rPr>
          <w:rFonts w:ascii="Times New Roman" w:eastAsia="Calibri" w:hAnsi="Times New Roman" w:cs="Times New Roman"/>
          <w:color w:val="000000" w:themeColor="text1"/>
        </w:rPr>
        <w:t xml:space="preserve">, 38(4), 1099-1140. </w:t>
      </w:r>
    </w:p>
    <w:p w14:paraId="06CBB61F"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Maibom, J., Rosholm, M., Svarer. M. (2017). Experimental evidence on the effects of early meetings and activation. </w:t>
      </w:r>
      <w:r w:rsidRPr="00CB513F">
        <w:rPr>
          <w:rFonts w:ascii="Times New Roman" w:eastAsia="Calibri" w:hAnsi="Times New Roman" w:cs="Times New Roman"/>
          <w:i/>
          <w:iCs/>
          <w:color w:val="000000" w:themeColor="text1"/>
        </w:rPr>
        <w:t>The Scandinavian Journal of Economics,</w:t>
      </w:r>
      <w:r w:rsidRPr="00CB513F">
        <w:rPr>
          <w:rFonts w:ascii="Times New Roman" w:eastAsia="Calibri" w:hAnsi="Times New Roman" w:cs="Times New Roman"/>
          <w:color w:val="000000" w:themeColor="text1"/>
        </w:rPr>
        <w:t xml:space="preserve"> </w:t>
      </w:r>
      <w:r w:rsidRPr="00CB513F">
        <w:rPr>
          <w:rFonts w:ascii="Times New Roman" w:eastAsia="Calibri" w:hAnsi="Times New Roman" w:cs="Times New Roman"/>
          <w:i/>
          <w:iCs/>
          <w:color w:val="000000" w:themeColor="text1"/>
        </w:rPr>
        <w:t>119</w:t>
      </w:r>
      <w:r w:rsidRPr="00CB513F">
        <w:rPr>
          <w:rFonts w:ascii="Times New Roman" w:eastAsia="Calibri" w:hAnsi="Times New Roman" w:cs="Times New Roman"/>
          <w:color w:val="000000" w:themeColor="text1"/>
        </w:rPr>
        <w:t>(3), 541-570.</w:t>
      </w:r>
    </w:p>
    <w:p w14:paraId="50166AC0"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 xml:space="preserve">Sanders, M., Guglielmo Briscese, Rory Gallagher, Alex Gyani, Samuel Hanes, Elspeth Kirkman and Owain Service. (2021). Behavioural insight and the labour market: evidence from a pilot study and a large stepped-wedge controlled trial. </w:t>
      </w:r>
      <w:r w:rsidRPr="00CB513F">
        <w:rPr>
          <w:rFonts w:ascii="Times New Roman" w:eastAsia="Calibri" w:hAnsi="Times New Roman" w:cs="Times New Roman"/>
          <w:i/>
          <w:iCs/>
          <w:color w:val="000000" w:themeColor="text1"/>
        </w:rPr>
        <w:t>Journal of Public Policy, 41</w:t>
      </w:r>
      <w:r w:rsidRPr="00CB513F">
        <w:rPr>
          <w:rFonts w:ascii="Times New Roman" w:eastAsia="Calibri" w:hAnsi="Times New Roman" w:cs="Times New Roman"/>
          <w:color w:val="000000" w:themeColor="text1"/>
        </w:rPr>
        <w:t>, 42-65.</w:t>
      </w:r>
    </w:p>
    <w:p w14:paraId="070A1707" w14:textId="77777777" w:rsidR="00A07964" w:rsidRPr="00CB513F" w:rsidRDefault="00A07964" w:rsidP="00153308">
      <w:pPr>
        <w:spacing w:after="200"/>
        <w:jc w:val="both"/>
        <w:rPr>
          <w:rFonts w:ascii="Times New Roman" w:hAnsi="Times New Roman" w:cs="Times New Roman"/>
          <w:color w:val="000000" w:themeColor="text1"/>
        </w:rPr>
      </w:pPr>
      <w:r w:rsidRPr="00CB513F">
        <w:rPr>
          <w:rFonts w:ascii="Times New Roman" w:eastAsia="Calibri" w:hAnsi="Times New Roman" w:cs="Times New Roman"/>
          <w:color w:val="000000" w:themeColor="text1"/>
        </w:rPr>
        <w:t>Schanzenbach, D., Nunn, R., Bauer, L., Mumford, M., Breitwieser, A. (2016). Seven Facts on Noncognitive Skills from Education to the Labor Market. The Hamilton Project, Brookings Institution, Washington D.C.</w:t>
      </w:r>
    </w:p>
    <w:p w14:paraId="292221C4"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 xml:space="preserve">Sotomayor, O. (1996). Poverty and Income Inequality in Puerto Rico, 1969–89: Trends and Sources, </w:t>
      </w:r>
      <w:r w:rsidRPr="00CB513F">
        <w:rPr>
          <w:rFonts w:ascii="Times New Roman" w:eastAsia="Calibri" w:hAnsi="Times New Roman" w:cs="Times New Roman"/>
          <w:i/>
          <w:iCs/>
          <w:color w:val="000000" w:themeColor="text1"/>
        </w:rPr>
        <w:t>The Review of Income and Wealth</w:t>
      </w:r>
      <w:r w:rsidRPr="00CB513F">
        <w:rPr>
          <w:rFonts w:ascii="Times New Roman" w:eastAsia="Calibri" w:hAnsi="Times New Roman" w:cs="Times New Roman"/>
          <w:color w:val="000000" w:themeColor="text1"/>
        </w:rPr>
        <w:t>, 42(1), 49-61.</w:t>
      </w:r>
    </w:p>
    <w:p w14:paraId="1D7614DA"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rPr>
        <w:t xml:space="preserve">Sotomayor, O. (2004). Distribution and Development: The Case of Puerto Rico, </w:t>
      </w:r>
      <w:r w:rsidRPr="00CB513F">
        <w:rPr>
          <w:rFonts w:ascii="Times New Roman" w:eastAsia="Calibri" w:hAnsi="Times New Roman" w:cs="Times New Roman"/>
          <w:i/>
          <w:iCs/>
          <w:color w:val="000000" w:themeColor="text1"/>
        </w:rPr>
        <w:t>World Development</w:t>
      </w:r>
      <w:r w:rsidRPr="00CB513F">
        <w:rPr>
          <w:rFonts w:ascii="Times New Roman" w:eastAsia="Calibri" w:hAnsi="Times New Roman" w:cs="Times New Roman"/>
          <w:color w:val="000000" w:themeColor="text1"/>
        </w:rPr>
        <w:t>, 32(8), 1395-1406.</w:t>
      </w:r>
    </w:p>
    <w:p w14:paraId="560AAEF5" w14:textId="77777777" w:rsidR="00A07964" w:rsidRPr="00CB513F" w:rsidRDefault="00A07964" w:rsidP="00153308">
      <w:pPr>
        <w:spacing w:after="200"/>
        <w:jc w:val="both"/>
        <w:rPr>
          <w:rFonts w:ascii="Times New Roman" w:eastAsia="Calibri" w:hAnsi="Times New Roman" w:cs="Times New Roman"/>
          <w:color w:val="000000" w:themeColor="text1"/>
        </w:rPr>
      </w:pPr>
      <w:r w:rsidRPr="00CB513F">
        <w:rPr>
          <w:rFonts w:ascii="Times New Roman" w:eastAsia="Calibri" w:hAnsi="Times New Roman" w:cs="Times New Roman"/>
          <w:color w:val="000000" w:themeColor="text1"/>
          <w:lang w:val="es-ES"/>
        </w:rPr>
        <w:t xml:space="preserve">Van den Berg, G., Van der Klaauw, B. (2006). </w:t>
      </w:r>
      <w:r w:rsidRPr="00CB513F">
        <w:rPr>
          <w:rFonts w:ascii="Times New Roman" w:eastAsia="Calibri" w:hAnsi="Times New Roman" w:cs="Times New Roman"/>
          <w:color w:val="000000" w:themeColor="text1"/>
        </w:rPr>
        <w:t xml:space="preserve">Counseling and Monitoring of Unemployed Workers: Theory and Evidence from a Controlled Social Experiment. </w:t>
      </w:r>
      <w:r w:rsidRPr="00CB513F">
        <w:rPr>
          <w:rStyle w:val="Emphasis"/>
          <w:rFonts w:ascii="Times New Roman" w:eastAsia="Calibri" w:hAnsi="Times New Roman" w:cs="Times New Roman"/>
          <w:color w:val="000000" w:themeColor="text1"/>
        </w:rPr>
        <w:t xml:space="preserve">International Economic Review </w:t>
      </w:r>
      <w:r w:rsidRPr="00CB513F">
        <w:rPr>
          <w:rFonts w:ascii="Times New Roman" w:eastAsia="Calibri" w:hAnsi="Times New Roman" w:cs="Times New Roman"/>
          <w:color w:val="000000" w:themeColor="text1"/>
        </w:rPr>
        <w:t>43(3), 895–936.</w:t>
      </w:r>
    </w:p>
    <w:p w14:paraId="1F72F646" w14:textId="72E6DCF2" w:rsidR="002B7BEB" w:rsidRPr="00CB513F" w:rsidRDefault="00A07964" w:rsidP="00153308">
      <w:pPr>
        <w:jc w:val="both"/>
        <w:rPr>
          <w:rFonts w:ascii="Times New Roman" w:eastAsia="Times New Roman" w:hAnsi="Times New Roman" w:cs="Times New Roman"/>
          <w:b/>
        </w:rPr>
      </w:pPr>
      <w:r w:rsidRPr="00CB513F">
        <w:rPr>
          <w:rFonts w:ascii="Times New Roman" w:eastAsia="Calibri" w:hAnsi="Times New Roman" w:cs="Times New Roman"/>
          <w:color w:val="000000" w:themeColor="text1"/>
          <w:lang w:eastAsia="x-none"/>
        </w:rPr>
        <w:t xml:space="preserve">Weidmann, B., Deming, D. (2020). Team Players: How Social Skills Improve Team Performance. </w:t>
      </w:r>
      <w:r w:rsidRPr="00CB513F">
        <w:rPr>
          <w:rFonts w:ascii="Times New Roman" w:eastAsia="Calibri" w:hAnsi="Times New Roman" w:cs="Times New Roman"/>
          <w:i/>
          <w:iCs/>
          <w:color w:val="000000" w:themeColor="text1"/>
          <w:lang w:eastAsia="x-none"/>
        </w:rPr>
        <w:t>NBER Working Papers</w:t>
      </w:r>
      <w:r w:rsidRPr="00CB513F">
        <w:rPr>
          <w:rFonts w:ascii="Times New Roman" w:eastAsia="Calibri" w:hAnsi="Times New Roman" w:cs="Times New Roman"/>
          <w:color w:val="000000" w:themeColor="text1"/>
          <w:lang w:eastAsia="x-none"/>
        </w:rPr>
        <w:t>.</w:t>
      </w:r>
    </w:p>
    <w:sectPr w:rsidR="002B7BEB" w:rsidRPr="00CB513F" w:rsidSect="004F2F75">
      <w:headerReference w:type="even" r:id="rId14"/>
      <w:headerReference w:type="default" r:id="rId15"/>
      <w:pgSz w:w="12240" w:h="15840"/>
      <w:pgMar w:top="1134" w:right="1134" w:bottom="1134" w:left="1134" w:header="50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12B97" w14:textId="77777777" w:rsidR="00155744" w:rsidRDefault="00155744">
      <w:r>
        <w:separator/>
      </w:r>
    </w:p>
  </w:endnote>
  <w:endnote w:type="continuationSeparator" w:id="0">
    <w:p w14:paraId="38C54FEB" w14:textId="77777777" w:rsidR="00155744" w:rsidRDefault="0015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erif">
    <w:altName w:val="Times New Roman"/>
    <w:panose1 w:val="020B0604020202020204"/>
    <w:charset w:val="00"/>
    <w:family w:val="roman"/>
    <w:pitch w:val="variable"/>
    <w:sig w:usb0="E0000AFF" w:usb1="500078FF" w:usb2="00000021" w:usb3="00000000" w:csb0="000001BF" w:csb1="00000000"/>
  </w:font>
  <w:font w:name="FandolFang R">
    <w:altName w:val="Cambria"/>
    <w:panose1 w:val="020B0604020202020204"/>
    <w:charset w:val="00"/>
    <w:family w:val="roman"/>
    <w:pitch w:val="default"/>
  </w:font>
  <w:font w:name="Droid Sans Devanagari">
    <w:altName w:val="Segoe UI"/>
    <w:panose1 w:val="020B0604020202020204"/>
    <w:charset w:val="00"/>
    <w:family w:val="roman"/>
    <w:pitch w:val="default"/>
  </w:font>
  <w:font w:name="Liberation Sans">
    <w:altName w:val="Arial"/>
    <w:panose1 w:val="020B0604020202020204"/>
    <w:charset w:val="01"/>
    <w:family w:val="roman"/>
    <w:pitch w:val="variable"/>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42FEF" w14:textId="77777777" w:rsidR="00155744" w:rsidRDefault="00155744">
      <w:pPr>
        <w:rPr>
          <w:sz w:val="12"/>
        </w:rPr>
      </w:pPr>
      <w:r>
        <w:separator/>
      </w:r>
    </w:p>
  </w:footnote>
  <w:footnote w:type="continuationSeparator" w:id="0">
    <w:p w14:paraId="29C34004" w14:textId="77777777" w:rsidR="00155744" w:rsidRDefault="00155744">
      <w:pPr>
        <w:rPr>
          <w:sz w:val="12"/>
        </w:rPr>
      </w:pPr>
      <w:r>
        <w:continuationSeparator/>
      </w:r>
    </w:p>
  </w:footnote>
  <w:footnote w:id="1">
    <w:p w14:paraId="7D7A9A72" w14:textId="22269D9B" w:rsidR="00B41247" w:rsidRPr="00B41247" w:rsidRDefault="00B41247">
      <w:pPr>
        <w:pStyle w:val="FootnoteText"/>
      </w:pPr>
      <w:r>
        <w:rPr>
          <w:rStyle w:val="FootnoteReference"/>
        </w:rPr>
        <w:footnoteRef/>
      </w:r>
      <w:r>
        <w:t xml:space="preserve"> </w:t>
      </w:r>
      <w:r w:rsidRPr="00B41247">
        <w:t>The ability to measure th</w:t>
      </w:r>
      <w:r>
        <w:t>ese medium and longer-term impacts is contingent on getting access to the data. WIOA follow-up requirements mandate that WIOA clients with an exit record are followed-up at the 2</w:t>
      </w:r>
      <w:r w:rsidRPr="00B41247">
        <w:rPr>
          <w:vertAlign w:val="superscript"/>
        </w:rPr>
        <w:t>nd</w:t>
      </w:r>
      <w:r>
        <w:t xml:space="preserve"> and 4</w:t>
      </w:r>
      <w:r w:rsidRPr="00B41247">
        <w:rPr>
          <w:vertAlign w:val="superscript"/>
        </w:rPr>
        <w:t>th</w:t>
      </w:r>
      <w:r>
        <w:t xml:space="preserve"> quarter. </w:t>
      </w:r>
    </w:p>
  </w:footnote>
  <w:footnote w:id="2">
    <w:p w14:paraId="1144ED64" w14:textId="29BE374F" w:rsidR="0043552D" w:rsidRPr="0043552D" w:rsidRDefault="0043552D">
      <w:pPr>
        <w:pStyle w:val="FootnoteText"/>
      </w:pPr>
      <w:r>
        <w:rPr>
          <w:rStyle w:val="FootnoteReference"/>
        </w:rPr>
        <w:footnoteRef/>
      </w:r>
      <w:r>
        <w:t xml:space="preserve"> </w:t>
      </w:r>
      <w:r w:rsidRPr="0043552D">
        <w:t>The government agency will have to make the petition</w:t>
      </w:r>
      <w:r>
        <w:t xml:space="preserve"> to access this data. The ability to measure this impact</w:t>
      </w:r>
      <w:r w:rsidRPr="0043552D">
        <w:t xml:space="preserve"> </w:t>
      </w:r>
      <w:r>
        <w:t>is contigent on having access to it.</w:t>
      </w:r>
    </w:p>
  </w:footnote>
  <w:footnote w:id="3">
    <w:p w14:paraId="33F588DC" w14:textId="77777777" w:rsidR="00944F2D" w:rsidRDefault="00944F2D" w:rsidP="00944F2D">
      <w:pPr>
        <w:pStyle w:val="FootnoteText"/>
        <w:spacing w:line="276" w:lineRule="auto"/>
        <w:rPr>
          <w:rFonts w:ascii="Times New Roman" w:hAnsi="Times New Roman"/>
          <w:sz w:val="22"/>
          <w:szCs w:val="22"/>
        </w:rPr>
      </w:pPr>
      <w:r>
        <w:rPr>
          <w:rStyle w:val="FootnoteCharacters"/>
        </w:rPr>
        <w:footnoteRef/>
      </w:r>
      <w:r>
        <w:rPr>
          <w:rFonts w:ascii="Times New Roman" w:hAnsi="Times New Roman"/>
          <w:sz w:val="22"/>
          <w:szCs w:val="22"/>
        </w:rPr>
        <w:tab/>
        <w:t xml:space="preserve">Behaghel et al (2014) report a </w:t>
      </w:r>
      <w:r>
        <w:rPr>
          <w:rFonts w:ascii="Times New Roman" w:hAnsi="Times New Roman"/>
          <w:color w:val="000000" w:themeColor="dark1"/>
          <w:sz w:val="22"/>
          <w:szCs w:val="22"/>
        </w:rPr>
        <w:t>32 percent take-up rate for public program; and 40 percent take-up for private. In line with other J-PAL projects in Puerto Rico, we scale down participation expectations relative to those observed in higher income settings.</w:t>
      </w:r>
    </w:p>
  </w:footnote>
  <w:footnote w:id="4">
    <w:p w14:paraId="6A102702" w14:textId="1E523A40" w:rsidR="00910CC8" w:rsidRPr="00910CC8" w:rsidRDefault="00910CC8" w:rsidP="00910CC8">
      <w:pPr>
        <w:pStyle w:val="FootnoteText"/>
      </w:pPr>
      <w:r>
        <w:rPr>
          <w:rStyle w:val="FootnoteReference"/>
        </w:rPr>
        <w:footnoteRef/>
      </w:r>
      <w:r>
        <w:t xml:space="preserve"> </w:t>
      </w:r>
      <w:r>
        <w:tab/>
      </w:r>
      <w:r w:rsidRPr="00910CC8">
        <w:t>Website accessed on 03/30/2024: https://www.dol.gov/sites/dolgov/files/ETA/Performance/pdfs/PY2022/PR_PY22%20WIOA%20Statewide%20Annual%20Performance%20Report%20Narrative.pdf</w:t>
      </w:r>
    </w:p>
    <w:p w14:paraId="75F506FC" w14:textId="08B56174" w:rsidR="00910CC8" w:rsidRPr="00910CC8" w:rsidRDefault="00910CC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0786615"/>
      <w:docPartObj>
        <w:docPartGallery w:val="Page Numbers (Top of Page)"/>
        <w:docPartUnique/>
      </w:docPartObj>
    </w:sdtPr>
    <w:sdtContent>
      <w:p w14:paraId="322C55D3" w14:textId="1F61E00B" w:rsidR="004F2F75" w:rsidRDefault="004F2F75" w:rsidP="00B1196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27F69A" w14:textId="77777777" w:rsidR="004F2F75" w:rsidRDefault="004F2F75" w:rsidP="004F2F7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49254608"/>
      <w:docPartObj>
        <w:docPartGallery w:val="Page Numbers (Top of Page)"/>
        <w:docPartUnique/>
      </w:docPartObj>
    </w:sdtPr>
    <w:sdtContent>
      <w:p w14:paraId="0F6C74C6" w14:textId="2F71683C" w:rsidR="004F2F75" w:rsidRDefault="004F2F75" w:rsidP="00B1196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1D344F" w14:textId="77777777" w:rsidR="004F2F75" w:rsidRDefault="004F2F75" w:rsidP="004F2F7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809D6"/>
    <w:multiLevelType w:val="multilevel"/>
    <w:tmpl w:val="AC1C1A2C"/>
    <w:lvl w:ilvl="0">
      <w:start w:val="1"/>
      <w:numFmt w:val="bullet"/>
      <w:lvlText w:val=""/>
      <w:lvlJc w:val="left"/>
      <w:pPr>
        <w:tabs>
          <w:tab w:val="num" w:pos="1512"/>
        </w:tabs>
        <w:ind w:left="1512" w:hanging="360"/>
      </w:pPr>
      <w:rPr>
        <w:rFonts w:ascii="Symbol" w:hAnsi="Symbol" w:cs="Symbol" w:hint="default"/>
      </w:rPr>
    </w:lvl>
    <w:lvl w:ilvl="1">
      <w:start w:val="1"/>
      <w:numFmt w:val="bullet"/>
      <w:lvlText w:val="◦"/>
      <w:lvlJc w:val="left"/>
      <w:pPr>
        <w:tabs>
          <w:tab w:val="num" w:pos="1872"/>
        </w:tabs>
        <w:ind w:left="1872" w:hanging="360"/>
      </w:pPr>
      <w:rPr>
        <w:rFonts w:ascii="OpenSymbol" w:hAnsi="OpenSymbol" w:cs="OpenSymbol" w:hint="default"/>
      </w:rPr>
    </w:lvl>
    <w:lvl w:ilvl="2">
      <w:start w:val="1"/>
      <w:numFmt w:val="bullet"/>
      <w:lvlText w:val="▪"/>
      <w:lvlJc w:val="left"/>
      <w:pPr>
        <w:tabs>
          <w:tab w:val="num" w:pos="2232"/>
        </w:tabs>
        <w:ind w:left="2232" w:hanging="360"/>
      </w:pPr>
      <w:rPr>
        <w:rFonts w:ascii="OpenSymbol" w:hAnsi="OpenSymbol" w:cs="OpenSymbol" w:hint="default"/>
      </w:rPr>
    </w:lvl>
    <w:lvl w:ilvl="3">
      <w:start w:val="1"/>
      <w:numFmt w:val="bullet"/>
      <w:lvlText w:val=""/>
      <w:lvlJc w:val="left"/>
      <w:pPr>
        <w:tabs>
          <w:tab w:val="num" w:pos="2592"/>
        </w:tabs>
        <w:ind w:left="2592" w:hanging="360"/>
      </w:pPr>
      <w:rPr>
        <w:rFonts w:ascii="Symbol" w:hAnsi="Symbol" w:cs="Symbol" w:hint="default"/>
      </w:rPr>
    </w:lvl>
    <w:lvl w:ilvl="4">
      <w:start w:val="1"/>
      <w:numFmt w:val="bullet"/>
      <w:lvlText w:val="◦"/>
      <w:lvlJc w:val="left"/>
      <w:pPr>
        <w:tabs>
          <w:tab w:val="num" w:pos="2952"/>
        </w:tabs>
        <w:ind w:left="2952" w:hanging="360"/>
      </w:pPr>
      <w:rPr>
        <w:rFonts w:ascii="OpenSymbol" w:hAnsi="OpenSymbol" w:cs="OpenSymbol" w:hint="default"/>
      </w:rPr>
    </w:lvl>
    <w:lvl w:ilvl="5">
      <w:start w:val="1"/>
      <w:numFmt w:val="bullet"/>
      <w:lvlText w:val="▪"/>
      <w:lvlJc w:val="left"/>
      <w:pPr>
        <w:tabs>
          <w:tab w:val="num" w:pos="3312"/>
        </w:tabs>
        <w:ind w:left="3312" w:hanging="360"/>
      </w:pPr>
      <w:rPr>
        <w:rFonts w:ascii="OpenSymbol" w:hAnsi="OpenSymbol" w:cs="OpenSymbol" w:hint="default"/>
      </w:rPr>
    </w:lvl>
    <w:lvl w:ilvl="6">
      <w:start w:val="1"/>
      <w:numFmt w:val="bullet"/>
      <w:lvlText w:val=""/>
      <w:lvlJc w:val="left"/>
      <w:pPr>
        <w:tabs>
          <w:tab w:val="num" w:pos="3672"/>
        </w:tabs>
        <w:ind w:left="3672" w:hanging="360"/>
      </w:pPr>
      <w:rPr>
        <w:rFonts w:ascii="Symbol" w:hAnsi="Symbol" w:cs="Symbol" w:hint="default"/>
      </w:rPr>
    </w:lvl>
    <w:lvl w:ilvl="7">
      <w:start w:val="1"/>
      <w:numFmt w:val="bullet"/>
      <w:lvlText w:val="◦"/>
      <w:lvlJc w:val="left"/>
      <w:pPr>
        <w:tabs>
          <w:tab w:val="num" w:pos="4032"/>
        </w:tabs>
        <w:ind w:left="4032" w:hanging="360"/>
      </w:pPr>
      <w:rPr>
        <w:rFonts w:ascii="OpenSymbol" w:hAnsi="OpenSymbol" w:cs="OpenSymbol" w:hint="default"/>
      </w:rPr>
    </w:lvl>
    <w:lvl w:ilvl="8">
      <w:start w:val="1"/>
      <w:numFmt w:val="bullet"/>
      <w:lvlText w:val="▪"/>
      <w:lvlJc w:val="left"/>
      <w:pPr>
        <w:tabs>
          <w:tab w:val="num" w:pos="4392"/>
        </w:tabs>
        <w:ind w:left="4392" w:hanging="360"/>
      </w:pPr>
      <w:rPr>
        <w:rFonts w:ascii="OpenSymbol" w:hAnsi="OpenSymbol" w:cs="OpenSymbol" w:hint="default"/>
      </w:rPr>
    </w:lvl>
  </w:abstractNum>
  <w:abstractNum w:abstractNumId="1" w15:restartNumberingAfterBreak="0">
    <w:nsid w:val="10D03E4E"/>
    <w:multiLevelType w:val="multilevel"/>
    <w:tmpl w:val="0409001F"/>
    <w:styleLink w:val="CurrentList1"/>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01203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02F7B1"/>
    <w:multiLevelType w:val="multilevel"/>
    <w:tmpl w:val="663A3E1A"/>
    <w:lvl w:ilvl="0">
      <w:start w:val="1"/>
      <w:numFmt w:val="bullet"/>
      <w:lvlText w:val=""/>
      <w:lvlJc w:val="left"/>
      <w:pPr>
        <w:tabs>
          <w:tab w:val="num" w:pos="1778"/>
        </w:tabs>
        <w:ind w:left="1778" w:hanging="360"/>
      </w:pPr>
      <w:rPr>
        <w:rFonts w:ascii="Symbol" w:hAnsi="Symbol" w:cs="Symbol" w:hint="default"/>
      </w:rPr>
    </w:lvl>
    <w:lvl w:ilvl="1">
      <w:start w:val="1"/>
      <w:numFmt w:val="bullet"/>
      <w:lvlText w:val="◦"/>
      <w:lvlJc w:val="left"/>
      <w:pPr>
        <w:tabs>
          <w:tab w:val="num" w:pos="2138"/>
        </w:tabs>
        <w:ind w:left="2138" w:hanging="360"/>
      </w:pPr>
      <w:rPr>
        <w:rFonts w:ascii="OpenSymbol" w:hAnsi="OpenSymbol" w:cs="OpenSymbol" w:hint="default"/>
      </w:rPr>
    </w:lvl>
    <w:lvl w:ilvl="2">
      <w:start w:val="1"/>
      <w:numFmt w:val="bullet"/>
      <w:lvlText w:val="▪"/>
      <w:lvlJc w:val="left"/>
      <w:pPr>
        <w:tabs>
          <w:tab w:val="num" w:pos="2498"/>
        </w:tabs>
        <w:ind w:left="2498" w:hanging="360"/>
      </w:pPr>
      <w:rPr>
        <w:rFonts w:ascii="OpenSymbol" w:hAnsi="OpenSymbol" w:cs="OpenSymbol" w:hint="default"/>
      </w:rPr>
    </w:lvl>
    <w:lvl w:ilvl="3">
      <w:start w:val="1"/>
      <w:numFmt w:val="bullet"/>
      <w:lvlText w:val=""/>
      <w:lvlJc w:val="left"/>
      <w:pPr>
        <w:tabs>
          <w:tab w:val="num" w:pos="2858"/>
        </w:tabs>
        <w:ind w:left="2858" w:hanging="360"/>
      </w:pPr>
      <w:rPr>
        <w:rFonts w:ascii="Symbol" w:hAnsi="Symbol" w:cs="Symbol" w:hint="default"/>
      </w:rPr>
    </w:lvl>
    <w:lvl w:ilvl="4">
      <w:start w:val="1"/>
      <w:numFmt w:val="bullet"/>
      <w:lvlText w:val="◦"/>
      <w:lvlJc w:val="left"/>
      <w:pPr>
        <w:tabs>
          <w:tab w:val="num" w:pos="3218"/>
        </w:tabs>
        <w:ind w:left="3218" w:hanging="360"/>
      </w:pPr>
      <w:rPr>
        <w:rFonts w:ascii="OpenSymbol" w:hAnsi="OpenSymbol" w:cs="OpenSymbol" w:hint="default"/>
      </w:rPr>
    </w:lvl>
    <w:lvl w:ilvl="5">
      <w:start w:val="1"/>
      <w:numFmt w:val="bullet"/>
      <w:lvlText w:val="▪"/>
      <w:lvlJc w:val="left"/>
      <w:pPr>
        <w:tabs>
          <w:tab w:val="num" w:pos="3578"/>
        </w:tabs>
        <w:ind w:left="3578" w:hanging="360"/>
      </w:pPr>
      <w:rPr>
        <w:rFonts w:ascii="OpenSymbol" w:hAnsi="OpenSymbol" w:cs="OpenSymbol" w:hint="default"/>
      </w:rPr>
    </w:lvl>
    <w:lvl w:ilvl="6">
      <w:start w:val="1"/>
      <w:numFmt w:val="bullet"/>
      <w:lvlText w:val=""/>
      <w:lvlJc w:val="left"/>
      <w:pPr>
        <w:tabs>
          <w:tab w:val="num" w:pos="3938"/>
        </w:tabs>
        <w:ind w:left="3938" w:hanging="360"/>
      </w:pPr>
      <w:rPr>
        <w:rFonts w:ascii="Symbol" w:hAnsi="Symbol" w:cs="Symbol" w:hint="default"/>
      </w:rPr>
    </w:lvl>
    <w:lvl w:ilvl="7">
      <w:start w:val="1"/>
      <w:numFmt w:val="bullet"/>
      <w:lvlText w:val="◦"/>
      <w:lvlJc w:val="left"/>
      <w:pPr>
        <w:tabs>
          <w:tab w:val="num" w:pos="4298"/>
        </w:tabs>
        <w:ind w:left="4298" w:hanging="360"/>
      </w:pPr>
      <w:rPr>
        <w:rFonts w:ascii="OpenSymbol" w:hAnsi="OpenSymbol" w:cs="OpenSymbol" w:hint="default"/>
      </w:rPr>
    </w:lvl>
    <w:lvl w:ilvl="8">
      <w:start w:val="1"/>
      <w:numFmt w:val="bullet"/>
      <w:lvlText w:val="▪"/>
      <w:lvlJc w:val="left"/>
      <w:pPr>
        <w:tabs>
          <w:tab w:val="num" w:pos="4658"/>
        </w:tabs>
        <w:ind w:left="4658" w:hanging="360"/>
      </w:pPr>
      <w:rPr>
        <w:rFonts w:ascii="OpenSymbol" w:hAnsi="OpenSymbol" w:cs="OpenSymbol" w:hint="default"/>
      </w:rPr>
    </w:lvl>
  </w:abstractNum>
  <w:abstractNum w:abstractNumId="4" w15:restartNumberingAfterBreak="0">
    <w:nsid w:val="2BBE9BFB"/>
    <w:multiLevelType w:val="multilevel"/>
    <w:tmpl w:val="4ACCEB36"/>
    <w:lvl w:ilvl="0">
      <w:start w:val="1"/>
      <w:numFmt w:val="bullet"/>
      <w:lvlText w:val=""/>
      <w:lvlJc w:val="left"/>
      <w:pPr>
        <w:tabs>
          <w:tab w:val="num" w:pos="1778"/>
        </w:tabs>
        <w:ind w:left="1778" w:hanging="360"/>
      </w:pPr>
      <w:rPr>
        <w:rFonts w:ascii="Symbol" w:hAnsi="Symbol" w:cs="Symbol" w:hint="default"/>
      </w:rPr>
    </w:lvl>
    <w:lvl w:ilvl="1">
      <w:start w:val="1"/>
      <w:numFmt w:val="bullet"/>
      <w:lvlText w:val="◦"/>
      <w:lvlJc w:val="left"/>
      <w:pPr>
        <w:tabs>
          <w:tab w:val="num" w:pos="2138"/>
        </w:tabs>
        <w:ind w:left="2138" w:hanging="360"/>
      </w:pPr>
      <w:rPr>
        <w:rFonts w:ascii="OpenSymbol" w:hAnsi="OpenSymbol" w:cs="OpenSymbol" w:hint="default"/>
      </w:rPr>
    </w:lvl>
    <w:lvl w:ilvl="2">
      <w:start w:val="1"/>
      <w:numFmt w:val="bullet"/>
      <w:lvlText w:val="▪"/>
      <w:lvlJc w:val="left"/>
      <w:pPr>
        <w:tabs>
          <w:tab w:val="num" w:pos="2498"/>
        </w:tabs>
        <w:ind w:left="2498" w:hanging="360"/>
      </w:pPr>
      <w:rPr>
        <w:rFonts w:ascii="OpenSymbol" w:hAnsi="OpenSymbol" w:cs="OpenSymbol" w:hint="default"/>
      </w:rPr>
    </w:lvl>
    <w:lvl w:ilvl="3">
      <w:start w:val="1"/>
      <w:numFmt w:val="bullet"/>
      <w:lvlText w:val=""/>
      <w:lvlJc w:val="left"/>
      <w:pPr>
        <w:tabs>
          <w:tab w:val="num" w:pos="2858"/>
        </w:tabs>
        <w:ind w:left="2858" w:hanging="360"/>
      </w:pPr>
      <w:rPr>
        <w:rFonts w:ascii="Symbol" w:hAnsi="Symbol" w:cs="Symbol" w:hint="default"/>
      </w:rPr>
    </w:lvl>
    <w:lvl w:ilvl="4">
      <w:start w:val="1"/>
      <w:numFmt w:val="bullet"/>
      <w:lvlText w:val="◦"/>
      <w:lvlJc w:val="left"/>
      <w:pPr>
        <w:tabs>
          <w:tab w:val="num" w:pos="3218"/>
        </w:tabs>
        <w:ind w:left="3218" w:hanging="360"/>
      </w:pPr>
      <w:rPr>
        <w:rFonts w:ascii="OpenSymbol" w:hAnsi="OpenSymbol" w:cs="OpenSymbol" w:hint="default"/>
      </w:rPr>
    </w:lvl>
    <w:lvl w:ilvl="5">
      <w:start w:val="1"/>
      <w:numFmt w:val="bullet"/>
      <w:lvlText w:val="▪"/>
      <w:lvlJc w:val="left"/>
      <w:pPr>
        <w:tabs>
          <w:tab w:val="num" w:pos="3578"/>
        </w:tabs>
        <w:ind w:left="3578" w:hanging="360"/>
      </w:pPr>
      <w:rPr>
        <w:rFonts w:ascii="OpenSymbol" w:hAnsi="OpenSymbol" w:cs="OpenSymbol" w:hint="default"/>
      </w:rPr>
    </w:lvl>
    <w:lvl w:ilvl="6">
      <w:start w:val="1"/>
      <w:numFmt w:val="bullet"/>
      <w:lvlText w:val=""/>
      <w:lvlJc w:val="left"/>
      <w:pPr>
        <w:tabs>
          <w:tab w:val="num" w:pos="3938"/>
        </w:tabs>
        <w:ind w:left="3938" w:hanging="360"/>
      </w:pPr>
      <w:rPr>
        <w:rFonts w:ascii="Symbol" w:hAnsi="Symbol" w:cs="Symbol" w:hint="default"/>
      </w:rPr>
    </w:lvl>
    <w:lvl w:ilvl="7">
      <w:start w:val="1"/>
      <w:numFmt w:val="bullet"/>
      <w:lvlText w:val="◦"/>
      <w:lvlJc w:val="left"/>
      <w:pPr>
        <w:tabs>
          <w:tab w:val="num" w:pos="4298"/>
        </w:tabs>
        <w:ind w:left="4298" w:hanging="360"/>
      </w:pPr>
      <w:rPr>
        <w:rFonts w:ascii="OpenSymbol" w:hAnsi="OpenSymbol" w:cs="OpenSymbol" w:hint="default"/>
      </w:rPr>
    </w:lvl>
    <w:lvl w:ilvl="8">
      <w:start w:val="1"/>
      <w:numFmt w:val="bullet"/>
      <w:lvlText w:val="▪"/>
      <w:lvlJc w:val="left"/>
      <w:pPr>
        <w:tabs>
          <w:tab w:val="num" w:pos="4658"/>
        </w:tabs>
        <w:ind w:left="4658" w:hanging="360"/>
      </w:pPr>
      <w:rPr>
        <w:rFonts w:ascii="OpenSymbol" w:hAnsi="OpenSymbol" w:cs="OpenSymbol" w:hint="default"/>
      </w:rPr>
    </w:lvl>
  </w:abstractNum>
  <w:abstractNum w:abstractNumId="5" w15:restartNumberingAfterBreak="0">
    <w:nsid w:val="34A72A4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D864F59"/>
    <w:multiLevelType w:val="hybridMultilevel"/>
    <w:tmpl w:val="A21A6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712936"/>
    <w:multiLevelType w:val="multilevel"/>
    <w:tmpl w:val="AC0A7D4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0B59C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017C62"/>
    <w:multiLevelType w:val="multilevel"/>
    <w:tmpl w:val="E3D61B8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3516FB"/>
    <w:multiLevelType w:val="multilevel"/>
    <w:tmpl w:val="94DE9D22"/>
    <w:lvl w:ilvl="0">
      <w:start w:val="1"/>
      <w:numFmt w:val="decimal"/>
      <w:lvlText w:val="%1."/>
      <w:lvlJc w:val="left"/>
      <w:pPr>
        <w:ind w:left="360" w:hanging="360"/>
      </w:pPr>
      <w:rPr>
        <w:rFonts w:ascii="Liberation Serif" w:eastAsia="FandolFang R" w:hAnsi="Liberation Serif" w:cs="Droid Sans Devanagar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E6BAA2"/>
    <w:multiLevelType w:val="multilevel"/>
    <w:tmpl w:val="4F82B7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6ED810CE"/>
    <w:multiLevelType w:val="multilevel"/>
    <w:tmpl w:val="A6C42E5C"/>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75F39BB"/>
    <w:multiLevelType w:val="multilevel"/>
    <w:tmpl w:val="D7428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084CE0"/>
    <w:multiLevelType w:val="multilevel"/>
    <w:tmpl w:val="37E0001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ED87465"/>
    <w:multiLevelType w:val="multilevel"/>
    <w:tmpl w:val="AC0A7D4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2368246">
    <w:abstractNumId w:val="0"/>
  </w:num>
  <w:num w:numId="2" w16cid:durableId="129052854">
    <w:abstractNumId w:val="4"/>
  </w:num>
  <w:num w:numId="3" w16cid:durableId="193661179">
    <w:abstractNumId w:val="3"/>
  </w:num>
  <w:num w:numId="4" w16cid:durableId="1851719986">
    <w:abstractNumId w:val="11"/>
  </w:num>
  <w:num w:numId="5" w16cid:durableId="1218123136">
    <w:abstractNumId w:val="10"/>
  </w:num>
  <w:num w:numId="6" w16cid:durableId="865873859">
    <w:abstractNumId w:val="9"/>
  </w:num>
  <w:num w:numId="7" w16cid:durableId="273220929">
    <w:abstractNumId w:val="5"/>
  </w:num>
  <w:num w:numId="8" w16cid:durableId="1491796832">
    <w:abstractNumId w:val="8"/>
  </w:num>
  <w:num w:numId="9" w16cid:durableId="727606924">
    <w:abstractNumId w:val="13"/>
  </w:num>
  <w:num w:numId="10" w16cid:durableId="2003698636">
    <w:abstractNumId w:val="6"/>
  </w:num>
  <w:num w:numId="11" w16cid:durableId="1937900789">
    <w:abstractNumId w:val="12"/>
  </w:num>
  <w:num w:numId="12" w16cid:durableId="1133593429">
    <w:abstractNumId w:val="2"/>
  </w:num>
  <w:num w:numId="13" w16cid:durableId="1808739760">
    <w:abstractNumId w:val="1"/>
  </w:num>
  <w:num w:numId="14" w16cid:durableId="712081134">
    <w:abstractNumId w:val="7"/>
  </w:num>
  <w:num w:numId="15" w16cid:durableId="605576918">
    <w:abstractNumId w:val="15"/>
  </w:num>
  <w:num w:numId="16" w16cid:durableId="21286940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A94E16"/>
    <w:rsid w:val="00005D20"/>
    <w:rsid w:val="00017718"/>
    <w:rsid w:val="00024F92"/>
    <w:rsid w:val="000514FE"/>
    <w:rsid w:val="00053A19"/>
    <w:rsid w:val="00055F97"/>
    <w:rsid w:val="00067618"/>
    <w:rsid w:val="00067F51"/>
    <w:rsid w:val="00072BEF"/>
    <w:rsid w:val="000A38B0"/>
    <w:rsid w:val="000A7133"/>
    <w:rsid w:val="000B4A77"/>
    <w:rsid w:val="000B719B"/>
    <w:rsid w:val="000C5EA9"/>
    <w:rsid w:val="00106ACC"/>
    <w:rsid w:val="001107D2"/>
    <w:rsid w:val="00111B59"/>
    <w:rsid w:val="00123D08"/>
    <w:rsid w:val="0012775D"/>
    <w:rsid w:val="00130458"/>
    <w:rsid w:val="00134704"/>
    <w:rsid w:val="00153308"/>
    <w:rsid w:val="00154239"/>
    <w:rsid w:val="00155744"/>
    <w:rsid w:val="00155B3B"/>
    <w:rsid w:val="00181529"/>
    <w:rsid w:val="00187389"/>
    <w:rsid w:val="00191C94"/>
    <w:rsid w:val="001C3582"/>
    <w:rsid w:val="001D5847"/>
    <w:rsid w:val="001D6149"/>
    <w:rsid w:val="001E1691"/>
    <w:rsid w:val="001E1743"/>
    <w:rsid w:val="001E3088"/>
    <w:rsid w:val="001F53EE"/>
    <w:rsid w:val="00212E8F"/>
    <w:rsid w:val="00215B10"/>
    <w:rsid w:val="002519C7"/>
    <w:rsid w:val="00254278"/>
    <w:rsid w:val="00257D83"/>
    <w:rsid w:val="00263842"/>
    <w:rsid w:val="00276F6F"/>
    <w:rsid w:val="00283D3A"/>
    <w:rsid w:val="00287C30"/>
    <w:rsid w:val="0029115F"/>
    <w:rsid w:val="002B00C8"/>
    <w:rsid w:val="002B4F89"/>
    <w:rsid w:val="002B7BEB"/>
    <w:rsid w:val="002C67AF"/>
    <w:rsid w:val="002F2B8C"/>
    <w:rsid w:val="00302604"/>
    <w:rsid w:val="00307635"/>
    <w:rsid w:val="00310078"/>
    <w:rsid w:val="003125CF"/>
    <w:rsid w:val="003154D9"/>
    <w:rsid w:val="00342A11"/>
    <w:rsid w:val="00365857"/>
    <w:rsid w:val="00373625"/>
    <w:rsid w:val="003772A0"/>
    <w:rsid w:val="003837D6"/>
    <w:rsid w:val="00385AF1"/>
    <w:rsid w:val="00385B86"/>
    <w:rsid w:val="003A0D7C"/>
    <w:rsid w:val="003A312A"/>
    <w:rsid w:val="003B0725"/>
    <w:rsid w:val="003B5199"/>
    <w:rsid w:val="003D5AF0"/>
    <w:rsid w:val="003D70C0"/>
    <w:rsid w:val="003E2ED0"/>
    <w:rsid w:val="003E484B"/>
    <w:rsid w:val="003E6761"/>
    <w:rsid w:val="003F1E96"/>
    <w:rsid w:val="003F2DC8"/>
    <w:rsid w:val="00421BD4"/>
    <w:rsid w:val="00424CB8"/>
    <w:rsid w:val="0043552D"/>
    <w:rsid w:val="00450716"/>
    <w:rsid w:val="00453F1A"/>
    <w:rsid w:val="00462D70"/>
    <w:rsid w:val="00480863"/>
    <w:rsid w:val="00480AF8"/>
    <w:rsid w:val="0048354E"/>
    <w:rsid w:val="00486F05"/>
    <w:rsid w:val="004967A7"/>
    <w:rsid w:val="00497BD7"/>
    <w:rsid w:val="004A1FB4"/>
    <w:rsid w:val="004B55AE"/>
    <w:rsid w:val="004C38C0"/>
    <w:rsid w:val="004C6078"/>
    <w:rsid w:val="004D47CE"/>
    <w:rsid w:val="004E1BAE"/>
    <w:rsid w:val="004F2F75"/>
    <w:rsid w:val="00501CCF"/>
    <w:rsid w:val="00504883"/>
    <w:rsid w:val="00515DA4"/>
    <w:rsid w:val="00516B4E"/>
    <w:rsid w:val="00520CB8"/>
    <w:rsid w:val="00520F0F"/>
    <w:rsid w:val="00543D04"/>
    <w:rsid w:val="00564081"/>
    <w:rsid w:val="00565C61"/>
    <w:rsid w:val="00582C55"/>
    <w:rsid w:val="00584838"/>
    <w:rsid w:val="00592B4D"/>
    <w:rsid w:val="005D04B8"/>
    <w:rsid w:val="005D3F99"/>
    <w:rsid w:val="005E025A"/>
    <w:rsid w:val="005E2570"/>
    <w:rsid w:val="005F43B2"/>
    <w:rsid w:val="0060021B"/>
    <w:rsid w:val="006038AC"/>
    <w:rsid w:val="006057E6"/>
    <w:rsid w:val="00605C75"/>
    <w:rsid w:val="00632151"/>
    <w:rsid w:val="00637BDB"/>
    <w:rsid w:val="00642D14"/>
    <w:rsid w:val="00676B48"/>
    <w:rsid w:val="0068146B"/>
    <w:rsid w:val="00682EA8"/>
    <w:rsid w:val="00683017"/>
    <w:rsid w:val="0068471F"/>
    <w:rsid w:val="006B2AA3"/>
    <w:rsid w:val="006C307C"/>
    <w:rsid w:val="006C5B5E"/>
    <w:rsid w:val="006F3F88"/>
    <w:rsid w:val="007242E7"/>
    <w:rsid w:val="00725043"/>
    <w:rsid w:val="0076169E"/>
    <w:rsid w:val="00765DE2"/>
    <w:rsid w:val="007721DB"/>
    <w:rsid w:val="0077346B"/>
    <w:rsid w:val="00776571"/>
    <w:rsid w:val="00786804"/>
    <w:rsid w:val="007A051E"/>
    <w:rsid w:val="007B710E"/>
    <w:rsid w:val="007C3153"/>
    <w:rsid w:val="007C3D3C"/>
    <w:rsid w:val="007D06D7"/>
    <w:rsid w:val="00816309"/>
    <w:rsid w:val="00817DFF"/>
    <w:rsid w:val="00824E71"/>
    <w:rsid w:val="00843938"/>
    <w:rsid w:val="008678F4"/>
    <w:rsid w:val="00867C42"/>
    <w:rsid w:val="00875A01"/>
    <w:rsid w:val="00893D20"/>
    <w:rsid w:val="008A0997"/>
    <w:rsid w:val="008B5AF1"/>
    <w:rsid w:val="008D0279"/>
    <w:rsid w:val="008F4E34"/>
    <w:rsid w:val="00901C68"/>
    <w:rsid w:val="00902859"/>
    <w:rsid w:val="009047B3"/>
    <w:rsid w:val="00910CC8"/>
    <w:rsid w:val="00912F96"/>
    <w:rsid w:val="009233A7"/>
    <w:rsid w:val="009244E2"/>
    <w:rsid w:val="0092674C"/>
    <w:rsid w:val="00931F8C"/>
    <w:rsid w:val="00944F2D"/>
    <w:rsid w:val="00952036"/>
    <w:rsid w:val="00981E25"/>
    <w:rsid w:val="00995F84"/>
    <w:rsid w:val="009A40EF"/>
    <w:rsid w:val="009B431F"/>
    <w:rsid w:val="009C26E3"/>
    <w:rsid w:val="009E09D4"/>
    <w:rsid w:val="009E5410"/>
    <w:rsid w:val="00A06AEB"/>
    <w:rsid w:val="00A07964"/>
    <w:rsid w:val="00A24A74"/>
    <w:rsid w:val="00A447CB"/>
    <w:rsid w:val="00A4496A"/>
    <w:rsid w:val="00A73D6C"/>
    <w:rsid w:val="00A74DF2"/>
    <w:rsid w:val="00A77251"/>
    <w:rsid w:val="00A84CF6"/>
    <w:rsid w:val="00A915B3"/>
    <w:rsid w:val="00AA7CDB"/>
    <w:rsid w:val="00AC0325"/>
    <w:rsid w:val="00AC34BE"/>
    <w:rsid w:val="00AE43D1"/>
    <w:rsid w:val="00AE7055"/>
    <w:rsid w:val="00B051CB"/>
    <w:rsid w:val="00B141FC"/>
    <w:rsid w:val="00B41247"/>
    <w:rsid w:val="00B41E28"/>
    <w:rsid w:val="00B47F2D"/>
    <w:rsid w:val="00B551AA"/>
    <w:rsid w:val="00B56F76"/>
    <w:rsid w:val="00B66139"/>
    <w:rsid w:val="00B72CE0"/>
    <w:rsid w:val="00B76571"/>
    <w:rsid w:val="00B87D16"/>
    <w:rsid w:val="00B9145D"/>
    <w:rsid w:val="00B92115"/>
    <w:rsid w:val="00BA25B8"/>
    <w:rsid w:val="00BA2B3A"/>
    <w:rsid w:val="00BA5D49"/>
    <w:rsid w:val="00BB21F0"/>
    <w:rsid w:val="00BE0AAB"/>
    <w:rsid w:val="00BF162E"/>
    <w:rsid w:val="00C0646E"/>
    <w:rsid w:val="00C1426D"/>
    <w:rsid w:val="00C153F8"/>
    <w:rsid w:val="00C15ED2"/>
    <w:rsid w:val="00C16E8E"/>
    <w:rsid w:val="00C21299"/>
    <w:rsid w:val="00C317DF"/>
    <w:rsid w:val="00C43C47"/>
    <w:rsid w:val="00C62A97"/>
    <w:rsid w:val="00C70C5F"/>
    <w:rsid w:val="00C85EE4"/>
    <w:rsid w:val="00C915BD"/>
    <w:rsid w:val="00C92382"/>
    <w:rsid w:val="00C92CFF"/>
    <w:rsid w:val="00C9600F"/>
    <w:rsid w:val="00CB4A9B"/>
    <w:rsid w:val="00CB513F"/>
    <w:rsid w:val="00CC61E1"/>
    <w:rsid w:val="00CD09F2"/>
    <w:rsid w:val="00CD523C"/>
    <w:rsid w:val="00CE31C8"/>
    <w:rsid w:val="00CF0ED3"/>
    <w:rsid w:val="00D055FF"/>
    <w:rsid w:val="00D31713"/>
    <w:rsid w:val="00D3444D"/>
    <w:rsid w:val="00D36B5A"/>
    <w:rsid w:val="00D418E8"/>
    <w:rsid w:val="00D43914"/>
    <w:rsid w:val="00D51F6E"/>
    <w:rsid w:val="00D57C39"/>
    <w:rsid w:val="00D63121"/>
    <w:rsid w:val="00D81549"/>
    <w:rsid w:val="00D90F61"/>
    <w:rsid w:val="00DC1154"/>
    <w:rsid w:val="00DC7BFE"/>
    <w:rsid w:val="00DD727E"/>
    <w:rsid w:val="00E0211E"/>
    <w:rsid w:val="00E029E2"/>
    <w:rsid w:val="00E065FD"/>
    <w:rsid w:val="00E1375F"/>
    <w:rsid w:val="00E16D3C"/>
    <w:rsid w:val="00E24C43"/>
    <w:rsid w:val="00E375EE"/>
    <w:rsid w:val="00E4052C"/>
    <w:rsid w:val="00E42384"/>
    <w:rsid w:val="00E47600"/>
    <w:rsid w:val="00E65C77"/>
    <w:rsid w:val="00E816AC"/>
    <w:rsid w:val="00EA6AC1"/>
    <w:rsid w:val="00EB1FDC"/>
    <w:rsid w:val="00EB422C"/>
    <w:rsid w:val="00EC272C"/>
    <w:rsid w:val="00EC3777"/>
    <w:rsid w:val="00EC38B8"/>
    <w:rsid w:val="00EE7381"/>
    <w:rsid w:val="00EF0850"/>
    <w:rsid w:val="00EF0B94"/>
    <w:rsid w:val="00EF13C7"/>
    <w:rsid w:val="00F03943"/>
    <w:rsid w:val="00F15C82"/>
    <w:rsid w:val="00F24CF2"/>
    <w:rsid w:val="00F27B36"/>
    <w:rsid w:val="00F40964"/>
    <w:rsid w:val="00F4384D"/>
    <w:rsid w:val="00F47FCE"/>
    <w:rsid w:val="00F558D4"/>
    <w:rsid w:val="00F81D8E"/>
    <w:rsid w:val="00FB3D3F"/>
    <w:rsid w:val="00FC3C75"/>
    <w:rsid w:val="00FD57BA"/>
    <w:rsid w:val="00FF41E2"/>
    <w:rsid w:val="16A94E1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AEC3D78"/>
  <w15:docId w15:val="{922C5089-680A-4F9E-83A0-43261F30E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FandolFang R" w:hAnsi="Liberation Serif" w:cs="Droid Sans Devanagari"/>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uiPriority w:val="99"/>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40" w:hanging="340"/>
    </w:pPr>
    <w:rPr>
      <w:sz w:val="20"/>
      <w:szCs w:val="20"/>
    </w:rPr>
  </w:style>
  <w:style w:type="paragraph" w:styleId="CommentText">
    <w:name w:val="annotation text"/>
    <w:basedOn w:val="Normal"/>
    <w:link w:val="CommentTextChar"/>
    <w:uiPriority w:val="99"/>
    <w:semiHidden/>
    <w:unhideWhenUsed/>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04883"/>
    <w:rPr>
      <w:b/>
      <w:bCs/>
    </w:rPr>
  </w:style>
  <w:style w:type="character" w:customStyle="1" w:styleId="CommentSubjectChar">
    <w:name w:val="Comment Subject Char"/>
    <w:basedOn w:val="CommentTextChar"/>
    <w:link w:val="CommentSubject"/>
    <w:uiPriority w:val="99"/>
    <w:semiHidden/>
    <w:rsid w:val="00504883"/>
    <w:rPr>
      <w:rFonts w:cs="Mangal"/>
      <w:b/>
      <w:bCs/>
      <w:sz w:val="20"/>
      <w:szCs w:val="18"/>
    </w:rPr>
  </w:style>
  <w:style w:type="paragraph" w:styleId="ListParagraph">
    <w:name w:val="List Paragraph"/>
    <w:basedOn w:val="Normal"/>
    <w:uiPriority w:val="34"/>
    <w:qFormat/>
    <w:rsid w:val="00B47F2D"/>
    <w:pPr>
      <w:ind w:left="720"/>
      <w:contextualSpacing/>
    </w:pPr>
    <w:rPr>
      <w:rFonts w:cs="Mangal"/>
      <w:szCs w:val="21"/>
    </w:rPr>
  </w:style>
  <w:style w:type="character" w:styleId="Hyperlink">
    <w:name w:val="Hyperlink"/>
    <w:basedOn w:val="DefaultParagraphFont"/>
    <w:uiPriority w:val="99"/>
    <w:unhideWhenUsed/>
    <w:rsid w:val="00F81D8E"/>
    <w:rPr>
      <w:color w:val="0000EE" w:themeColor="hyperlink"/>
      <w:u w:val="single"/>
    </w:rPr>
  </w:style>
  <w:style w:type="character" w:styleId="UnresolvedMention">
    <w:name w:val="Unresolved Mention"/>
    <w:basedOn w:val="DefaultParagraphFont"/>
    <w:uiPriority w:val="99"/>
    <w:semiHidden/>
    <w:unhideWhenUsed/>
    <w:rsid w:val="00F81D8E"/>
    <w:rPr>
      <w:color w:val="605E5C"/>
      <w:shd w:val="clear" w:color="auto" w:fill="E1DFDD"/>
    </w:rPr>
  </w:style>
  <w:style w:type="paragraph" w:styleId="NormalWeb">
    <w:name w:val="Normal (Web)"/>
    <w:basedOn w:val="Normal"/>
    <w:uiPriority w:val="99"/>
    <w:semiHidden/>
    <w:unhideWhenUsed/>
    <w:rsid w:val="0048354E"/>
    <w:rPr>
      <w:rFonts w:ascii="Times New Roman" w:hAnsi="Times New Roman" w:cs="Mangal"/>
      <w:szCs w:val="21"/>
    </w:rPr>
  </w:style>
  <w:style w:type="paragraph" w:styleId="Header">
    <w:name w:val="header"/>
    <w:basedOn w:val="Normal"/>
    <w:link w:val="HeaderChar"/>
    <w:uiPriority w:val="99"/>
    <w:unhideWhenUsed/>
    <w:rsid w:val="004F2F75"/>
    <w:pPr>
      <w:tabs>
        <w:tab w:val="center" w:pos="4680"/>
        <w:tab w:val="right" w:pos="9360"/>
      </w:tabs>
    </w:pPr>
    <w:rPr>
      <w:rFonts w:cs="Mangal"/>
      <w:szCs w:val="21"/>
    </w:rPr>
  </w:style>
  <w:style w:type="character" w:customStyle="1" w:styleId="HeaderChar">
    <w:name w:val="Header Char"/>
    <w:basedOn w:val="DefaultParagraphFont"/>
    <w:link w:val="Header"/>
    <w:uiPriority w:val="99"/>
    <w:rsid w:val="004F2F75"/>
    <w:rPr>
      <w:rFonts w:cs="Mangal"/>
      <w:szCs w:val="21"/>
    </w:rPr>
  </w:style>
  <w:style w:type="character" w:styleId="PageNumber">
    <w:name w:val="page number"/>
    <w:basedOn w:val="DefaultParagraphFont"/>
    <w:uiPriority w:val="99"/>
    <w:semiHidden/>
    <w:unhideWhenUsed/>
    <w:rsid w:val="004F2F75"/>
  </w:style>
  <w:style w:type="paragraph" w:styleId="Footer">
    <w:name w:val="footer"/>
    <w:basedOn w:val="Normal"/>
    <w:link w:val="FooterChar"/>
    <w:uiPriority w:val="99"/>
    <w:unhideWhenUsed/>
    <w:rsid w:val="004F2F75"/>
    <w:pPr>
      <w:tabs>
        <w:tab w:val="center" w:pos="4680"/>
        <w:tab w:val="right" w:pos="9360"/>
      </w:tabs>
    </w:pPr>
    <w:rPr>
      <w:rFonts w:cs="Mangal"/>
      <w:szCs w:val="21"/>
    </w:rPr>
  </w:style>
  <w:style w:type="character" w:customStyle="1" w:styleId="FooterChar">
    <w:name w:val="Footer Char"/>
    <w:basedOn w:val="DefaultParagraphFont"/>
    <w:link w:val="Footer"/>
    <w:uiPriority w:val="99"/>
    <w:rsid w:val="004F2F75"/>
    <w:rPr>
      <w:rFonts w:cs="Mangal"/>
      <w:szCs w:val="21"/>
    </w:rPr>
  </w:style>
  <w:style w:type="numbering" w:customStyle="1" w:styleId="CurrentList1">
    <w:name w:val="Current List1"/>
    <w:uiPriority w:val="99"/>
    <w:rsid w:val="003F1E96"/>
    <w:pPr>
      <w:numPr>
        <w:numId w:val="13"/>
      </w:numPr>
    </w:pPr>
  </w:style>
  <w:style w:type="paragraph" w:styleId="NoSpacing">
    <w:name w:val="No Spacing"/>
    <w:uiPriority w:val="1"/>
    <w:qFormat/>
    <w:rsid w:val="00843938"/>
    <w:rPr>
      <w:rFonts w:cs="Mangal"/>
      <w:szCs w:val="21"/>
    </w:rPr>
  </w:style>
  <w:style w:type="character" w:styleId="PlaceholderText">
    <w:name w:val="Placeholder Text"/>
    <w:basedOn w:val="DefaultParagraphFont"/>
    <w:uiPriority w:val="99"/>
    <w:semiHidden/>
    <w:rsid w:val="003D5AF0"/>
    <w:rPr>
      <w:color w:val="666666"/>
    </w:rPr>
  </w:style>
  <w:style w:type="character" w:styleId="Emphasis">
    <w:name w:val="Emphasis"/>
    <w:uiPriority w:val="20"/>
    <w:qFormat/>
    <w:rsid w:val="00A079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84829">
      <w:bodyDiv w:val="1"/>
      <w:marLeft w:val="0"/>
      <w:marRight w:val="0"/>
      <w:marTop w:val="0"/>
      <w:marBottom w:val="0"/>
      <w:divBdr>
        <w:top w:val="none" w:sz="0" w:space="0" w:color="auto"/>
        <w:left w:val="none" w:sz="0" w:space="0" w:color="auto"/>
        <w:bottom w:val="none" w:sz="0" w:space="0" w:color="auto"/>
        <w:right w:val="none" w:sz="0" w:space="0" w:color="auto"/>
      </w:divBdr>
      <w:divsChild>
        <w:div w:id="882013204">
          <w:marLeft w:val="0"/>
          <w:marRight w:val="0"/>
          <w:marTop w:val="0"/>
          <w:marBottom w:val="0"/>
          <w:divBdr>
            <w:top w:val="none" w:sz="0" w:space="0" w:color="auto"/>
            <w:left w:val="none" w:sz="0" w:space="0" w:color="auto"/>
            <w:bottom w:val="none" w:sz="0" w:space="0" w:color="auto"/>
            <w:right w:val="none" w:sz="0" w:space="0" w:color="auto"/>
          </w:divBdr>
        </w:div>
        <w:div w:id="1279337067">
          <w:marLeft w:val="0"/>
          <w:marRight w:val="0"/>
          <w:marTop w:val="0"/>
          <w:marBottom w:val="0"/>
          <w:divBdr>
            <w:top w:val="none" w:sz="0" w:space="0" w:color="auto"/>
            <w:left w:val="none" w:sz="0" w:space="0" w:color="auto"/>
            <w:bottom w:val="none" w:sz="0" w:space="0" w:color="auto"/>
            <w:right w:val="none" w:sz="0" w:space="0" w:color="auto"/>
          </w:divBdr>
        </w:div>
        <w:div w:id="1760759662">
          <w:marLeft w:val="0"/>
          <w:marRight w:val="0"/>
          <w:marTop w:val="0"/>
          <w:marBottom w:val="0"/>
          <w:divBdr>
            <w:top w:val="none" w:sz="0" w:space="0" w:color="auto"/>
            <w:left w:val="none" w:sz="0" w:space="0" w:color="auto"/>
            <w:bottom w:val="none" w:sz="0" w:space="0" w:color="auto"/>
            <w:right w:val="none" w:sz="0" w:space="0" w:color="auto"/>
          </w:divBdr>
        </w:div>
      </w:divsChild>
    </w:div>
    <w:div w:id="115636787">
      <w:bodyDiv w:val="1"/>
      <w:marLeft w:val="0"/>
      <w:marRight w:val="0"/>
      <w:marTop w:val="0"/>
      <w:marBottom w:val="0"/>
      <w:divBdr>
        <w:top w:val="none" w:sz="0" w:space="0" w:color="auto"/>
        <w:left w:val="none" w:sz="0" w:space="0" w:color="auto"/>
        <w:bottom w:val="none" w:sz="0" w:space="0" w:color="auto"/>
        <w:right w:val="none" w:sz="0" w:space="0" w:color="auto"/>
      </w:divBdr>
    </w:div>
    <w:div w:id="203103883">
      <w:bodyDiv w:val="1"/>
      <w:marLeft w:val="0"/>
      <w:marRight w:val="0"/>
      <w:marTop w:val="0"/>
      <w:marBottom w:val="0"/>
      <w:divBdr>
        <w:top w:val="none" w:sz="0" w:space="0" w:color="auto"/>
        <w:left w:val="none" w:sz="0" w:space="0" w:color="auto"/>
        <w:bottom w:val="none" w:sz="0" w:space="0" w:color="auto"/>
        <w:right w:val="none" w:sz="0" w:space="0" w:color="auto"/>
      </w:divBdr>
      <w:divsChild>
        <w:div w:id="2063015291">
          <w:marLeft w:val="0"/>
          <w:marRight w:val="0"/>
          <w:marTop w:val="0"/>
          <w:marBottom w:val="0"/>
          <w:divBdr>
            <w:top w:val="none" w:sz="0" w:space="0" w:color="auto"/>
            <w:left w:val="none" w:sz="0" w:space="0" w:color="auto"/>
            <w:bottom w:val="none" w:sz="0" w:space="0" w:color="auto"/>
            <w:right w:val="none" w:sz="0" w:space="0" w:color="auto"/>
          </w:divBdr>
          <w:divsChild>
            <w:div w:id="1430740738">
              <w:marLeft w:val="0"/>
              <w:marRight w:val="0"/>
              <w:marTop w:val="0"/>
              <w:marBottom w:val="0"/>
              <w:divBdr>
                <w:top w:val="none" w:sz="0" w:space="0" w:color="auto"/>
                <w:left w:val="none" w:sz="0" w:space="0" w:color="auto"/>
                <w:bottom w:val="none" w:sz="0" w:space="0" w:color="auto"/>
                <w:right w:val="none" w:sz="0" w:space="0" w:color="auto"/>
              </w:divBdr>
              <w:divsChild>
                <w:div w:id="211624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6961">
      <w:bodyDiv w:val="1"/>
      <w:marLeft w:val="0"/>
      <w:marRight w:val="0"/>
      <w:marTop w:val="0"/>
      <w:marBottom w:val="0"/>
      <w:divBdr>
        <w:top w:val="none" w:sz="0" w:space="0" w:color="auto"/>
        <w:left w:val="none" w:sz="0" w:space="0" w:color="auto"/>
        <w:bottom w:val="none" w:sz="0" w:space="0" w:color="auto"/>
        <w:right w:val="none" w:sz="0" w:space="0" w:color="auto"/>
      </w:divBdr>
      <w:divsChild>
        <w:div w:id="1773894552">
          <w:marLeft w:val="0"/>
          <w:marRight w:val="0"/>
          <w:marTop w:val="0"/>
          <w:marBottom w:val="0"/>
          <w:divBdr>
            <w:top w:val="none" w:sz="0" w:space="0" w:color="auto"/>
            <w:left w:val="none" w:sz="0" w:space="0" w:color="auto"/>
            <w:bottom w:val="none" w:sz="0" w:space="0" w:color="auto"/>
            <w:right w:val="none" w:sz="0" w:space="0" w:color="auto"/>
          </w:divBdr>
          <w:divsChild>
            <w:div w:id="1331836481">
              <w:marLeft w:val="0"/>
              <w:marRight w:val="0"/>
              <w:marTop w:val="0"/>
              <w:marBottom w:val="0"/>
              <w:divBdr>
                <w:top w:val="none" w:sz="0" w:space="0" w:color="auto"/>
                <w:left w:val="none" w:sz="0" w:space="0" w:color="auto"/>
                <w:bottom w:val="none" w:sz="0" w:space="0" w:color="auto"/>
                <w:right w:val="none" w:sz="0" w:space="0" w:color="auto"/>
              </w:divBdr>
              <w:divsChild>
                <w:div w:id="1799297108">
                  <w:marLeft w:val="0"/>
                  <w:marRight w:val="0"/>
                  <w:marTop w:val="0"/>
                  <w:marBottom w:val="0"/>
                  <w:divBdr>
                    <w:top w:val="none" w:sz="0" w:space="0" w:color="auto"/>
                    <w:left w:val="none" w:sz="0" w:space="0" w:color="auto"/>
                    <w:bottom w:val="none" w:sz="0" w:space="0" w:color="auto"/>
                    <w:right w:val="none" w:sz="0" w:space="0" w:color="auto"/>
                  </w:divBdr>
                  <w:divsChild>
                    <w:div w:id="9923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202131">
      <w:bodyDiv w:val="1"/>
      <w:marLeft w:val="0"/>
      <w:marRight w:val="0"/>
      <w:marTop w:val="0"/>
      <w:marBottom w:val="0"/>
      <w:divBdr>
        <w:top w:val="none" w:sz="0" w:space="0" w:color="auto"/>
        <w:left w:val="none" w:sz="0" w:space="0" w:color="auto"/>
        <w:bottom w:val="none" w:sz="0" w:space="0" w:color="auto"/>
        <w:right w:val="none" w:sz="0" w:space="0" w:color="auto"/>
      </w:divBdr>
      <w:divsChild>
        <w:div w:id="2047558624">
          <w:marLeft w:val="0"/>
          <w:marRight w:val="0"/>
          <w:marTop w:val="0"/>
          <w:marBottom w:val="0"/>
          <w:divBdr>
            <w:top w:val="none" w:sz="0" w:space="0" w:color="auto"/>
            <w:left w:val="none" w:sz="0" w:space="0" w:color="auto"/>
            <w:bottom w:val="none" w:sz="0" w:space="0" w:color="auto"/>
            <w:right w:val="none" w:sz="0" w:space="0" w:color="auto"/>
          </w:divBdr>
          <w:divsChild>
            <w:div w:id="1733238132">
              <w:marLeft w:val="0"/>
              <w:marRight w:val="0"/>
              <w:marTop w:val="0"/>
              <w:marBottom w:val="0"/>
              <w:divBdr>
                <w:top w:val="none" w:sz="0" w:space="0" w:color="auto"/>
                <w:left w:val="none" w:sz="0" w:space="0" w:color="auto"/>
                <w:bottom w:val="none" w:sz="0" w:space="0" w:color="auto"/>
                <w:right w:val="none" w:sz="0" w:space="0" w:color="auto"/>
              </w:divBdr>
              <w:divsChild>
                <w:div w:id="805204742">
                  <w:marLeft w:val="0"/>
                  <w:marRight w:val="0"/>
                  <w:marTop w:val="0"/>
                  <w:marBottom w:val="0"/>
                  <w:divBdr>
                    <w:top w:val="none" w:sz="0" w:space="0" w:color="auto"/>
                    <w:left w:val="none" w:sz="0" w:space="0" w:color="auto"/>
                    <w:bottom w:val="none" w:sz="0" w:space="0" w:color="auto"/>
                    <w:right w:val="none" w:sz="0" w:space="0" w:color="auto"/>
                  </w:divBdr>
                  <w:divsChild>
                    <w:div w:id="7853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578400">
      <w:bodyDiv w:val="1"/>
      <w:marLeft w:val="0"/>
      <w:marRight w:val="0"/>
      <w:marTop w:val="0"/>
      <w:marBottom w:val="0"/>
      <w:divBdr>
        <w:top w:val="none" w:sz="0" w:space="0" w:color="auto"/>
        <w:left w:val="none" w:sz="0" w:space="0" w:color="auto"/>
        <w:bottom w:val="none" w:sz="0" w:space="0" w:color="auto"/>
        <w:right w:val="none" w:sz="0" w:space="0" w:color="auto"/>
      </w:divBdr>
      <w:divsChild>
        <w:div w:id="395670080">
          <w:marLeft w:val="0"/>
          <w:marRight w:val="0"/>
          <w:marTop w:val="0"/>
          <w:marBottom w:val="0"/>
          <w:divBdr>
            <w:top w:val="none" w:sz="0" w:space="0" w:color="auto"/>
            <w:left w:val="none" w:sz="0" w:space="0" w:color="auto"/>
            <w:bottom w:val="none" w:sz="0" w:space="0" w:color="auto"/>
            <w:right w:val="none" w:sz="0" w:space="0" w:color="auto"/>
          </w:divBdr>
          <w:divsChild>
            <w:div w:id="1259749701">
              <w:marLeft w:val="0"/>
              <w:marRight w:val="0"/>
              <w:marTop w:val="0"/>
              <w:marBottom w:val="0"/>
              <w:divBdr>
                <w:top w:val="none" w:sz="0" w:space="0" w:color="auto"/>
                <w:left w:val="none" w:sz="0" w:space="0" w:color="auto"/>
                <w:bottom w:val="none" w:sz="0" w:space="0" w:color="auto"/>
                <w:right w:val="none" w:sz="0" w:space="0" w:color="auto"/>
              </w:divBdr>
              <w:divsChild>
                <w:div w:id="62535886">
                  <w:marLeft w:val="0"/>
                  <w:marRight w:val="0"/>
                  <w:marTop w:val="0"/>
                  <w:marBottom w:val="0"/>
                  <w:divBdr>
                    <w:top w:val="none" w:sz="0" w:space="0" w:color="auto"/>
                    <w:left w:val="none" w:sz="0" w:space="0" w:color="auto"/>
                    <w:bottom w:val="none" w:sz="0" w:space="0" w:color="auto"/>
                    <w:right w:val="none" w:sz="0" w:space="0" w:color="auto"/>
                  </w:divBdr>
                  <w:divsChild>
                    <w:div w:id="17203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743743">
      <w:bodyDiv w:val="1"/>
      <w:marLeft w:val="0"/>
      <w:marRight w:val="0"/>
      <w:marTop w:val="0"/>
      <w:marBottom w:val="0"/>
      <w:divBdr>
        <w:top w:val="none" w:sz="0" w:space="0" w:color="auto"/>
        <w:left w:val="none" w:sz="0" w:space="0" w:color="auto"/>
        <w:bottom w:val="none" w:sz="0" w:space="0" w:color="auto"/>
        <w:right w:val="none" w:sz="0" w:space="0" w:color="auto"/>
      </w:divBdr>
      <w:divsChild>
        <w:div w:id="1150828556">
          <w:marLeft w:val="0"/>
          <w:marRight w:val="0"/>
          <w:marTop w:val="0"/>
          <w:marBottom w:val="0"/>
          <w:divBdr>
            <w:top w:val="none" w:sz="0" w:space="0" w:color="auto"/>
            <w:left w:val="none" w:sz="0" w:space="0" w:color="auto"/>
            <w:bottom w:val="none" w:sz="0" w:space="0" w:color="auto"/>
            <w:right w:val="none" w:sz="0" w:space="0" w:color="auto"/>
          </w:divBdr>
          <w:divsChild>
            <w:div w:id="2118132253">
              <w:marLeft w:val="0"/>
              <w:marRight w:val="0"/>
              <w:marTop w:val="0"/>
              <w:marBottom w:val="0"/>
              <w:divBdr>
                <w:top w:val="none" w:sz="0" w:space="0" w:color="auto"/>
                <w:left w:val="none" w:sz="0" w:space="0" w:color="auto"/>
                <w:bottom w:val="none" w:sz="0" w:space="0" w:color="auto"/>
                <w:right w:val="none" w:sz="0" w:space="0" w:color="auto"/>
              </w:divBdr>
              <w:divsChild>
                <w:div w:id="1699548357">
                  <w:marLeft w:val="0"/>
                  <w:marRight w:val="0"/>
                  <w:marTop w:val="0"/>
                  <w:marBottom w:val="0"/>
                  <w:divBdr>
                    <w:top w:val="none" w:sz="0" w:space="0" w:color="auto"/>
                    <w:left w:val="none" w:sz="0" w:space="0" w:color="auto"/>
                    <w:bottom w:val="none" w:sz="0" w:space="0" w:color="auto"/>
                    <w:right w:val="none" w:sz="0" w:space="0" w:color="auto"/>
                  </w:divBdr>
                  <w:divsChild>
                    <w:div w:id="174051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915315">
      <w:bodyDiv w:val="1"/>
      <w:marLeft w:val="0"/>
      <w:marRight w:val="0"/>
      <w:marTop w:val="0"/>
      <w:marBottom w:val="0"/>
      <w:divBdr>
        <w:top w:val="none" w:sz="0" w:space="0" w:color="auto"/>
        <w:left w:val="none" w:sz="0" w:space="0" w:color="auto"/>
        <w:bottom w:val="none" w:sz="0" w:space="0" w:color="auto"/>
        <w:right w:val="none" w:sz="0" w:space="0" w:color="auto"/>
      </w:divBdr>
    </w:div>
    <w:div w:id="754865953">
      <w:bodyDiv w:val="1"/>
      <w:marLeft w:val="0"/>
      <w:marRight w:val="0"/>
      <w:marTop w:val="0"/>
      <w:marBottom w:val="0"/>
      <w:divBdr>
        <w:top w:val="none" w:sz="0" w:space="0" w:color="auto"/>
        <w:left w:val="none" w:sz="0" w:space="0" w:color="auto"/>
        <w:bottom w:val="none" w:sz="0" w:space="0" w:color="auto"/>
        <w:right w:val="none" w:sz="0" w:space="0" w:color="auto"/>
      </w:divBdr>
      <w:divsChild>
        <w:div w:id="482702692">
          <w:marLeft w:val="0"/>
          <w:marRight w:val="0"/>
          <w:marTop w:val="0"/>
          <w:marBottom w:val="0"/>
          <w:divBdr>
            <w:top w:val="none" w:sz="0" w:space="0" w:color="auto"/>
            <w:left w:val="none" w:sz="0" w:space="0" w:color="auto"/>
            <w:bottom w:val="none" w:sz="0" w:space="0" w:color="auto"/>
            <w:right w:val="none" w:sz="0" w:space="0" w:color="auto"/>
          </w:divBdr>
          <w:divsChild>
            <w:div w:id="498891875">
              <w:marLeft w:val="0"/>
              <w:marRight w:val="0"/>
              <w:marTop w:val="0"/>
              <w:marBottom w:val="0"/>
              <w:divBdr>
                <w:top w:val="none" w:sz="0" w:space="0" w:color="auto"/>
                <w:left w:val="none" w:sz="0" w:space="0" w:color="auto"/>
                <w:bottom w:val="none" w:sz="0" w:space="0" w:color="auto"/>
                <w:right w:val="none" w:sz="0" w:space="0" w:color="auto"/>
              </w:divBdr>
              <w:divsChild>
                <w:div w:id="360739992">
                  <w:marLeft w:val="0"/>
                  <w:marRight w:val="0"/>
                  <w:marTop w:val="0"/>
                  <w:marBottom w:val="0"/>
                  <w:divBdr>
                    <w:top w:val="none" w:sz="0" w:space="0" w:color="auto"/>
                    <w:left w:val="none" w:sz="0" w:space="0" w:color="auto"/>
                    <w:bottom w:val="none" w:sz="0" w:space="0" w:color="auto"/>
                    <w:right w:val="none" w:sz="0" w:space="0" w:color="auto"/>
                  </w:divBdr>
                  <w:divsChild>
                    <w:div w:id="26138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869765">
      <w:bodyDiv w:val="1"/>
      <w:marLeft w:val="0"/>
      <w:marRight w:val="0"/>
      <w:marTop w:val="0"/>
      <w:marBottom w:val="0"/>
      <w:divBdr>
        <w:top w:val="none" w:sz="0" w:space="0" w:color="auto"/>
        <w:left w:val="none" w:sz="0" w:space="0" w:color="auto"/>
        <w:bottom w:val="none" w:sz="0" w:space="0" w:color="auto"/>
        <w:right w:val="none" w:sz="0" w:space="0" w:color="auto"/>
      </w:divBdr>
      <w:divsChild>
        <w:div w:id="723916607">
          <w:marLeft w:val="0"/>
          <w:marRight w:val="0"/>
          <w:marTop w:val="0"/>
          <w:marBottom w:val="0"/>
          <w:divBdr>
            <w:top w:val="none" w:sz="0" w:space="0" w:color="auto"/>
            <w:left w:val="none" w:sz="0" w:space="0" w:color="auto"/>
            <w:bottom w:val="none" w:sz="0" w:space="0" w:color="auto"/>
            <w:right w:val="none" w:sz="0" w:space="0" w:color="auto"/>
          </w:divBdr>
          <w:divsChild>
            <w:div w:id="2113084756">
              <w:marLeft w:val="0"/>
              <w:marRight w:val="0"/>
              <w:marTop w:val="0"/>
              <w:marBottom w:val="0"/>
              <w:divBdr>
                <w:top w:val="none" w:sz="0" w:space="0" w:color="auto"/>
                <w:left w:val="none" w:sz="0" w:space="0" w:color="auto"/>
                <w:bottom w:val="none" w:sz="0" w:space="0" w:color="auto"/>
                <w:right w:val="none" w:sz="0" w:space="0" w:color="auto"/>
              </w:divBdr>
              <w:divsChild>
                <w:div w:id="1308582919">
                  <w:marLeft w:val="0"/>
                  <w:marRight w:val="0"/>
                  <w:marTop w:val="0"/>
                  <w:marBottom w:val="0"/>
                  <w:divBdr>
                    <w:top w:val="none" w:sz="0" w:space="0" w:color="auto"/>
                    <w:left w:val="none" w:sz="0" w:space="0" w:color="auto"/>
                    <w:bottom w:val="none" w:sz="0" w:space="0" w:color="auto"/>
                    <w:right w:val="none" w:sz="0" w:space="0" w:color="auto"/>
                  </w:divBdr>
                  <w:divsChild>
                    <w:div w:id="26210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261968">
      <w:bodyDiv w:val="1"/>
      <w:marLeft w:val="0"/>
      <w:marRight w:val="0"/>
      <w:marTop w:val="0"/>
      <w:marBottom w:val="0"/>
      <w:divBdr>
        <w:top w:val="none" w:sz="0" w:space="0" w:color="auto"/>
        <w:left w:val="none" w:sz="0" w:space="0" w:color="auto"/>
        <w:bottom w:val="none" w:sz="0" w:space="0" w:color="auto"/>
        <w:right w:val="none" w:sz="0" w:space="0" w:color="auto"/>
      </w:divBdr>
      <w:divsChild>
        <w:div w:id="1802844713">
          <w:marLeft w:val="0"/>
          <w:marRight w:val="0"/>
          <w:marTop w:val="0"/>
          <w:marBottom w:val="0"/>
          <w:divBdr>
            <w:top w:val="none" w:sz="0" w:space="0" w:color="auto"/>
            <w:left w:val="none" w:sz="0" w:space="0" w:color="auto"/>
            <w:bottom w:val="none" w:sz="0" w:space="0" w:color="auto"/>
            <w:right w:val="none" w:sz="0" w:space="0" w:color="auto"/>
          </w:divBdr>
          <w:divsChild>
            <w:div w:id="653946624">
              <w:marLeft w:val="0"/>
              <w:marRight w:val="0"/>
              <w:marTop w:val="0"/>
              <w:marBottom w:val="0"/>
              <w:divBdr>
                <w:top w:val="none" w:sz="0" w:space="0" w:color="auto"/>
                <w:left w:val="none" w:sz="0" w:space="0" w:color="auto"/>
                <w:bottom w:val="none" w:sz="0" w:space="0" w:color="auto"/>
                <w:right w:val="none" w:sz="0" w:space="0" w:color="auto"/>
              </w:divBdr>
              <w:divsChild>
                <w:div w:id="1523782985">
                  <w:marLeft w:val="0"/>
                  <w:marRight w:val="0"/>
                  <w:marTop w:val="0"/>
                  <w:marBottom w:val="0"/>
                  <w:divBdr>
                    <w:top w:val="none" w:sz="0" w:space="0" w:color="auto"/>
                    <w:left w:val="none" w:sz="0" w:space="0" w:color="auto"/>
                    <w:bottom w:val="none" w:sz="0" w:space="0" w:color="auto"/>
                    <w:right w:val="none" w:sz="0" w:space="0" w:color="auto"/>
                  </w:divBdr>
                  <w:divsChild>
                    <w:div w:id="85114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91108">
      <w:bodyDiv w:val="1"/>
      <w:marLeft w:val="0"/>
      <w:marRight w:val="0"/>
      <w:marTop w:val="0"/>
      <w:marBottom w:val="0"/>
      <w:divBdr>
        <w:top w:val="none" w:sz="0" w:space="0" w:color="auto"/>
        <w:left w:val="none" w:sz="0" w:space="0" w:color="auto"/>
        <w:bottom w:val="none" w:sz="0" w:space="0" w:color="auto"/>
        <w:right w:val="none" w:sz="0" w:space="0" w:color="auto"/>
      </w:divBdr>
      <w:divsChild>
        <w:div w:id="1418792365">
          <w:marLeft w:val="0"/>
          <w:marRight w:val="0"/>
          <w:marTop w:val="0"/>
          <w:marBottom w:val="0"/>
          <w:divBdr>
            <w:top w:val="none" w:sz="0" w:space="0" w:color="auto"/>
            <w:left w:val="none" w:sz="0" w:space="0" w:color="auto"/>
            <w:bottom w:val="none" w:sz="0" w:space="0" w:color="auto"/>
            <w:right w:val="none" w:sz="0" w:space="0" w:color="auto"/>
          </w:divBdr>
        </w:div>
        <w:div w:id="1015964970">
          <w:marLeft w:val="0"/>
          <w:marRight w:val="0"/>
          <w:marTop w:val="0"/>
          <w:marBottom w:val="0"/>
          <w:divBdr>
            <w:top w:val="none" w:sz="0" w:space="0" w:color="auto"/>
            <w:left w:val="none" w:sz="0" w:space="0" w:color="auto"/>
            <w:bottom w:val="none" w:sz="0" w:space="0" w:color="auto"/>
            <w:right w:val="none" w:sz="0" w:space="0" w:color="auto"/>
          </w:divBdr>
        </w:div>
        <w:div w:id="530337746">
          <w:marLeft w:val="0"/>
          <w:marRight w:val="0"/>
          <w:marTop w:val="0"/>
          <w:marBottom w:val="0"/>
          <w:divBdr>
            <w:top w:val="none" w:sz="0" w:space="0" w:color="auto"/>
            <w:left w:val="none" w:sz="0" w:space="0" w:color="auto"/>
            <w:bottom w:val="none" w:sz="0" w:space="0" w:color="auto"/>
            <w:right w:val="none" w:sz="0" w:space="0" w:color="auto"/>
          </w:divBdr>
        </w:div>
      </w:divsChild>
    </w:div>
    <w:div w:id="1912696417">
      <w:bodyDiv w:val="1"/>
      <w:marLeft w:val="0"/>
      <w:marRight w:val="0"/>
      <w:marTop w:val="0"/>
      <w:marBottom w:val="0"/>
      <w:divBdr>
        <w:top w:val="none" w:sz="0" w:space="0" w:color="auto"/>
        <w:left w:val="none" w:sz="0" w:space="0" w:color="auto"/>
        <w:bottom w:val="none" w:sz="0" w:space="0" w:color="auto"/>
        <w:right w:val="none" w:sz="0" w:space="0" w:color="auto"/>
      </w:divBdr>
      <w:divsChild>
        <w:div w:id="919027209">
          <w:marLeft w:val="0"/>
          <w:marRight w:val="0"/>
          <w:marTop w:val="0"/>
          <w:marBottom w:val="0"/>
          <w:divBdr>
            <w:top w:val="none" w:sz="0" w:space="0" w:color="auto"/>
            <w:left w:val="none" w:sz="0" w:space="0" w:color="auto"/>
            <w:bottom w:val="none" w:sz="0" w:space="0" w:color="auto"/>
            <w:right w:val="none" w:sz="0" w:space="0" w:color="auto"/>
          </w:divBdr>
          <w:divsChild>
            <w:div w:id="2091805608">
              <w:marLeft w:val="0"/>
              <w:marRight w:val="0"/>
              <w:marTop w:val="0"/>
              <w:marBottom w:val="0"/>
              <w:divBdr>
                <w:top w:val="none" w:sz="0" w:space="0" w:color="auto"/>
                <w:left w:val="none" w:sz="0" w:space="0" w:color="auto"/>
                <w:bottom w:val="none" w:sz="0" w:space="0" w:color="auto"/>
                <w:right w:val="none" w:sz="0" w:space="0" w:color="auto"/>
              </w:divBdr>
              <w:divsChild>
                <w:div w:id="129545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77599">
      <w:bodyDiv w:val="1"/>
      <w:marLeft w:val="0"/>
      <w:marRight w:val="0"/>
      <w:marTop w:val="0"/>
      <w:marBottom w:val="0"/>
      <w:divBdr>
        <w:top w:val="none" w:sz="0" w:space="0" w:color="auto"/>
        <w:left w:val="none" w:sz="0" w:space="0" w:color="auto"/>
        <w:bottom w:val="none" w:sz="0" w:space="0" w:color="auto"/>
        <w:right w:val="none" w:sz="0" w:space="0" w:color="auto"/>
      </w:divBdr>
      <w:divsChild>
        <w:div w:id="356658642">
          <w:marLeft w:val="0"/>
          <w:marRight w:val="0"/>
          <w:marTop w:val="0"/>
          <w:marBottom w:val="0"/>
          <w:divBdr>
            <w:top w:val="none" w:sz="0" w:space="0" w:color="auto"/>
            <w:left w:val="none" w:sz="0" w:space="0" w:color="auto"/>
            <w:bottom w:val="none" w:sz="0" w:space="0" w:color="auto"/>
            <w:right w:val="none" w:sz="0" w:space="0" w:color="auto"/>
          </w:divBdr>
        </w:div>
        <w:div w:id="1694499791">
          <w:marLeft w:val="0"/>
          <w:marRight w:val="0"/>
          <w:marTop w:val="0"/>
          <w:marBottom w:val="0"/>
          <w:divBdr>
            <w:top w:val="none" w:sz="0" w:space="0" w:color="auto"/>
            <w:left w:val="none" w:sz="0" w:space="0" w:color="auto"/>
            <w:bottom w:val="none" w:sz="0" w:space="0" w:color="auto"/>
            <w:right w:val="none" w:sz="0" w:space="0" w:color="auto"/>
          </w:divBdr>
        </w:div>
        <w:div w:id="8461360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ol.gov/agencies/eta/performance/performance-indicators" TargetMode="External"/><Relationship Id="rId13" Type="http://schemas.openxmlformats.org/officeDocument/2006/relationships/hyperlink" Target="https://www.journals.uchicago.edu/author/Smith%2C+Jeffrey+A" TargetMode="External"/><Relationship Id="rId3" Type="http://schemas.openxmlformats.org/officeDocument/2006/relationships/settings" Target="settings.xml"/><Relationship Id="rId7" Type="http://schemas.openxmlformats.org/officeDocument/2006/relationships/hyperlink" Target="https://www.dol.gov/sites/dolgov/files/ETA/Performance/pdfs/PIRL_COMBINED_2.28.20_SP.pdf" TargetMode="External"/><Relationship Id="rId12" Type="http://schemas.openxmlformats.org/officeDocument/2006/relationships/hyperlink" Target="https://www.journals.uchicago.edu/author/Mueser%2C+Peter+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urnals.uchicago.edu/author/Michaelides%2C+Mario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1093/jeea/jvx028" TargetMode="External"/><Relationship Id="rId4" Type="http://schemas.openxmlformats.org/officeDocument/2006/relationships/webSettings" Target="webSettings.xml"/><Relationship Id="rId9" Type="http://schemas.openxmlformats.org/officeDocument/2006/relationships/hyperlink" Target="https://www.povertyactionlab.org/piraino"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D8856C-8EA9-3748-B4EA-525B9D249131}">
  <we:reference id="4b785c87-866c-4bad-85d8-5d1ae467ac9a" version="3.14.0.0" store="EXCatalog" storeType="EXCatalog"/>
  <we:alternateReferences>
    <we:reference id="WA104381909" version="3.14.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39</TotalTime>
  <Pages>11</Pages>
  <Words>5257</Words>
  <Characters>29968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 Hernandez-Saborit</cp:lastModifiedBy>
  <cp:revision>20</cp:revision>
  <dcterms:created xsi:type="dcterms:W3CDTF">2024-12-10T21:19:00Z</dcterms:created>
  <dcterms:modified xsi:type="dcterms:W3CDTF">2024-12-10T22:44:00Z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2024-04-14T09:15:48Z</dcterms:created>
  <dc:creator>Orlando J. Sotomayor</dc:creator>
  <dc:description/>
  <dc:language>en-US</dc:language>
  <cp:lastModifiedBy>Orlando J. Sotomayor</cp:lastModifiedBy>
  <dcterms:modified xsi:type="dcterms:W3CDTF">2024-04-20T11:06:17Z</dcterms:modified>
  <cp:revision>202</cp:revision>
  <dc:subject/>
  <dc:title/>
</cp:coreProperties>
</file>