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854B6" w14:textId="77777777" w:rsidR="00CF6824" w:rsidRDefault="00000000">
      <w:pPr>
        <w:ind w:left="360" w:hanging="360"/>
        <w:rPr>
          <w:b/>
          <w:sz w:val="28"/>
          <w:szCs w:val="28"/>
        </w:rPr>
      </w:pPr>
      <w:r>
        <w:rPr>
          <w:b/>
          <w:sz w:val="28"/>
          <w:szCs w:val="28"/>
        </w:rPr>
        <w:t>PRE-ANALYSIS PLAN</w:t>
      </w:r>
    </w:p>
    <w:p w14:paraId="0396A77B" w14:textId="77777777" w:rsidR="00CF6824" w:rsidRDefault="00000000">
      <w:pPr>
        <w:rPr>
          <w:sz w:val="28"/>
          <w:szCs w:val="28"/>
        </w:rPr>
      </w:pPr>
      <w:r>
        <w:rPr>
          <w:sz w:val="28"/>
          <w:szCs w:val="28"/>
        </w:rPr>
        <w:t xml:space="preserve">Reimagining new development narratives that </w:t>
      </w:r>
      <w:proofErr w:type="spellStart"/>
      <w:r>
        <w:rPr>
          <w:sz w:val="28"/>
          <w:szCs w:val="28"/>
        </w:rPr>
        <w:t>center</w:t>
      </w:r>
      <w:proofErr w:type="spellEnd"/>
      <w:r>
        <w:rPr>
          <w:sz w:val="28"/>
          <w:szCs w:val="28"/>
        </w:rPr>
        <w:t xml:space="preserve"> on the people and the environment</w:t>
      </w:r>
      <w:r>
        <w:rPr>
          <w:sz w:val="28"/>
          <w:szCs w:val="28"/>
          <w:vertAlign w:val="superscript"/>
        </w:rPr>
        <w:footnoteReference w:id="1"/>
      </w:r>
    </w:p>
    <w:p w14:paraId="3F7A964D" w14:textId="430BC178" w:rsidR="00AD4CE3" w:rsidRPr="00AD4CE3" w:rsidRDefault="00AD4CE3">
      <w:r w:rsidRPr="00AD4CE3">
        <w:t>Elghafiky Bimardhika</w:t>
      </w:r>
      <w:r>
        <w:t xml:space="preserve">, </w:t>
      </w:r>
      <w:proofErr w:type="spellStart"/>
      <w:r>
        <w:t>Ishlah</w:t>
      </w:r>
      <w:proofErr w:type="spellEnd"/>
      <w:r>
        <w:t xml:space="preserve"> Fitriani, Paramita Mohamad, </w:t>
      </w:r>
      <w:proofErr w:type="spellStart"/>
      <w:r>
        <w:t>Keinesasih</w:t>
      </w:r>
      <w:proofErr w:type="spellEnd"/>
      <w:r>
        <w:t xml:space="preserve"> </w:t>
      </w:r>
      <w:proofErr w:type="spellStart"/>
      <w:r>
        <w:t>Hapsari</w:t>
      </w:r>
      <w:proofErr w:type="spellEnd"/>
      <w:r>
        <w:t xml:space="preserve"> Puteri</w:t>
      </w:r>
    </w:p>
    <w:p w14:paraId="45A3D999" w14:textId="77777777" w:rsidR="00CF6824" w:rsidRDefault="00000000">
      <w:pPr>
        <w:pStyle w:val="Heading1"/>
        <w:numPr>
          <w:ilvl w:val="0"/>
          <w:numId w:val="1"/>
        </w:numPr>
        <w:ind w:left="360"/>
      </w:pPr>
      <w:r>
        <w:t>Introduction</w:t>
      </w:r>
    </w:p>
    <w:p w14:paraId="39DF9A19" w14:textId="77777777" w:rsidR="00CF6824" w:rsidRDefault="00000000">
      <w:pPr>
        <w:pStyle w:val="Heading2"/>
        <w:numPr>
          <w:ilvl w:val="1"/>
          <w:numId w:val="1"/>
        </w:numPr>
        <w:ind w:left="360"/>
      </w:pPr>
      <w:r>
        <w:t xml:space="preserve"> Abstract</w:t>
      </w:r>
    </w:p>
    <w:p w14:paraId="522790EA" w14:textId="77777777" w:rsidR="00CF6824" w:rsidRDefault="00000000">
      <w:r>
        <w:t xml:space="preserve">We investigate what narratives can sway the Indonesian public to be more receptive to progressive policies and alternative development models </w:t>
      </w:r>
      <w:proofErr w:type="spellStart"/>
      <w:r>
        <w:t>centered</w:t>
      </w:r>
      <w:proofErr w:type="spellEnd"/>
      <w:r>
        <w:t xml:space="preserve"> on social justice and the environment. We conduct an online experiment in which we randomly expose participants to a short story about the Indonesian economy. Each story appeals to different values or messages, from equal opportunity to environmental protection. If we can identify economic narratives that align with low-emission, sustainability, or social justice, they will shape a positive vision of the future of Indonesia. This vision will support the policy advocacy work that is being done by many think tanks. It may also energize the public to join climate actions that CSOs organize.</w:t>
      </w:r>
    </w:p>
    <w:p w14:paraId="52EF470F" w14:textId="77777777" w:rsidR="00CF6824" w:rsidRDefault="00000000">
      <w:pPr>
        <w:pStyle w:val="Heading2"/>
        <w:numPr>
          <w:ilvl w:val="1"/>
          <w:numId w:val="5"/>
        </w:numPr>
        <w:ind w:left="360"/>
      </w:pPr>
      <w:r>
        <w:t xml:space="preserve"> Motivation</w:t>
      </w:r>
    </w:p>
    <w:p w14:paraId="4085F36D" w14:textId="77777777" w:rsidR="00CF6824" w:rsidRDefault="00000000">
      <w:r>
        <w:t>We recognize the continued imperative of economic growth and development in Indonesia. Around 26 million Indonesians still live in poverty (Pape &amp; Rabia, 2023), and more have precarious livelihoods (Kalleberg et al., 2021). Some regions also suffer from a wide economic disparity (Akita &amp; Kataoka, 2022; Suparman &amp; Muzakir, 2023). Yet, the conventional growth model we have relied on for so long comes with a hefty price: a steep uptick in carbon emissions (Abram et al., 2016). In addition, while economic growth in Indonesia has contributed to reducing poverty levels, it has often been associated with increased income inequality (Hill, 2021; Yumna et al., 2015).</w:t>
      </w:r>
    </w:p>
    <w:p w14:paraId="6DD8626E" w14:textId="77777777" w:rsidR="00CF6824" w:rsidRDefault="00000000">
      <w:r>
        <w:t xml:space="preserve">We need an alternative development model reconciling economic growth, sustainability, and social justice. However, economic transformation can be disruptive and sometimes involve inconvenient but necessary </w:t>
      </w:r>
      <w:proofErr w:type="spellStart"/>
      <w:r>
        <w:t>behavioral</w:t>
      </w:r>
      <w:proofErr w:type="spellEnd"/>
      <w:r>
        <w:t xml:space="preserve"> change (UNDP, 2017). For example, a successful phase-out of fossil fuel and </w:t>
      </w:r>
      <w:proofErr w:type="spellStart"/>
      <w:r>
        <w:t>nonrenewables</w:t>
      </w:r>
      <w:proofErr w:type="spellEnd"/>
      <w:r>
        <w:t xml:space="preserve"> will eventually lead to workers in these industries getting laid off or moving jobs (Parks &amp; Baran, 2023). While we must find ways to </w:t>
      </w:r>
      <w:r>
        <w:lastRenderedPageBreak/>
        <w:t>compensate the losers from the reform (UNDP, 2021), this change can nonetheless be uncomfortable, and people might perceive this as an invasion of their way of life (Anderson, 2024; Tasch, 2024). This can cause people to be reluctant and even resistant to reform agendas (Harring, 2021). Policymakers, in turn, might hesitate to introduce reforms when they do not see electoral incentives. For a reform to succeed, campaigners must persuade the masses more effectively.</w:t>
      </w:r>
    </w:p>
    <w:p w14:paraId="2144FAE4" w14:textId="77777777" w:rsidR="00CF6824" w:rsidRDefault="00000000">
      <w:r>
        <w:t>This is where narratives come in. Narratives are powerful tools that can influence public policy directions. A narrative is a sequence of temporally ordered and causally linked events. At an individual level, human beings make sense of the content of their consciousness by imposing a narrative structure. Because our narratives are all we have to make sense of what is going on, we tend to believe them, especially when they are coherent and plausible. We are motivated to maintain or increase the degree of plausibility of our narratives. We will resist experiences (information) that would reduce coherence. We are also more likely to be open or search for experiences that increase coherence (Beach &amp; Wise, 2022). When a private narrative is shared with others, it becomes public. Public narratives are important because they influence public policymaking.</w:t>
      </w:r>
      <w:r>
        <w:rPr>
          <w:vertAlign w:val="superscript"/>
        </w:rPr>
        <w:footnoteReference w:id="2"/>
      </w:r>
      <w:r>
        <w:t xml:space="preserve"> </w:t>
      </w:r>
    </w:p>
    <w:p w14:paraId="6E59CA14" w14:textId="77777777" w:rsidR="00CF6824" w:rsidRDefault="00000000">
      <w:r>
        <w:t>The prevailing public narratives seem to contradict development or growth with sustainability. We posit that one of the prevailing narratives about development and growth is that “</w:t>
      </w:r>
      <w:r>
        <w:rPr>
          <w:i/>
        </w:rPr>
        <w:t>development brings economic growth for many, but it requires sacrifice</w:t>
      </w:r>
      <w:r>
        <w:t xml:space="preserve">”. It probably emerged during Suharto’s era to justify mass eviction for massive development projects like </w:t>
      </w:r>
      <w:proofErr w:type="spellStart"/>
      <w:r>
        <w:t>Kedung</w:t>
      </w:r>
      <w:proofErr w:type="spellEnd"/>
      <w:r>
        <w:t xml:space="preserve"> Ombo (Crouch &amp; Hill, 1992). Interestingly, the narrative persists today, as exemplified by the President in 2015 (Kementerian </w:t>
      </w:r>
      <w:proofErr w:type="spellStart"/>
      <w:r>
        <w:t>Sekretariat</w:t>
      </w:r>
      <w:proofErr w:type="spellEnd"/>
      <w:r>
        <w:t xml:space="preserve"> Negara, 2015), The Ministry of State-Owned Enterprises in 2021 (</w:t>
      </w:r>
      <w:proofErr w:type="spellStart"/>
      <w:r>
        <w:t>Perum</w:t>
      </w:r>
      <w:proofErr w:type="spellEnd"/>
      <w:r>
        <w:t xml:space="preserve"> Jasa Tirta I, 2021), and at least one head of regional government in 2022 (</w:t>
      </w:r>
      <w:proofErr w:type="spellStart"/>
      <w:r>
        <w:t>Suryaman</w:t>
      </w:r>
      <w:proofErr w:type="spellEnd"/>
      <w:r>
        <w:t>, 2022). If development can be used to justify eviction, then it is not a giant leap to use it to justify deforestation or coal burning.</w:t>
      </w:r>
      <w:r>
        <w:rPr>
          <w:vertAlign w:val="superscript"/>
        </w:rPr>
        <w:footnoteReference w:id="3"/>
      </w:r>
    </w:p>
    <w:p w14:paraId="05AA4586" w14:textId="77777777" w:rsidR="00CF6824" w:rsidRDefault="00000000">
      <w:r>
        <w:t xml:space="preserve">To the best of our knowledge, our study is the first to attack the problem of development narratives in Indonesia. Similar studies in Indonesia have examined interventions to promote </w:t>
      </w:r>
      <w:r>
        <w:lastRenderedPageBreak/>
        <w:t>climate policies (</w:t>
      </w:r>
      <w:proofErr w:type="spellStart"/>
      <w:r>
        <w:t>Dechezleprêtre</w:t>
      </w:r>
      <w:proofErr w:type="spellEnd"/>
      <w:r>
        <w:t xml:space="preserve"> et al., 2022; Marshall et al., 2023) and land subsidence prevention (Sim et al., 2024). Our research improves upon these studies by expanding the focus to the social justice aspect. In addition, our research aims to reimagine the narrative at a more systemic level. This might have a broader implication on people’s fundamental understanding of how the economy and development should work (NEON et al., 2018).  </w:t>
      </w:r>
    </w:p>
    <w:p w14:paraId="7039DAA7" w14:textId="77777777" w:rsidR="00CF6824" w:rsidRDefault="00000000">
      <w:pPr>
        <w:pStyle w:val="Heading2"/>
        <w:numPr>
          <w:ilvl w:val="1"/>
          <w:numId w:val="5"/>
        </w:numPr>
        <w:ind w:left="360"/>
      </w:pPr>
      <w:r>
        <w:t xml:space="preserve"> Research Questions</w:t>
      </w: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F6824" w14:paraId="56E9BD40" w14:textId="77777777">
        <w:tc>
          <w:tcPr>
            <w:tcW w:w="4508" w:type="dxa"/>
            <w:vAlign w:val="center"/>
          </w:tcPr>
          <w:p w14:paraId="7686229D" w14:textId="77777777" w:rsidR="00CF6824" w:rsidRDefault="00000000">
            <w:r>
              <w:t>Question</w:t>
            </w:r>
          </w:p>
        </w:tc>
        <w:tc>
          <w:tcPr>
            <w:tcW w:w="4508" w:type="dxa"/>
            <w:vAlign w:val="center"/>
          </w:tcPr>
          <w:p w14:paraId="12EADB3F" w14:textId="77777777" w:rsidR="00CF6824" w:rsidRDefault="00000000">
            <w:r>
              <w:t>How to answer</w:t>
            </w:r>
          </w:p>
        </w:tc>
      </w:tr>
      <w:tr w:rsidR="00CF6824" w14:paraId="01DEBF30" w14:textId="77777777">
        <w:tc>
          <w:tcPr>
            <w:tcW w:w="4508" w:type="dxa"/>
            <w:vAlign w:val="center"/>
          </w:tcPr>
          <w:p w14:paraId="600E3762" w14:textId="77777777" w:rsidR="00CF6824" w:rsidRDefault="00000000">
            <w:r>
              <w:t xml:space="preserve">Can </w:t>
            </w:r>
            <w:proofErr w:type="gramStart"/>
            <w:r>
              <w:t>narrative</w:t>
            </w:r>
            <w:proofErr w:type="gramEnd"/>
            <w:r>
              <w:t xml:space="preserve"> influence people’s policy support for progressive policies?</w:t>
            </w:r>
          </w:p>
        </w:tc>
        <w:tc>
          <w:tcPr>
            <w:tcW w:w="4508" w:type="dxa"/>
            <w:vAlign w:val="center"/>
          </w:tcPr>
          <w:p w14:paraId="1C6FA377" w14:textId="77777777" w:rsidR="00CF6824" w:rsidRDefault="00000000">
            <w:r>
              <w:t>Comparison of main outcomes between overall treatment vs. control</w:t>
            </w:r>
          </w:p>
        </w:tc>
      </w:tr>
      <w:tr w:rsidR="00CF6824" w14:paraId="4C6547B8" w14:textId="77777777">
        <w:tc>
          <w:tcPr>
            <w:tcW w:w="4508" w:type="dxa"/>
            <w:vAlign w:val="center"/>
          </w:tcPr>
          <w:p w14:paraId="59593554" w14:textId="77777777" w:rsidR="00CF6824" w:rsidRDefault="00000000">
            <w:r>
              <w:t>What key message or narrative most effectively persuades people to support progressive policies?</w:t>
            </w:r>
          </w:p>
        </w:tc>
        <w:tc>
          <w:tcPr>
            <w:tcW w:w="4508" w:type="dxa"/>
            <w:vAlign w:val="center"/>
          </w:tcPr>
          <w:p w14:paraId="4E5FCDC1" w14:textId="77777777" w:rsidR="00CF6824" w:rsidRDefault="00000000">
            <w:r>
              <w:t>Comparison of main outcomes between each treatment arm against the control group</w:t>
            </w:r>
          </w:p>
        </w:tc>
      </w:tr>
      <w:tr w:rsidR="00CF6824" w14:paraId="4252BE17" w14:textId="77777777">
        <w:tc>
          <w:tcPr>
            <w:tcW w:w="4508" w:type="dxa"/>
            <w:vAlign w:val="center"/>
          </w:tcPr>
          <w:p w14:paraId="647D392E" w14:textId="77777777" w:rsidR="00CF6824" w:rsidRDefault="00000000">
            <w:r>
              <w:t>Through what channel does narrative affect people’s views and beliefs?</w:t>
            </w:r>
          </w:p>
        </w:tc>
        <w:tc>
          <w:tcPr>
            <w:tcW w:w="4508" w:type="dxa"/>
            <w:vAlign w:val="center"/>
          </w:tcPr>
          <w:p w14:paraId="330783A9" w14:textId="77777777" w:rsidR="00CF6824" w:rsidRDefault="00000000">
            <w:r>
              <w:t>Mechanism analysis (analysis of secondary outcomes)</w:t>
            </w:r>
          </w:p>
        </w:tc>
      </w:tr>
    </w:tbl>
    <w:p w14:paraId="7B534E12" w14:textId="77777777" w:rsidR="00CF6824" w:rsidRDefault="00CF6824"/>
    <w:p w14:paraId="45E700F3" w14:textId="77777777" w:rsidR="00CF6824" w:rsidRDefault="00000000">
      <w:pPr>
        <w:pStyle w:val="Heading1"/>
        <w:numPr>
          <w:ilvl w:val="0"/>
          <w:numId w:val="5"/>
        </w:numPr>
        <w:ind w:left="360"/>
      </w:pPr>
      <w:r>
        <w:t>Research Strategy</w:t>
      </w:r>
    </w:p>
    <w:p w14:paraId="4A1C4038" w14:textId="77777777" w:rsidR="00CF6824" w:rsidRDefault="00000000">
      <w:pPr>
        <w:pStyle w:val="Heading2"/>
        <w:numPr>
          <w:ilvl w:val="1"/>
          <w:numId w:val="5"/>
        </w:numPr>
        <w:ind w:left="360"/>
      </w:pPr>
      <w:r>
        <w:t xml:space="preserve"> Sampling</w:t>
      </w:r>
    </w:p>
    <w:p w14:paraId="38D88B4C" w14:textId="77777777" w:rsidR="00CF6824" w:rsidRDefault="00000000">
      <w:pPr>
        <w:pStyle w:val="Heading2"/>
        <w:numPr>
          <w:ilvl w:val="2"/>
          <w:numId w:val="5"/>
        </w:numPr>
        <w:ind w:left="709"/>
        <w:rPr>
          <w:b w:val="0"/>
        </w:rPr>
      </w:pPr>
      <w:r>
        <w:rPr>
          <w:b w:val="0"/>
        </w:rPr>
        <w:t>Sampling Frame</w:t>
      </w:r>
    </w:p>
    <w:tbl>
      <w:tblPr>
        <w:tblStyle w:val="a5"/>
        <w:tblW w:w="8440" w:type="dxa"/>
        <w:tblLayout w:type="fixed"/>
        <w:tblLook w:val="0400" w:firstRow="0" w:lastRow="0" w:firstColumn="0" w:lastColumn="0" w:noHBand="0" w:noVBand="1"/>
      </w:tblPr>
      <w:tblGrid>
        <w:gridCol w:w="4195"/>
        <w:gridCol w:w="4195"/>
        <w:gridCol w:w="50"/>
      </w:tblGrid>
      <w:tr w:rsidR="00CF6824" w14:paraId="2B4D0725" w14:textId="77777777">
        <w:trPr>
          <w:gridAfter w:val="1"/>
          <w:wAfter w:w="36" w:type="dxa"/>
          <w:trHeight w:val="534"/>
        </w:trPr>
        <w:tc>
          <w:tcPr>
            <w:tcW w:w="4202"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664AC1D" w14:textId="77777777" w:rsidR="00CF6824" w:rsidRDefault="00000000">
            <w:pPr>
              <w:spacing w:before="0" w:after="0"/>
            </w:pPr>
            <w:r>
              <w:t>Target group (inclusion criteria)</w:t>
            </w:r>
          </w:p>
        </w:tc>
        <w:tc>
          <w:tcPr>
            <w:tcW w:w="4202"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F2BB5A5" w14:textId="77777777" w:rsidR="00CF6824" w:rsidRDefault="00000000">
            <w:pPr>
              <w:numPr>
                <w:ilvl w:val="0"/>
                <w:numId w:val="6"/>
              </w:numPr>
              <w:spacing w:before="0" w:after="0"/>
            </w:pPr>
            <w:r>
              <w:t>Aged 18-64 years</w:t>
            </w:r>
          </w:p>
          <w:p w14:paraId="0AE43E01" w14:textId="77777777" w:rsidR="00CF6824" w:rsidRDefault="00000000">
            <w:pPr>
              <w:numPr>
                <w:ilvl w:val="0"/>
                <w:numId w:val="6"/>
              </w:numPr>
              <w:spacing w:before="0" w:after="0"/>
            </w:pPr>
            <w:r>
              <w:t>All genders</w:t>
            </w:r>
          </w:p>
          <w:p w14:paraId="712B75A4" w14:textId="77777777" w:rsidR="00CF6824" w:rsidRDefault="00000000">
            <w:pPr>
              <w:numPr>
                <w:ilvl w:val="0"/>
                <w:numId w:val="6"/>
              </w:numPr>
              <w:spacing w:before="0" w:after="0"/>
            </w:pPr>
            <w:r>
              <w:t>Indonesian citizens</w:t>
            </w:r>
          </w:p>
        </w:tc>
      </w:tr>
      <w:tr w:rsidR="00CF6824" w14:paraId="0791F107" w14:textId="77777777">
        <w:trPr>
          <w:trHeight w:val="420"/>
        </w:trPr>
        <w:tc>
          <w:tcPr>
            <w:tcW w:w="4202"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17E5F1" w14:textId="77777777" w:rsidR="00CF6824" w:rsidRDefault="00CF6824">
            <w:pPr>
              <w:widowControl w:val="0"/>
              <w:pBdr>
                <w:top w:val="nil"/>
                <w:left w:val="nil"/>
                <w:bottom w:val="nil"/>
                <w:right w:val="nil"/>
                <w:between w:val="nil"/>
              </w:pBdr>
              <w:spacing w:before="0" w:after="0" w:line="276" w:lineRule="auto"/>
            </w:pPr>
          </w:p>
        </w:tc>
        <w:tc>
          <w:tcPr>
            <w:tcW w:w="4202"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DD1DAD" w14:textId="77777777" w:rsidR="00CF6824" w:rsidRDefault="00CF6824">
            <w:pPr>
              <w:widowControl w:val="0"/>
              <w:pBdr>
                <w:top w:val="nil"/>
                <w:left w:val="nil"/>
                <w:bottom w:val="nil"/>
                <w:right w:val="nil"/>
                <w:between w:val="nil"/>
              </w:pBdr>
              <w:spacing w:before="0" w:after="0" w:line="276" w:lineRule="auto"/>
            </w:pPr>
          </w:p>
        </w:tc>
        <w:tc>
          <w:tcPr>
            <w:tcW w:w="36" w:type="dxa"/>
            <w:vAlign w:val="center"/>
          </w:tcPr>
          <w:p w14:paraId="7DC8487D" w14:textId="77777777" w:rsidR="00CF6824" w:rsidRDefault="00CF6824">
            <w:pPr>
              <w:spacing w:before="0" w:after="0"/>
            </w:pPr>
          </w:p>
        </w:tc>
      </w:tr>
      <w:tr w:rsidR="00CF6824" w14:paraId="24328468" w14:textId="77777777">
        <w:trPr>
          <w:trHeight w:val="195"/>
        </w:trPr>
        <w:tc>
          <w:tcPr>
            <w:tcW w:w="4202"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4D858B6" w14:textId="77777777" w:rsidR="00CF6824" w:rsidRDefault="00CF6824">
            <w:pPr>
              <w:widowControl w:val="0"/>
              <w:pBdr>
                <w:top w:val="nil"/>
                <w:left w:val="nil"/>
                <w:bottom w:val="nil"/>
                <w:right w:val="nil"/>
                <w:between w:val="nil"/>
              </w:pBdr>
              <w:spacing w:before="0" w:after="0" w:line="276" w:lineRule="auto"/>
            </w:pPr>
          </w:p>
        </w:tc>
        <w:tc>
          <w:tcPr>
            <w:tcW w:w="4202"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ACFF64F" w14:textId="77777777" w:rsidR="00CF6824" w:rsidRDefault="00CF6824">
            <w:pPr>
              <w:widowControl w:val="0"/>
              <w:pBdr>
                <w:top w:val="nil"/>
                <w:left w:val="nil"/>
                <w:bottom w:val="nil"/>
                <w:right w:val="nil"/>
                <w:between w:val="nil"/>
              </w:pBdr>
              <w:spacing w:before="0" w:after="0" w:line="276" w:lineRule="auto"/>
            </w:pPr>
          </w:p>
        </w:tc>
        <w:tc>
          <w:tcPr>
            <w:tcW w:w="36" w:type="dxa"/>
            <w:vAlign w:val="center"/>
          </w:tcPr>
          <w:p w14:paraId="17293DBF" w14:textId="77777777" w:rsidR="00CF6824" w:rsidRDefault="00CF6824">
            <w:pPr>
              <w:spacing w:before="0" w:after="0"/>
            </w:pPr>
          </w:p>
        </w:tc>
      </w:tr>
      <w:tr w:rsidR="00CF6824" w14:paraId="7DCEB7EF" w14:textId="77777777">
        <w:tc>
          <w:tcPr>
            <w:tcW w:w="4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10E5037" w14:textId="77777777" w:rsidR="00CF6824" w:rsidRDefault="00000000">
            <w:pPr>
              <w:spacing w:before="0" w:after="0"/>
            </w:pPr>
            <w:r>
              <w:t>Exclusion criteria</w:t>
            </w:r>
          </w:p>
        </w:tc>
        <w:tc>
          <w:tcPr>
            <w:tcW w:w="4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D281DED" w14:textId="77777777" w:rsidR="00CF6824" w:rsidRDefault="00000000">
            <w:pPr>
              <w:numPr>
                <w:ilvl w:val="0"/>
                <w:numId w:val="7"/>
              </w:numPr>
              <w:spacing w:before="0" w:after="0"/>
            </w:pPr>
            <w:r>
              <w:t xml:space="preserve">Not registered in </w:t>
            </w:r>
            <w:proofErr w:type="spellStart"/>
            <w:r>
              <w:t>Dynata’s</w:t>
            </w:r>
            <w:proofErr w:type="spellEnd"/>
            <w:r>
              <w:t xml:space="preserve"> respondent panel</w:t>
            </w:r>
          </w:p>
          <w:p w14:paraId="67110608" w14:textId="77777777" w:rsidR="00CF6824" w:rsidRDefault="00000000">
            <w:pPr>
              <w:numPr>
                <w:ilvl w:val="0"/>
                <w:numId w:val="7"/>
              </w:numPr>
              <w:spacing w:before="0" w:after="0"/>
            </w:pPr>
            <w:r>
              <w:t>Not residing in Indonesia</w:t>
            </w:r>
          </w:p>
        </w:tc>
        <w:tc>
          <w:tcPr>
            <w:tcW w:w="36" w:type="dxa"/>
            <w:vAlign w:val="center"/>
          </w:tcPr>
          <w:p w14:paraId="13214131" w14:textId="77777777" w:rsidR="00CF6824" w:rsidRDefault="00CF6824">
            <w:pPr>
              <w:spacing w:before="0" w:after="0"/>
            </w:pPr>
          </w:p>
        </w:tc>
      </w:tr>
      <w:tr w:rsidR="00CF6824" w14:paraId="27B95F8C" w14:textId="77777777">
        <w:tc>
          <w:tcPr>
            <w:tcW w:w="4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E73426F" w14:textId="77777777" w:rsidR="00CF6824" w:rsidRDefault="00000000">
            <w:pPr>
              <w:spacing w:before="0" w:after="0"/>
            </w:pPr>
            <w:r>
              <w:t>Sample size</w:t>
            </w:r>
          </w:p>
        </w:tc>
        <w:tc>
          <w:tcPr>
            <w:tcW w:w="42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6C88AD8" w14:textId="77777777" w:rsidR="00CF6824" w:rsidRDefault="00000000">
            <w:pPr>
              <w:spacing w:before="0" w:after="0"/>
            </w:pPr>
            <w:r>
              <w:t>+/- 4.000</w:t>
            </w:r>
          </w:p>
        </w:tc>
        <w:tc>
          <w:tcPr>
            <w:tcW w:w="36" w:type="dxa"/>
            <w:vAlign w:val="center"/>
          </w:tcPr>
          <w:p w14:paraId="7683574F" w14:textId="77777777" w:rsidR="00CF6824" w:rsidRDefault="00CF6824">
            <w:pPr>
              <w:spacing w:before="0" w:after="0"/>
            </w:pPr>
          </w:p>
        </w:tc>
      </w:tr>
    </w:tbl>
    <w:p w14:paraId="0D933C6E" w14:textId="77777777" w:rsidR="00CF6824" w:rsidRDefault="00000000">
      <w:r>
        <w:t>We aim to make our survey sample as close to national representation as possible. We understand that there is inherent selection bias in online surveys stemming from technological barriers. However, we implement the following sex, age, and province sampling quota in recruitment to push us closer to national representation.</w:t>
      </w:r>
    </w:p>
    <w:tbl>
      <w:tblPr>
        <w:tblStyle w:val="a6"/>
        <w:tblW w:w="3261" w:type="dxa"/>
        <w:jc w:val="center"/>
        <w:tblBorders>
          <w:top w:val="single" w:sz="4" w:space="0" w:color="000000"/>
          <w:bottom w:val="single" w:sz="4" w:space="0" w:color="000000"/>
        </w:tblBorders>
        <w:tblLayout w:type="fixed"/>
        <w:tblLook w:val="0400" w:firstRow="0" w:lastRow="0" w:firstColumn="0" w:lastColumn="0" w:noHBand="0" w:noVBand="1"/>
      </w:tblPr>
      <w:tblGrid>
        <w:gridCol w:w="973"/>
        <w:gridCol w:w="1154"/>
        <w:gridCol w:w="1134"/>
      </w:tblGrid>
      <w:tr w:rsidR="00CF6824" w14:paraId="2915B286" w14:textId="77777777">
        <w:trPr>
          <w:trHeight w:val="300"/>
          <w:jc w:val="center"/>
        </w:trPr>
        <w:tc>
          <w:tcPr>
            <w:tcW w:w="973" w:type="dxa"/>
            <w:tcBorders>
              <w:top w:val="single" w:sz="4" w:space="0" w:color="000000"/>
              <w:bottom w:val="single" w:sz="4" w:space="0" w:color="000000"/>
            </w:tcBorders>
            <w:shd w:val="clear" w:color="auto" w:fill="auto"/>
          </w:tcPr>
          <w:p w14:paraId="6481EEC6" w14:textId="77777777" w:rsidR="00CF6824" w:rsidRDefault="00000000">
            <w:pPr>
              <w:spacing w:before="0" w:after="0"/>
              <w:rPr>
                <w:sz w:val="20"/>
                <w:szCs w:val="20"/>
              </w:rPr>
            </w:pPr>
            <w:r>
              <w:rPr>
                <w:sz w:val="20"/>
                <w:szCs w:val="20"/>
              </w:rPr>
              <w:lastRenderedPageBreak/>
              <w:t>Sex</w:t>
            </w:r>
          </w:p>
        </w:tc>
        <w:tc>
          <w:tcPr>
            <w:tcW w:w="1154" w:type="dxa"/>
            <w:tcBorders>
              <w:top w:val="single" w:sz="4" w:space="0" w:color="000000"/>
              <w:bottom w:val="single" w:sz="4" w:space="0" w:color="000000"/>
            </w:tcBorders>
            <w:shd w:val="clear" w:color="auto" w:fill="auto"/>
          </w:tcPr>
          <w:p w14:paraId="67B1FF37" w14:textId="77777777" w:rsidR="00CF6824" w:rsidRDefault="00000000">
            <w:pPr>
              <w:spacing w:before="0" w:after="0"/>
              <w:rPr>
                <w:sz w:val="20"/>
                <w:szCs w:val="20"/>
              </w:rPr>
            </w:pPr>
            <w:r>
              <w:rPr>
                <w:sz w:val="20"/>
                <w:szCs w:val="20"/>
              </w:rPr>
              <w:t>Age group</w:t>
            </w:r>
          </w:p>
        </w:tc>
        <w:tc>
          <w:tcPr>
            <w:tcW w:w="1134" w:type="dxa"/>
            <w:tcBorders>
              <w:top w:val="single" w:sz="4" w:space="0" w:color="000000"/>
              <w:bottom w:val="single" w:sz="4" w:space="0" w:color="000000"/>
            </w:tcBorders>
            <w:shd w:val="clear" w:color="auto" w:fill="auto"/>
          </w:tcPr>
          <w:p w14:paraId="3298C04A" w14:textId="77777777" w:rsidR="00CF6824" w:rsidRDefault="00000000">
            <w:pPr>
              <w:spacing w:before="0" w:after="0"/>
              <w:rPr>
                <w:sz w:val="20"/>
                <w:szCs w:val="20"/>
              </w:rPr>
            </w:pPr>
            <w:r>
              <w:rPr>
                <w:sz w:val="20"/>
                <w:szCs w:val="20"/>
              </w:rPr>
              <w:t>Quota (%)</w:t>
            </w:r>
          </w:p>
        </w:tc>
      </w:tr>
      <w:tr w:rsidR="00CF6824" w14:paraId="4FD83597" w14:textId="77777777">
        <w:trPr>
          <w:trHeight w:val="300"/>
          <w:jc w:val="center"/>
        </w:trPr>
        <w:tc>
          <w:tcPr>
            <w:tcW w:w="973" w:type="dxa"/>
            <w:tcBorders>
              <w:top w:val="single" w:sz="4" w:space="0" w:color="000000"/>
            </w:tcBorders>
            <w:shd w:val="clear" w:color="auto" w:fill="auto"/>
            <w:vAlign w:val="bottom"/>
          </w:tcPr>
          <w:p w14:paraId="406E77C6" w14:textId="77777777" w:rsidR="00CF6824" w:rsidRDefault="00000000">
            <w:pPr>
              <w:spacing w:before="0" w:after="0"/>
              <w:rPr>
                <w:color w:val="000000"/>
                <w:sz w:val="20"/>
                <w:szCs w:val="20"/>
              </w:rPr>
            </w:pPr>
            <w:r>
              <w:rPr>
                <w:color w:val="000000"/>
                <w:sz w:val="20"/>
                <w:szCs w:val="20"/>
              </w:rPr>
              <w:t>Male</w:t>
            </w:r>
          </w:p>
        </w:tc>
        <w:tc>
          <w:tcPr>
            <w:tcW w:w="1154" w:type="dxa"/>
            <w:tcBorders>
              <w:top w:val="single" w:sz="4" w:space="0" w:color="000000"/>
            </w:tcBorders>
            <w:shd w:val="clear" w:color="auto" w:fill="auto"/>
            <w:vAlign w:val="bottom"/>
          </w:tcPr>
          <w:p w14:paraId="68F5D080" w14:textId="77777777" w:rsidR="00CF6824" w:rsidRDefault="00000000">
            <w:pPr>
              <w:spacing w:before="0" w:after="0"/>
              <w:rPr>
                <w:color w:val="000000"/>
                <w:sz w:val="20"/>
                <w:szCs w:val="20"/>
              </w:rPr>
            </w:pPr>
            <w:r>
              <w:rPr>
                <w:color w:val="000000"/>
                <w:sz w:val="20"/>
                <w:szCs w:val="20"/>
              </w:rPr>
              <w:t>18-25</w:t>
            </w:r>
          </w:p>
        </w:tc>
        <w:tc>
          <w:tcPr>
            <w:tcW w:w="1134" w:type="dxa"/>
            <w:tcBorders>
              <w:top w:val="single" w:sz="4" w:space="0" w:color="000000"/>
            </w:tcBorders>
            <w:shd w:val="clear" w:color="auto" w:fill="auto"/>
            <w:vAlign w:val="bottom"/>
          </w:tcPr>
          <w:p w14:paraId="394CBC15" w14:textId="77777777" w:rsidR="00CF6824" w:rsidRDefault="00000000">
            <w:pPr>
              <w:spacing w:before="0" w:after="0"/>
              <w:rPr>
                <w:color w:val="000000"/>
                <w:sz w:val="20"/>
                <w:szCs w:val="20"/>
              </w:rPr>
            </w:pPr>
            <w:r>
              <w:rPr>
                <w:color w:val="000000"/>
                <w:sz w:val="20"/>
                <w:szCs w:val="20"/>
              </w:rPr>
              <w:t>9,86</w:t>
            </w:r>
          </w:p>
        </w:tc>
      </w:tr>
      <w:tr w:rsidR="00CF6824" w14:paraId="31D18BEC" w14:textId="77777777">
        <w:trPr>
          <w:trHeight w:val="300"/>
          <w:jc w:val="center"/>
        </w:trPr>
        <w:tc>
          <w:tcPr>
            <w:tcW w:w="973" w:type="dxa"/>
            <w:shd w:val="clear" w:color="auto" w:fill="auto"/>
            <w:vAlign w:val="bottom"/>
          </w:tcPr>
          <w:p w14:paraId="348CB208" w14:textId="77777777" w:rsidR="00CF6824" w:rsidRDefault="00000000">
            <w:pPr>
              <w:spacing w:before="0" w:after="0"/>
              <w:rPr>
                <w:color w:val="000000"/>
                <w:sz w:val="20"/>
                <w:szCs w:val="20"/>
              </w:rPr>
            </w:pPr>
            <w:r>
              <w:rPr>
                <w:color w:val="000000"/>
                <w:sz w:val="20"/>
                <w:szCs w:val="20"/>
              </w:rPr>
              <w:t>Male</w:t>
            </w:r>
          </w:p>
        </w:tc>
        <w:tc>
          <w:tcPr>
            <w:tcW w:w="1154" w:type="dxa"/>
            <w:shd w:val="clear" w:color="auto" w:fill="auto"/>
            <w:vAlign w:val="bottom"/>
          </w:tcPr>
          <w:p w14:paraId="14969E06" w14:textId="77777777" w:rsidR="00CF6824" w:rsidRDefault="00000000">
            <w:pPr>
              <w:spacing w:before="0" w:after="0"/>
              <w:rPr>
                <w:color w:val="000000"/>
                <w:sz w:val="20"/>
                <w:szCs w:val="20"/>
              </w:rPr>
            </w:pPr>
            <w:r>
              <w:rPr>
                <w:color w:val="000000"/>
                <w:sz w:val="20"/>
                <w:szCs w:val="20"/>
              </w:rPr>
              <w:t>26-30</w:t>
            </w:r>
          </w:p>
        </w:tc>
        <w:tc>
          <w:tcPr>
            <w:tcW w:w="1134" w:type="dxa"/>
            <w:shd w:val="clear" w:color="auto" w:fill="auto"/>
            <w:vAlign w:val="bottom"/>
          </w:tcPr>
          <w:p w14:paraId="7138F9BC" w14:textId="77777777" w:rsidR="00CF6824" w:rsidRDefault="00000000">
            <w:pPr>
              <w:spacing w:before="0" w:after="0"/>
              <w:rPr>
                <w:color w:val="000000"/>
                <w:sz w:val="20"/>
                <w:szCs w:val="20"/>
              </w:rPr>
            </w:pPr>
            <w:r>
              <w:rPr>
                <w:color w:val="000000"/>
                <w:sz w:val="20"/>
                <w:szCs w:val="20"/>
              </w:rPr>
              <w:t>5,93</w:t>
            </w:r>
          </w:p>
        </w:tc>
      </w:tr>
      <w:tr w:rsidR="00CF6824" w14:paraId="22CDAE22" w14:textId="77777777">
        <w:trPr>
          <w:trHeight w:val="300"/>
          <w:jc w:val="center"/>
        </w:trPr>
        <w:tc>
          <w:tcPr>
            <w:tcW w:w="973" w:type="dxa"/>
            <w:shd w:val="clear" w:color="auto" w:fill="auto"/>
            <w:vAlign w:val="bottom"/>
          </w:tcPr>
          <w:p w14:paraId="4EF1A27E" w14:textId="77777777" w:rsidR="00CF6824" w:rsidRDefault="00000000">
            <w:pPr>
              <w:spacing w:before="0" w:after="0"/>
              <w:rPr>
                <w:color w:val="000000"/>
                <w:sz w:val="20"/>
                <w:szCs w:val="20"/>
              </w:rPr>
            </w:pPr>
            <w:r>
              <w:rPr>
                <w:color w:val="000000"/>
                <w:sz w:val="20"/>
                <w:szCs w:val="20"/>
              </w:rPr>
              <w:t>Male</w:t>
            </w:r>
          </w:p>
        </w:tc>
        <w:tc>
          <w:tcPr>
            <w:tcW w:w="1154" w:type="dxa"/>
            <w:shd w:val="clear" w:color="auto" w:fill="auto"/>
            <w:vAlign w:val="bottom"/>
          </w:tcPr>
          <w:p w14:paraId="26F399BC" w14:textId="77777777" w:rsidR="00CF6824" w:rsidRDefault="00000000">
            <w:pPr>
              <w:spacing w:before="0" w:after="0"/>
              <w:rPr>
                <w:color w:val="000000"/>
                <w:sz w:val="20"/>
                <w:szCs w:val="20"/>
              </w:rPr>
            </w:pPr>
            <w:r>
              <w:rPr>
                <w:color w:val="000000"/>
                <w:sz w:val="20"/>
                <w:szCs w:val="20"/>
              </w:rPr>
              <w:t>31-40</w:t>
            </w:r>
          </w:p>
        </w:tc>
        <w:tc>
          <w:tcPr>
            <w:tcW w:w="1134" w:type="dxa"/>
            <w:shd w:val="clear" w:color="auto" w:fill="auto"/>
            <w:vAlign w:val="bottom"/>
          </w:tcPr>
          <w:p w14:paraId="6A5D9298" w14:textId="77777777" w:rsidR="00CF6824" w:rsidRDefault="00000000">
            <w:pPr>
              <w:spacing w:before="0" w:after="0"/>
              <w:rPr>
                <w:color w:val="000000"/>
                <w:sz w:val="20"/>
                <w:szCs w:val="20"/>
              </w:rPr>
            </w:pPr>
            <w:r>
              <w:rPr>
                <w:color w:val="000000"/>
                <w:sz w:val="20"/>
                <w:szCs w:val="20"/>
              </w:rPr>
              <w:t>12,00</w:t>
            </w:r>
          </w:p>
        </w:tc>
      </w:tr>
      <w:tr w:rsidR="00CF6824" w14:paraId="2B327D13" w14:textId="77777777">
        <w:trPr>
          <w:trHeight w:val="300"/>
          <w:jc w:val="center"/>
        </w:trPr>
        <w:tc>
          <w:tcPr>
            <w:tcW w:w="973" w:type="dxa"/>
            <w:shd w:val="clear" w:color="auto" w:fill="auto"/>
            <w:vAlign w:val="bottom"/>
          </w:tcPr>
          <w:p w14:paraId="479E0AD2" w14:textId="77777777" w:rsidR="00CF6824" w:rsidRDefault="00000000">
            <w:pPr>
              <w:spacing w:before="0" w:after="0"/>
              <w:rPr>
                <w:color w:val="000000"/>
                <w:sz w:val="20"/>
                <w:szCs w:val="20"/>
              </w:rPr>
            </w:pPr>
            <w:r>
              <w:rPr>
                <w:color w:val="000000"/>
                <w:sz w:val="20"/>
                <w:szCs w:val="20"/>
              </w:rPr>
              <w:t>Male</w:t>
            </w:r>
          </w:p>
        </w:tc>
        <w:tc>
          <w:tcPr>
            <w:tcW w:w="1154" w:type="dxa"/>
            <w:shd w:val="clear" w:color="auto" w:fill="auto"/>
            <w:vAlign w:val="bottom"/>
          </w:tcPr>
          <w:p w14:paraId="1511E42C" w14:textId="77777777" w:rsidR="00CF6824" w:rsidRDefault="00000000">
            <w:pPr>
              <w:spacing w:before="0" w:after="0"/>
              <w:rPr>
                <w:color w:val="000000"/>
                <w:sz w:val="20"/>
                <w:szCs w:val="20"/>
              </w:rPr>
            </w:pPr>
            <w:r>
              <w:rPr>
                <w:color w:val="000000"/>
                <w:sz w:val="20"/>
                <w:szCs w:val="20"/>
              </w:rPr>
              <w:t>41-64</w:t>
            </w:r>
          </w:p>
        </w:tc>
        <w:tc>
          <w:tcPr>
            <w:tcW w:w="1134" w:type="dxa"/>
            <w:shd w:val="clear" w:color="auto" w:fill="auto"/>
            <w:vAlign w:val="bottom"/>
          </w:tcPr>
          <w:p w14:paraId="6A6B2334" w14:textId="77777777" w:rsidR="00CF6824" w:rsidRDefault="00000000">
            <w:pPr>
              <w:spacing w:before="0" w:after="0"/>
              <w:rPr>
                <w:color w:val="000000"/>
                <w:sz w:val="20"/>
                <w:szCs w:val="20"/>
              </w:rPr>
            </w:pPr>
            <w:r>
              <w:rPr>
                <w:color w:val="000000"/>
                <w:sz w:val="20"/>
                <w:szCs w:val="20"/>
              </w:rPr>
              <w:t>22,32</w:t>
            </w:r>
          </w:p>
        </w:tc>
      </w:tr>
      <w:tr w:rsidR="00CF6824" w14:paraId="09CFCE93" w14:textId="77777777">
        <w:trPr>
          <w:trHeight w:val="300"/>
          <w:jc w:val="center"/>
        </w:trPr>
        <w:tc>
          <w:tcPr>
            <w:tcW w:w="973" w:type="dxa"/>
            <w:shd w:val="clear" w:color="auto" w:fill="auto"/>
            <w:vAlign w:val="bottom"/>
          </w:tcPr>
          <w:p w14:paraId="4AF50D0E" w14:textId="77777777" w:rsidR="00CF6824" w:rsidRDefault="00000000">
            <w:pPr>
              <w:spacing w:before="0" w:after="0"/>
              <w:rPr>
                <w:color w:val="000000"/>
                <w:sz w:val="20"/>
                <w:szCs w:val="20"/>
              </w:rPr>
            </w:pPr>
            <w:r>
              <w:rPr>
                <w:color w:val="000000"/>
                <w:sz w:val="20"/>
                <w:szCs w:val="20"/>
              </w:rPr>
              <w:t>Female</w:t>
            </w:r>
          </w:p>
        </w:tc>
        <w:tc>
          <w:tcPr>
            <w:tcW w:w="1154" w:type="dxa"/>
            <w:shd w:val="clear" w:color="auto" w:fill="auto"/>
            <w:vAlign w:val="bottom"/>
          </w:tcPr>
          <w:p w14:paraId="3602B30B" w14:textId="77777777" w:rsidR="00CF6824" w:rsidRDefault="00000000">
            <w:pPr>
              <w:spacing w:before="0" w:after="0"/>
              <w:rPr>
                <w:color w:val="000000"/>
                <w:sz w:val="20"/>
                <w:szCs w:val="20"/>
              </w:rPr>
            </w:pPr>
            <w:r>
              <w:rPr>
                <w:color w:val="000000"/>
                <w:sz w:val="20"/>
                <w:szCs w:val="20"/>
              </w:rPr>
              <w:t>18-25</w:t>
            </w:r>
          </w:p>
        </w:tc>
        <w:tc>
          <w:tcPr>
            <w:tcW w:w="1134" w:type="dxa"/>
            <w:shd w:val="clear" w:color="auto" w:fill="auto"/>
            <w:vAlign w:val="bottom"/>
          </w:tcPr>
          <w:p w14:paraId="209B887C" w14:textId="77777777" w:rsidR="00CF6824" w:rsidRDefault="00000000">
            <w:pPr>
              <w:spacing w:before="0" w:after="0"/>
              <w:rPr>
                <w:color w:val="000000"/>
                <w:sz w:val="20"/>
                <w:szCs w:val="20"/>
              </w:rPr>
            </w:pPr>
            <w:r>
              <w:rPr>
                <w:color w:val="000000"/>
                <w:sz w:val="20"/>
                <w:szCs w:val="20"/>
              </w:rPr>
              <w:t>9,55</w:t>
            </w:r>
          </w:p>
        </w:tc>
      </w:tr>
      <w:tr w:rsidR="00CF6824" w14:paraId="789AB123" w14:textId="77777777">
        <w:trPr>
          <w:trHeight w:val="300"/>
          <w:jc w:val="center"/>
        </w:trPr>
        <w:tc>
          <w:tcPr>
            <w:tcW w:w="973" w:type="dxa"/>
            <w:shd w:val="clear" w:color="auto" w:fill="auto"/>
            <w:vAlign w:val="bottom"/>
          </w:tcPr>
          <w:p w14:paraId="0434827F" w14:textId="77777777" w:rsidR="00CF6824" w:rsidRDefault="00000000">
            <w:pPr>
              <w:spacing w:before="0" w:after="0"/>
              <w:rPr>
                <w:color w:val="000000"/>
                <w:sz w:val="20"/>
                <w:szCs w:val="20"/>
              </w:rPr>
            </w:pPr>
            <w:r>
              <w:rPr>
                <w:color w:val="000000"/>
                <w:sz w:val="20"/>
                <w:szCs w:val="20"/>
              </w:rPr>
              <w:t>Female</w:t>
            </w:r>
          </w:p>
        </w:tc>
        <w:tc>
          <w:tcPr>
            <w:tcW w:w="1154" w:type="dxa"/>
            <w:shd w:val="clear" w:color="auto" w:fill="auto"/>
            <w:vAlign w:val="bottom"/>
          </w:tcPr>
          <w:p w14:paraId="6D7EF23D" w14:textId="77777777" w:rsidR="00CF6824" w:rsidRDefault="00000000">
            <w:pPr>
              <w:spacing w:before="0" w:after="0"/>
              <w:rPr>
                <w:color w:val="000000"/>
                <w:sz w:val="20"/>
                <w:szCs w:val="20"/>
              </w:rPr>
            </w:pPr>
            <w:r>
              <w:rPr>
                <w:color w:val="000000"/>
                <w:sz w:val="20"/>
                <w:szCs w:val="20"/>
              </w:rPr>
              <w:t>26-30</w:t>
            </w:r>
          </w:p>
        </w:tc>
        <w:tc>
          <w:tcPr>
            <w:tcW w:w="1134" w:type="dxa"/>
            <w:shd w:val="clear" w:color="auto" w:fill="auto"/>
            <w:vAlign w:val="bottom"/>
          </w:tcPr>
          <w:p w14:paraId="3A1FFF87" w14:textId="77777777" w:rsidR="00CF6824" w:rsidRDefault="00000000">
            <w:pPr>
              <w:spacing w:before="0" w:after="0"/>
              <w:rPr>
                <w:color w:val="000000"/>
                <w:sz w:val="20"/>
                <w:szCs w:val="20"/>
              </w:rPr>
            </w:pPr>
            <w:r>
              <w:rPr>
                <w:color w:val="000000"/>
                <w:sz w:val="20"/>
                <w:szCs w:val="20"/>
              </w:rPr>
              <w:t>5,87</w:t>
            </w:r>
          </w:p>
        </w:tc>
      </w:tr>
      <w:tr w:rsidR="00CF6824" w14:paraId="1F54A500" w14:textId="77777777">
        <w:trPr>
          <w:trHeight w:val="300"/>
          <w:jc w:val="center"/>
        </w:trPr>
        <w:tc>
          <w:tcPr>
            <w:tcW w:w="973" w:type="dxa"/>
            <w:shd w:val="clear" w:color="auto" w:fill="auto"/>
            <w:vAlign w:val="bottom"/>
          </w:tcPr>
          <w:p w14:paraId="618A7669" w14:textId="77777777" w:rsidR="00CF6824" w:rsidRDefault="00000000">
            <w:pPr>
              <w:spacing w:before="0" w:after="0"/>
              <w:rPr>
                <w:color w:val="000000"/>
                <w:sz w:val="20"/>
                <w:szCs w:val="20"/>
              </w:rPr>
            </w:pPr>
            <w:r>
              <w:rPr>
                <w:color w:val="000000"/>
                <w:sz w:val="20"/>
                <w:szCs w:val="20"/>
              </w:rPr>
              <w:t>Female</w:t>
            </w:r>
          </w:p>
        </w:tc>
        <w:tc>
          <w:tcPr>
            <w:tcW w:w="1154" w:type="dxa"/>
            <w:shd w:val="clear" w:color="auto" w:fill="auto"/>
            <w:vAlign w:val="bottom"/>
          </w:tcPr>
          <w:p w14:paraId="17ED8D2A" w14:textId="77777777" w:rsidR="00CF6824" w:rsidRDefault="00000000">
            <w:pPr>
              <w:spacing w:before="0" w:after="0"/>
              <w:rPr>
                <w:color w:val="000000"/>
                <w:sz w:val="20"/>
                <w:szCs w:val="20"/>
              </w:rPr>
            </w:pPr>
            <w:r>
              <w:rPr>
                <w:color w:val="000000"/>
                <w:sz w:val="20"/>
                <w:szCs w:val="20"/>
              </w:rPr>
              <w:t>31-40</w:t>
            </w:r>
          </w:p>
        </w:tc>
        <w:tc>
          <w:tcPr>
            <w:tcW w:w="1134" w:type="dxa"/>
            <w:shd w:val="clear" w:color="auto" w:fill="auto"/>
            <w:vAlign w:val="bottom"/>
          </w:tcPr>
          <w:p w14:paraId="0F4D30C5" w14:textId="77777777" w:rsidR="00CF6824" w:rsidRDefault="00000000">
            <w:pPr>
              <w:spacing w:before="0" w:after="0"/>
              <w:rPr>
                <w:color w:val="000000"/>
                <w:sz w:val="20"/>
                <w:szCs w:val="20"/>
              </w:rPr>
            </w:pPr>
            <w:r>
              <w:rPr>
                <w:color w:val="000000"/>
                <w:sz w:val="20"/>
                <w:szCs w:val="20"/>
              </w:rPr>
              <w:t>11,82</w:t>
            </w:r>
          </w:p>
        </w:tc>
      </w:tr>
      <w:tr w:rsidR="00CF6824" w14:paraId="0D684FC2" w14:textId="77777777">
        <w:trPr>
          <w:trHeight w:val="300"/>
          <w:jc w:val="center"/>
        </w:trPr>
        <w:tc>
          <w:tcPr>
            <w:tcW w:w="973" w:type="dxa"/>
            <w:shd w:val="clear" w:color="auto" w:fill="auto"/>
            <w:vAlign w:val="bottom"/>
          </w:tcPr>
          <w:p w14:paraId="0D4AA3A8" w14:textId="77777777" w:rsidR="00CF6824" w:rsidRDefault="00000000">
            <w:pPr>
              <w:spacing w:before="0" w:after="0"/>
              <w:rPr>
                <w:color w:val="000000"/>
                <w:sz w:val="20"/>
                <w:szCs w:val="20"/>
              </w:rPr>
            </w:pPr>
            <w:r>
              <w:rPr>
                <w:color w:val="000000"/>
                <w:sz w:val="20"/>
                <w:szCs w:val="20"/>
              </w:rPr>
              <w:t>Female</w:t>
            </w:r>
          </w:p>
        </w:tc>
        <w:tc>
          <w:tcPr>
            <w:tcW w:w="1154" w:type="dxa"/>
            <w:shd w:val="clear" w:color="auto" w:fill="auto"/>
            <w:vAlign w:val="bottom"/>
          </w:tcPr>
          <w:p w14:paraId="03750F6B" w14:textId="77777777" w:rsidR="00CF6824" w:rsidRDefault="00000000">
            <w:pPr>
              <w:spacing w:before="0" w:after="0"/>
              <w:rPr>
                <w:color w:val="000000"/>
                <w:sz w:val="20"/>
                <w:szCs w:val="20"/>
              </w:rPr>
            </w:pPr>
            <w:r>
              <w:rPr>
                <w:color w:val="000000"/>
                <w:sz w:val="20"/>
                <w:szCs w:val="20"/>
              </w:rPr>
              <w:t>41-64</w:t>
            </w:r>
          </w:p>
        </w:tc>
        <w:tc>
          <w:tcPr>
            <w:tcW w:w="1134" w:type="dxa"/>
            <w:shd w:val="clear" w:color="auto" w:fill="auto"/>
            <w:vAlign w:val="bottom"/>
          </w:tcPr>
          <w:p w14:paraId="3CDD35DE" w14:textId="77777777" w:rsidR="00CF6824" w:rsidRDefault="00000000">
            <w:pPr>
              <w:spacing w:before="0" w:after="0"/>
              <w:rPr>
                <w:color w:val="000000"/>
                <w:sz w:val="20"/>
                <w:szCs w:val="20"/>
              </w:rPr>
            </w:pPr>
            <w:r>
              <w:rPr>
                <w:color w:val="000000"/>
                <w:sz w:val="20"/>
                <w:szCs w:val="20"/>
              </w:rPr>
              <w:t>22,65</w:t>
            </w:r>
          </w:p>
        </w:tc>
      </w:tr>
    </w:tbl>
    <w:p w14:paraId="75C86B3D" w14:textId="77777777" w:rsidR="00CF6824" w:rsidRDefault="00CF6824"/>
    <w:tbl>
      <w:tblPr>
        <w:tblStyle w:val="a7"/>
        <w:tblW w:w="4435" w:type="dxa"/>
        <w:jc w:val="center"/>
        <w:tblBorders>
          <w:top w:val="single" w:sz="4" w:space="0" w:color="000000"/>
          <w:bottom w:val="single" w:sz="4" w:space="0" w:color="000000"/>
        </w:tblBorders>
        <w:tblLayout w:type="fixed"/>
        <w:tblLook w:val="0400" w:firstRow="0" w:lastRow="0" w:firstColumn="0" w:lastColumn="0" w:noHBand="0" w:noVBand="1"/>
      </w:tblPr>
      <w:tblGrid>
        <w:gridCol w:w="2552"/>
        <w:gridCol w:w="1883"/>
      </w:tblGrid>
      <w:tr w:rsidR="00CF6824" w14:paraId="0727C322" w14:textId="77777777">
        <w:trPr>
          <w:trHeight w:val="300"/>
          <w:jc w:val="center"/>
        </w:trPr>
        <w:tc>
          <w:tcPr>
            <w:tcW w:w="2552" w:type="dxa"/>
            <w:tcBorders>
              <w:top w:val="single" w:sz="4" w:space="0" w:color="000000"/>
              <w:bottom w:val="single" w:sz="4" w:space="0" w:color="000000"/>
            </w:tcBorders>
            <w:shd w:val="clear" w:color="auto" w:fill="auto"/>
          </w:tcPr>
          <w:p w14:paraId="24C6F1FB" w14:textId="77777777" w:rsidR="00CF6824" w:rsidRDefault="00000000">
            <w:pPr>
              <w:spacing w:before="0" w:after="0"/>
              <w:rPr>
                <w:sz w:val="20"/>
                <w:szCs w:val="20"/>
              </w:rPr>
            </w:pPr>
            <w:r>
              <w:rPr>
                <w:sz w:val="20"/>
                <w:szCs w:val="20"/>
              </w:rPr>
              <w:t>Province</w:t>
            </w:r>
          </w:p>
        </w:tc>
        <w:tc>
          <w:tcPr>
            <w:tcW w:w="1883" w:type="dxa"/>
            <w:tcBorders>
              <w:top w:val="single" w:sz="4" w:space="0" w:color="000000"/>
              <w:bottom w:val="single" w:sz="4" w:space="0" w:color="000000"/>
            </w:tcBorders>
            <w:shd w:val="clear" w:color="auto" w:fill="auto"/>
          </w:tcPr>
          <w:p w14:paraId="7F3DF688" w14:textId="77777777" w:rsidR="00CF6824" w:rsidRDefault="00000000">
            <w:pPr>
              <w:spacing w:before="0" w:after="0"/>
              <w:rPr>
                <w:sz w:val="20"/>
                <w:szCs w:val="20"/>
              </w:rPr>
            </w:pPr>
            <w:r>
              <w:rPr>
                <w:sz w:val="20"/>
                <w:szCs w:val="20"/>
              </w:rPr>
              <w:t>Quota (%)</w:t>
            </w:r>
          </w:p>
        </w:tc>
      </w:tr>
      <w:tr w:rsidR="00CF6824" w14:paraId="3CC966F5" w14:textId="77777777">
        <w:trPr>
          <w:trHeight w:val="300"/>
          <w:jc w:val="center"/>
        </w:trPr>
        <w:tc>
          <w:tcPr>
            <w:tcW w:w="2552" w:type="dxa"/>
            <w:tcBorders>
              <w:top w:val="single" w:sz="4" w:space="0" w:color="000000"/>
            </w:tcBorders>
            <w:shd w:val="clear" w:color="auto" w:fill="auto"/>
            <w:vAlign w:val="bottom"/>
          </w:tcPr>
          <w:p w14:paraId="1B75AF6B" w14:textId="77777777" w:rsidR="00CF6824" w:rsidRDefault="00000000">
            <w:pPr>
              <w:spacing w:before="0" w:after="0"/>
              <w:rPr>
                <w:color w:val="000000"/>
                <w:sz w:val="20"/>
                <w:szCs w:val="20"/>
              </w:rPr>
            </w:pPr>
            <w:r>
              <w:rPr>
                <w:color w:val="000000"/>
                <w:sz w:val="20"/>
                <w:szCs w:val="20"/>
              </w:rPr>
              <w:t>Aceh</w:t>
            </w:r>
          </w:p>
        </w:tc>
        <w:tc>
          <w:tcPr>
            <w:tcW w:w="1883" w:type="dxa"/>
            <w:tcBorders>
              <w:top w:val="single" w:sz="4" w:space="0" w:color="000000"/>
            </w:tcBorders>
            <w:shd w:val="clear" w:color="auto" w:fill="auto"/>
            <w:vAlign w:val="bottom"/>
          </w:tcPr>
          <w:p w14:paraId="0CD75AF7" w14:textId="77777777" w:rsidR="00CF6824" w:rsidRDefault="00000000">
            <w:pPr>
              <w:spacing w:before="0" w:after="0"/>
              <w:rPr>
                <w:color w:val="000000"/>
                <w:sz w:val="20"/>
                <w:szCs w:val="20"/>
              </w:rPr>
            </w:pPr>
            <w:r>
              <w:rPr>
                <w:color w:val="000000"/>
                <w:sz w:val="20"/>
                <w:szCs w:val="20"/>
              </w:rPr>
              <w:t>1,95</w:t>
            </w:r>
          </w:p>
        </w:tc>
      </w:tr>
      <w:tr w:rsidR="00CF6824" w14:paraId="300B4B8E" w14:textId="77777777">
        <w:trPr>
          <w:trHeight w:val="300"/>
          <w:jc w:val="center"/>
        </w:trPr>
        <w:tc>
          <w:tcPr>
            <w:tcW w:w="2552" w:type="dxa"/>
            <w:shd w:val="clear" w:color="auto" w:fill="auto"/>
            <w:vAlign w:val="bottom"/>
          </w:tcPr>
          <w:p w14:paraId="157FABCF" w14:textId="77777777" w:rsidR="00CF6824" w:rsidRDefault="00000000">
            <w:pPr>
              <w:spacing w:before="0" w:after="0"/>
              <w:rPr>
                <w:color w:val="000000"/>
                <w:sz w:val="20"/>
                <w:szCs w:val="20"/>
              </w:rPr>
            </w:pPr>
            <w:r>
              <w:rPr>
                <w:color w:val="000000"/>
                <w:sz w:val="20"/>
                <w:szCs w:val="20"/>
              </w:rPr>
              <w:t>Sumatera Utara</w:t>
            </w:r>
          </w:p>
        </w:tc>
        <w:tc>
          <w:tcPr>
            <w:tcW w:w="1883" w:type="dxa"/>
            <w:shd w:val="clear" w:color="auto" w:fill="auto"/>
            <w:vAlign w:val="bottom"/>
          </w:tcPr>
          <w:p w14:paraId="5DEEDFC4" w14:textId="77777777" w:rsidR="00CF6824" w:rsidRDefault="00000000">
            <w:pPr>
              <w:spacing w:before="0" w:after="0"/>
              <w:rPr>
                <w:color w:val="000000"/>
                <w:sz w:val="20"/>
                <w:szCs w:val="20"/>
              </w:rPr>
            </w:pPr>
            <w:r>
              <w:rPr>
                <w:color w:val="000000"/>
                <w:sz w:val="20"/>
                <w:szCs w:val="20"/>
              </w:rPr>
              <w:t>5,28</w:t>
            </w:r>
          </w:p>
        </w:tc>
      </w:tr>
      <w:tr w:rsidR="00CF6824" w14:paraId="3913D9CA" w14:textId="77777777">
        <w:trPr>
          <w:trHeight w:val="300"/>
          <w:jc w:val="center"/>
        </w:trPr>
        <w:tc>
          <w:tcPr>
            <w:tcW w:w="2552" w:type="dxa"/>
            <w:shd w:val="clear" w:color="auto" w:fill="auto"/>
            <w:vAlign w:val="bottom"/>
          </w:tcPr>
          <w:p w14:paraId="3C5E48E6" w14:textId="77777777" w:rsidR="00CF6824" w:rsidRDefault="00000000">
            <w:pPr>
              <w:spacing w:before="0" w:after="0"/>
              <w:rPr>
                <w:color w:val="000000"/>
                <w:sz w:val="20"/>
                <w:szCs w:val="20"/>
              </w:rPr>
            </w:pPr>
            <w:r>
              <w:rPr>
                <w:color w:val="000000"/>
                <w:sz w:val="20"/>
                <w:szCs w:val="20"/>
              </w:rPr>
              <w:t>Sumatera Barat</w:t>
            </w:r>
          </w:p>
        </w:tc>
        <w:tc>
          <w:tcPr>
            <w:tcW w:w="1883" w:type="dxa"/>
            <w:shd w:val="clear" w:color="auto" w:fill="auto"/>
            <w:vAlign w:val="bottom"/>
          </w:tcPr>
          <w:p w14:paraId="081F6FE2" w14:textId="77777777" w:rsidR="00CF6824" w:rsidRDefault="00000000">
            <w:pPr>
              <w:spacing w:before="0" w:after="0"/>
              <w:rPr>
                <w:color w:val="000000"/>
                <w:sz w:val="20"/>
                <w:szCs w:val="20"/>
              </w:rPr>
            </w:pPr>
            <w:r>
              <w:rPr>
                <w:color w:val="000000"/>
                <w:sz w:val="20"/>
                <w:szCs w:val="20"/>
              </w:rPr>
              <w:t>1,96</w:t>
            </w:r>
          </w:p>
        </w:tc>
      </w:tr>
      <w:tr w:rsidR="00CF6824" w14:paraId="7933354A" w14:textId="77777777">
        <w:trPr>
          <w:trHeight w:val="300"/>
          <w:jc w:val="center"/>
        </w:trPr>
        <w:tc>
          <w:tcPr>
            <w:tcW w:w="2552" w:type="dxa"/>
            <w:shd w:val="clear" w:color="auto" w:fill="auto"/>
            <w:vAlign w:val="bottom"/>
          </w:tcPr>
          <w:p w14:paraId="4996E60F" w14:textId="77777777" w:rsidR="00CF6824" w:rsidRDefault="00000000">
            <w:pPr>
              <w:spacing w:before="0" w:after="0"/>
              <w:rPr>
                <w:color w:val="000000"/>
                <w:sz w:val="20"/>
                <w:szCs w:val="20"/>
              </w:rPr>
            </w:pPr>
            <w:r>
              <w:rPr>
                <w:color w:val="000000"/>
                <w:sz w:val="20"/>
                <w:szCs w:val="20"/>
              </w:rPr>
              <w:t>Riau</w:t>
            </w:r>
          </w:p>
        </w:tc>
        <w:tc>
          <w:tcPr>
            <w:tcW w:w="1883" w:type="dxa"/>
            <w:shd w:val="clear" w:color="auto" w:fill="auto"/>
            <w:vAlign w:val="bottom"/>
          </w:tcPr>
          <w:p w14:paraId="3D04B8D2" w14:textId="77777777" w:rsidR="00CF6824" w:rsidRDefault="00000000">
            <w:pPr>
              <w:spacing w:before="0" w:after="0"/>
              <w:rPr>
                <w:color w:val="000000"/>
                <w:sz w:val="20"/>
                <w:szCs w:val="20"/>
              </w:rPr>
            </w:pPr>
            <w:r>
              <w:rPr>
                <w:color w:val="000000"/>
                <w:sz w:val="20"/>
                <w:szCs w:val="20"/>
              </w:rPr>
              <w:t>2,57</w:t>
            </w:r>
          </w:p>
        </w:tc>
      </w:tr>
      <w:tr w:rsidR="00CF6824" w14:paraId="5DB76453" w14:textId="77777777">
        <w:trPr>
          <w:trHeight w:val="300"/>
          <w:jc w:val="center"/>
        </w:trPr>
        <w:tc>
          <w:tcPr>
            <w:tcW w:w="2552" w:type="dxa"/>
            <w:shd w:val="clear" w:color="auto" w:fill="auto"/>
            <w:vAlign w:val="bottom"/>
          </w:tcPr>
          <w:p w14:paraId="3C905264" w14:textId="77777777" w:rsidR="00CF6824" w:rsidRDefault="00000000">
            <w:pPr>
              <w:spacing w:before="0" w:after="0"/>
              <w:rPr>
                <w:color w:val="000000"/>
                <w:sz w:val="20"/>
                <w:szCs w:val="20"/>
              </w:rPr>
            </w:pPr>
            <w:r>
              <w:rPr>
                <w:color w:val="000000"/>
                <w:sz w:val="20"/>
                <w:szCs w:val="20"/>
              </w:rPr>
              <w:t>Jambi</w:t>
            </w:r>
          </w:p>
        </w:tc>
        <w:tc>
          <w:tcPr>
            <w:tcW w:w="1883" w:type="dxa"/>
            <w:shd w:val="clear" w:color="auto" w:fill="auto"/>
            <w:vAlign w:val="bottom"/>
          </w:tcPr>
          <w:p w14:paraId="07B59F92" w14:textId="77777777" w:rsidR="00CF6824" w:rsidRDefault="00000000">
            <w:pPr>
              <w:spacing w:before="0" w:after="0"/>
              <w:rPr>
                <w:color w:val="000000"/>
                <w:sz w:val="20"/>
                <w:szCs w:val="20"/>
              </w:rPr>
            </w:pPr>
            <w:r>
              <w:rPr>
                <w:color w:val="000000"/>
                <w:sz w:val="20"/>
                <w:szCs w:val="20"/>
              </w:rPr>
              <w:t>1,34</w:t>
            </w:r>
          </w:p>
        </w:tc>
      </w:tr>
      <w:tr w:rsidR="00CF6824" w14:paraId="6CE6A3D9" w14:textId="77777777">
        <w:trPr>
          <w:trHeight w:val="300"/>
          <w:jc w:val="center"/>
        </w:trPr>
        <w:tc>
          <w:tcPr>
            <w:tcW w:w="2552" w:type="dxa"/>
            <w:shd w:val="clear" w:color="auto" w:fill="auto"/>
            <w:vAlign w:val="bottom"/>
          </w:tcPr>
          <w:p w14:paraId="5F90BE82" w14:textId="77777777" w:rsidR="00CF6824" w:rsidRDefault="00000000">
            <w:pPr>
              <w:spacing w:before="0" w:after="0"/>
              <w:rPr>
                <w:color w:val="000000"/>
                <w:sz w:val="20"/>
                <w:szCs w:val="20"/>
              </w:rPr>
            </w:pPr>
            <w:r>
              <w:rPr>
                <w:color w:val="000000"/>
                <w:sz w:val="20"/>
                <w:szCs w:val="20"/>
              </w:rPr>
              <w:t>Sumatera Selatan</w:t>
            </w:r>
          </w:p>
        </w:tc>
        <w:tc>
          <w:tcPr>
            <w:tcW w:w="1883" w:type="dxa"/>
            <w:shd w:val="clear" w:color="auto" w:fill="auto"/>
            <w:vAlign w:val="bottom"/>
          </w:tcPr>
          <w:p w14:paraId="4EE972D1" w14:textId="77777777" w:rsidR="00CF6824" w:rsidRDefault="00000000">
            <w:pPr>
              <w:spacing w:before="0" w:after="0"/>
              <w:rPr>
                <w:color w:val="000000"/>
                <w:sz w:val="20"/>
                <w:szCs w:val="20"/>
              </w:rPr>
            </w:pPr>
            <w:r>
              <w:rPr>
                <w:color w:val="000000"/>
                <w:sz w:val="20"/>
                <w:szCs w:val="20"/>
              </w:rPr>
              <w:t>3,14</w:t>
            </w:r>
          </w:p>
        </w:tc>
      </w:tr>
      <w:tr w:rsidR="00CF6824" w14:paraId="284BEE4B" w14:textId="77777777">
        <w:trPr>
          <w:trHeight w:val="300"/>
          <w:jc w:val="center"/>
        </w:trPr>
        <w:tc>
          <w:tcPr>
            <w:tcW w:w="2552" w:type="dxa"/>
            <w:shd w:val="clear" w:color="auto" w:fill="auto"/>
            <w:vAlign w:val="bottom"/>
          </w:tcPr>
          <w:p w14:paraId="6728B98F" w14:textId="77777777" w:rsidR="00CF6824" w:rsidRDefault="00000000">
            <w:pPr>
              <w:spacing w:before="0" w:after="0"/>
              <w:rPr>
                <w:color w:val="000000"/>
                <w:sz w:val="20"/>
                <w:szCs w:val="20"/>
              </w:rPr>
            </w:pPr>
            <w:r>
              <w:rPr>
                <w:color w:val="000000"/>
                <w:sz w:val="20"/>
                <w:szCs w:val="20"/>
              </w:rPr>
              <w:t>Bengkulu</w:t>
            </w:r>
          </w:p>
        </w:tc>
        <w:tc>
          <w:tcPr>
            <w:tcW w:w="1883" w:type="dxa"/>
            <w:shd w:val="clear" w:color="auto" w:fill="auto"/>
            <w:vAlign w:val="bottom"/>
          </w:tcPr>
          <w:p w14:paraId="20639B5C" w14:textId="77777777" w:rsidR="00CF6824" w:rsidRDefault="00000000">
            <w:pPr>
              <w:spacing w:before="0" w:after="0"/>
              <w:rPr>
                <w:color w:val="000000"/>
                <w:sz w:val="20"/>
                <w:szCs w:val="20"/>
              </w:rPr>
            </w:pPr>
            <w:r>
              <w:rPr>
                <w:color w:val="000000"/>
                <w:sz w:val="20"/>
                <w:szCs w:val="20"/>
              </w:rPr>
              <w:t>0,75</w:t>
            </w:r>
          </w:p>
        </w:tc>
      </w:tr>
      <w:tr w:rsidR="00CF6824" w14:paraId="1759B42A" w14:textId="77777777">
        <w:trPr>
          <w:trHeight w:val="300"/>
          <w:jc w:val="center"/>
        </w:trPr>
        <w:tc>
          <w:tcPr>
            <w:tcW w:w="2552" w:type="dxa"/>
            <w:shd w:val="clear" w:color="auto" w:fill="auto"/>
            <w:vAlign w:val="bottom"/>
          </w:tcPr>
          <w:p w14:paraId="04016CDF" w14:textId="77777777" w:rsidR="00CF6824" w:rsidRDefault="00000000">
            <w:pPr>
              <w:spacing w:before="0" w:after="0"/>
              <w:rPr>
                <w:color w:val="000000"/>
                <w:sz w:val="20"/>
                <w:szCs w:val="20"/>
              </w:rPr>
            </w:pPr>
            <w:r>
              <w:rPr>
                <w:color w:val="000000"/>
                <w:sz w:val="20"/>
                <w:szCs w:val="20"/>
              </w:rPr>
              <w:t>Lampung</w:t>
            </w:r>
          </w:p>
        </w:tc>
        <w:tc>
          <w:tcPr>
            <w:tcW w:w="1883" w:type="dxa"/>
            <w:shd w:val="clear" w:color="auto" w:fill="auto"/>
            <w:vAlign w:val="bottom"/>
          </w:tcPr>
          <w:p w14:paraId="45BA4E46" w14:textId="77777777" w:rsidR="00CF6824" w:rsidRDefault="00000000">
            <w:pPr>
              <w:spacing w:before="0" w:after="0"/>
              <w:rPr>
                <w:color w:val="000000"/>
                <w:sz w:val="20"/>
                <w:szCs w:val="20"/>
              </w:rPr>
            </w:pPr>
            <w:r>
              <w:rPr>
                <w:color w:val="000000"/>
                <w:sz w:val="20"/>
                <w:szCs w:val="20"/>
              </w:rPr>
              <w:t>3,14</w:t>
            </w:r>
          </w:p>
        </w:tc>
      </w:tr>
      <w:tr w:rsidR="00CF6824" w14:paraId="1597589B" w14:textId="77777777">
        <w:trPr>
          <w:trHeight w:val="300"/>
          <w:jc w:val="center"/>
        </w:trPr>
        <w:tc>
          <w:tcPr>
            <w:tcW w:w="2552" w:type="dxa"/>
            <w:shd w:val="clear" w:color="auto" w:fill="auto"/>
            <w:vAlign w:val="bottom"/>
          </w:tcPr>
          <w:p w14:paraId="676175D7" w14:textId="77777777" w:rsidR="00CF6824" w:rsidRDefault="00000000">
            <w:pPr>
              <w:spacing w:before="0" w:after="0"/>
              <w:rPr>
                <w:color w:val="000000"/>
                <w:sz w:val="20"/>
                <w:szCs w:val="20"/>
              </w:rPr>
            </w:pPr>
            <w:proofErr w:type="spellStart"/>
            <w:r>
              <w:rPr>
                <w:color w:val="000000"/>
                <w:sz w:val="20"/>
                <w:szCs w:val="20"/>
              </w:rPr>
              <w:t>Kepulauan</w:t>
            </w:r>
            <w:proofErr w:type="spellEnd"/>
            <w:r>
              <w:rPr>
                <w:color w:val="000000"/>
                <w:sz w:val="20"/>
                <w:szCs w:val="20"/>
              </w:rPr>
              <w:t xml:space="preserve"> Bangka Belitung</w:t>
            </w:r>
          </w:p>
        </w:tc>
        <w:tc>
          <w:tcPr>
            <w:tcW w:w="1883" w:type="dxa"/>
            <w:shd w:val="clear" w:color="auto" w:fill="auto"/>
            <w:vAlign w:val="bottom"/>
          </w:tcPr>
          <w:p w14:paraId="20F296FE" w14:textId="77777777" w:rsidR="00CF6824" w:rsidRDefault="00000000">
            <w:pPr>
              <w:spacing w:before="0" w:after="0"/>
              <w:rPr>
                <w:color w:val="000000"/>
                <w:sz w:val="20"/>
                <w:szCs w:val="20"/>
              </w:rPr>
            </w:pPr>
            <w:r>
              <w:rPr>
                <w:color w:val="000000"/>
                <w:sz w:val="20"/>
                <w:szCs w:val="20"/>
              </w:rPr>
              <w:t>0,55</w:t>
            </w:r>
          </w:p>
        </w:tc>
      </w:tr>
      <w:tr w:rsidR="00CF6824" w14:paraId="0CAB1233" w14:textId="77777777">
        <w:trPr>
          <w:trHeight w:val="300"/>
          <w:jc w:val="center"/>
        </w:trPr>
        <w:tc>
          <w:tcPr>
            <w:tcW w:w="2552" w:type="dxa"/>
            <w:shd w:val="clear" w:color="auto" w:fill="auto"/>
            <w:vAlign w:val="bottom"/>
          </w:tcPr>
          <w:p w14:paraId="6A2EECFA" w14:textId="77777777" w:rsidR="00CF6824" w:rsidRDefault="00000000">
            <w:pPr>
              <w:spacing w:before="0" w:after="0"/>
              <w:rPr>
                <w:color w:val="000000"/>
                <w:sz w:val="20"/>
                <w:szCs w:val="20"/>
              </w:rPr>
            </w:pPr>
            <w:proofErr w:type="spellStart"/>
            <w:r>
              <w:rPr>
                <w:color w:val="000000"/>
                <w:sz w:val="20"/>
                <w:szCs w:val="20"/>
              </w:rPr>
              <w:t>Kepulauan</w:t>
            </w:r>
            <w:proofErr w:type="spellEnd"/>
            <w:r>
              <w:rPr>
                <w:color w:val="000000"/>
                <w:sz w:val="20"/>
                <w:szCs w:val="20"/>
              </w:rPr>
              <w:t xml:space="preserve"> Riau</w:t>
            </w:r>
          </w:p>
        </w:tc>
        <w:tc>
          <w:tcPr>
            <w:tcW w:w="1883" w:type="dxa"/>
            <w:shd w:val="clear" w:color="auto" w:fill="auto"/>
            <w:vAlign w:val="bottom"/>
          </w:tcPr>
          <w:p w14:paraId="25461547" w14:textId="77777777" w:rsidR="00CF6824" w:rsidRDefault="00000000">
            <w:pPr>
              <w:spacing w:before="0" w:after="0"/>
              <w:rPr>
                <w:color w:val="000000"/>
                <w:sz w:val="20"/>
                <w:szCs w:val="20"/>
              </w:rPr>
            </w:pPr>
            <w:r>
              <w:rPr>
                <w:color w:val="000000"/>
                <w:sz w:val="20"/>
                <w:szCs w:val="20"/>
              </w:rPr>
              <w:t>0,92</w:t>
            </w:r>
          </w:p>
        </w:tc>
      </w:tr>
      <w:tr w:rsidR="00CF6824" w14:paraId="797D631A" w14:textId="77777777">
        <w:trPr>
          <w:trHeight w:val="300"/>
          <w:jc w:val="center"/>
        </w:trPr>
        <w:tc>
          <w:tcPr>
            <w:tcW w:w="2552" w:type="dxa"/>
            <w:shd w:val="clear" w:color="auto" w:fill="auto"/>
            <w:vAlign w:val="bottom"/>
          </w:tcPr>
          <w:p w14:paraId="19E5D3FF" w14:textId="77777777" w:rsidR="00CF6824" w:rsidRDefault="00000000">
            <w:pPr>
              <w:spacing w:before="0" w:after="0"/>
              <w:rPr>
                <w:color w:val="000000"/>
                <w:sz w:val="20"/>
                <w:szCs w:val="20"/>
              </w:rPr>
            </w:pPr>
            <w:r>
              <w:rPr>
                <w:color w:val="000000"/>
                <w:sz w:val="20"/>
                <w:szCs w:val="20"/>
              </w:rPr>
              <w:t>DKI Jakarta</w:t>
            </w:r>
          </w:p>
        </w:tc>
        <w:tc>
          <w:tcPr>
            <w:tcW w:w="1883" w:type="dxa"/>
            <w:shd w:val="clear" w:color="auto" w:fill="auto"/>
            <w:vAlign w:val="bottom"/>
          </w:tcPr>
          <w:p w14:paraId="21028A39" w14:textId="77777777" w:rsidR="00CF6824" w:rsidRDefault="00000000">
            <w:pPr>
              <w:spacing w:before="0" w:after="0"/>
              <w:rPr>
                <w:color w:val="000000"/>
                <w:sz w:val="20"/>
                <w:szCs w:val="20"/>
              </w:rPr>
            </w:pPr>
            <w:r>
              <w:rPr>
                <w:color w:val="000000"/>
                <w:sz w:val="20"/>
                <w:szCs w:val="20"/>
              </w:rPr>
              <w:t>4,10</w:t>
            </w:r>
          </w:p>
        </w:tc>
      </w:tr>
      <w:tr w:rsidR="00CF6824" w14:paraId="2424EC4C" w14:textId="77777777">
        <w:trPr>
          <w:trHeight w:val="300"/>
          <w:jc w:val="center"/>
        </w:trPr>
        <w:tc>
          <w:tcPr>
            <w:tcW w:w="2552" w:type="dxa"/>
            <w:shd w:val="clear" w:color="auto" w:fill="auto"/>
            <w:vAlign w:val="bottom"/>
          </w:tcPr>
          <w:p w14:paraId="5A4FD7B3" w14:textId="77777777" w:rsidR="00CF6824" w:rsidRDefault="00000000">
            <w:pPr>
              <w:spacing w:before="0" w:after="0"/>
              <w:rPr>
                <w:color w:val="000000"/>
                <w:sz w:val="20"/>
                <w:szCs w:val="20"/>
              </w:rPr>
            </w:pPr>
            <w:r>
              <w:rPr>
                <w:color w:val="000000"/>
                <w:sz w:val="20"/>
                <w:szCs w:val="20"/>
              </w:rPr>
              <w:t>Jawa Barat</w:t>
            </w:r>
          </w:p>
        </w:tc>
        <w:tc>
          <w:tcPr>
            <w:tcW w:w="1883" w:type="dxa"/>
            <w:shd w:val="clear" w:color="auto" w:fill="auto"/>
            <w:vAlign w:val="bottom"/>
          </w:tcPr>
          <w:p w14:paraId="4412E696" w14:textId="77777777" w:rsidR="00CF6824" w:rsidRDefault="00000000">
            <w:pPr>
              <w:spacing w:before="0" w:after="0"/>
              <w:rPr>
                <w:color w:val="000000"/>
                <w:sz w:val="20"/>
                <w:szCs w:val="20"/>
              </w:rPr>
            </w:pPr>
            <w:r>
              <w:rPr>
                <w:color w:val="000000"/>
                <w:sz w:val="20"/>
                <w:szCs w:val="20"/>
              </w:rPr>
              <w:t>18,61</w:t>
            </w:r>
          </w:p>
        </w:tc>
      </w:tr>
      <w:tr w:rsidR="00CF6824" w14:paraId="1A6CBA3B" w14:textId="77777777">
        <w:trPr>
          <w:trHeight w:val="300"/>
          <w:jc w:val="center"/>
        </w:trPr>
        <w:tc>
          <w:tcPr>
            <w:tcW w:w="2552" w:type="dxa"/>
            <w:shd w:val="clear" w:color="auto" w:fill="auto"/>
            <w:vAlign w:val="bottom"/>
          </w:tcPr>
          <w:p w14:paraId="3789F75A" w14:textId="77777777" w:rsidR="00CF6824" w:rsidRDefault="00000000">
            <w:pPr>
              <w:spacing w:before="0" w:after="0"/>
              <w:rPr>
                <w:color w:val="000000"/>
                <w:sz w:val="20"/>
                <w:szCs w:val="20"/>
              </w:rPr>
            </w:pPr>
            <w:r>
              <w:rPr>
                <w:color w:val="000000"/>
                <w:sz w:val="20"/>
                <w:szCs w:val="20"/>
              </w:rPr>
              <w:t>Jawa Tengah</w:t>
            </w:r>
          </w:p>
        </w:tc>
        <w:tc>
          <w:tcPr>
            <w:tcW w:w="1883" w:type="dxa"/>
            <w:shd w:val="clear" w:color="auto" w:fill="auto"/>
            <w:vAlign w:val="bottom"/>
          </w:tcPr>
          <w:p w14:paraId="42E30612" w14:textId="77777777" w:rsidR="00CF6824" w:rsidRDefault="00000000">
            <w:pPr>
              <w:spacing w:before="0" w:after="0"/>
              <w:rPr>
                <w:color w:val="000000"/>
                <w:sz w:val="20"/>
                <w:szCs w:val="20"/>
              </w:rPr>
            </w:pPr>
            <w:r>
              <w:rPr>
                <w:color w:val="000000"/>
                <w:sz w:val="20"/>
                <w:szCs w:val="20"/>
              </w:rPr>
              <w:t>12,72</w:t>
            </w:r>
          </w:p>
        </w:tc>
      </w:tr>
      <w:tr w:rsidR="00CF6824" w14:paraId="6F430716" w14:textId="77777777">
        <w:trPr>
          <w:trHeight w:val="300"/>
          <w:jc w:val="center"/>
        </w:trPr>
        <w:tc>
          <w:tcPr>
            <w:tcW w:w="2552" w:type="dxa"/>
            <w:shd w:val="clear" w:color="auto" w:fill="auto"/>
            <w:vAlign w:val="bottom"/>
          </w:tcPr>
          <w:p w14:paraId="58312D2B" w14:textId="77777777" w:rsidR="00CF6824" w:rsidRDefault="00000000">
            <w:pPr>
              <w:spacing w:before="0" w:after="0"/>
              <w:rPr>
                <w:color w:val="000000"/>
                <w:sz w:val="20"/>
                <w:szCs w:val="20"/>
              </w:rPr>
            </w:pPr>
            <w:r>
              <w:rPr>
                <w:color w:val="000000"/>
                <w:sz w:val="20"/>
                <w:szCs w:val="20"/>
              </w:rPr>
              <w:t>DI Yogyakarta</w:t>
            </w:r>
          </w:p>
        </w:tc>
        <w:tc>
          <w:tcPr>
            <w:tcW w:w="1883" w:type="dxa"/>
            <w:shd w:val="clear" w:color="auto" w:fill="auto"/>
            <w:vAlign w:val="bottom"/>
          </w:tcPr>
          <w:p w14:paraId="719EAC40" w14:textId="77777777" w:rsidR="00CF6824" w:rsidRDefault="00000000">
            <w:pPr>
              <w:spacing w:before="0" w:after="0"/>
              <w:rPr>
                <w:color w:val="000000"/>
                <w:sz w:val="20"/>
                <w:szCs w:val="20"/>
              </w:rPr>
            </w:pPr>
            <w:r>
              <w:rPr>
                <w:color w:val="000000"/>
                <w:sz w:val="20"/>
                <w:szCs w:val="20"/>
              </w:rPr>
              <w:t>1,50</w:t>
            </w:r>
          </w:p>
        </w:tc>
      </w:tr>
      <w:tr w:rsidR="00CF6824" w14:paraId="1EAB3F23" w14:textId="77777777">
        <w:trPr>
          <w:trHeight w:val="300"/>
          <w:jc w:val="center"/>
        </w:trPr>
        <w:tc>
          <w:tcPr>
            <w:tcW w:w="2552" w:type="dxa"/>
            <w:shd w:val="clear" w:color="auto" w:fill="auto"/>
            <w:vAlign w:val="bottom"/>
          </w:tcPr>
          <w:p w14:paraId="7973D04C" w14:textId="77777777" w:rsidR="00CF6824" w:rsidRDefault="00000000">
            <w:pPr>
              <w:spacing w:before="0" w:after="0"/>
              <w:rPr>
                <w:color w:val="000000"/>
                <w:sz w:val="20"/>
                <w:szCs w:val="20"/>
              </w:rPr>
            </w:pPr>
            <w:r>
              <w:rPr>
                <w:color w:val="000000"/>
                <w:sz w:val="20"/>
                <w:szCs w:val="20"/>
              </w:rPr>
              <w:t>Jawa Timur</w:t>
            </w:r>
          </w:p>
        </w:tc>
        <w:tc>
          <w:tcPr>
            <w:tcW w:w="1883" w:type="dxa"/>
            <w:shd w:val="clear" w:color="auto" w:fill="auto"/>
            <w:vAlign w:val="bottom"/>
          </w:tcPr>
          <w:p w14:paraId="6B0AF6CE" w14:textId="77777777" w:rsidR="00CF6824" w:rsidRDefault="00000000">
            <w:pPr>
              <w:spacing w:before="0" w:after="0"/>
              <w:rPr>
                <w:color w:val="000000"/>
                <w:sz w:val="20"/>
                <w:szCs w:val="20"/>
              </w:rPr>
            </w:pPr>
            <w:r>
              <w:rPr>
                <w:color w:val="000000"/>
                <w:sz w:val="20"/>
                <w:szCs w:val="20"/>
              </w:rPr>
              <w:t>14,96</w:t>
            </w:r>
          </w:p>
        </w:tc>
      </w:tr>
      <w:tr w:rsidR="00CF6824" w14:paraId="49126C5D" w14:textId="77777777">
        <w:trPr>
          <w:trHeight w:val="300"/>
          <w:jc w:val="center"/>
        </w:trPr>
        <w:tc>
          <w:tcPr>
            <w:tcW w:w="2552" w:type="dxa"/>
            <w:shd w:val="clear" w:color="auto" w:fill="auto"/>
            <w:vAlign w:val="bottom"/>
          </w:tcPr>
          <w:p w14:paraId="2AA1F6C3" w14:textId="77777777" w:rsidR="00CF6824" w:rsidRDefault="00000000">
            <w:pPr>
              <w:spacing w:before="0" w:after="0"/>
              <w:rPr>
                <w:color w:val="000000"/>
                <w:sz w:val="20"/>
                <w:szCs w:val="20"/>
              </w:rPr>
            </w:pPr>
            <w:r>
              <w:rPr>
                <w:color w:val="000000"/>
                <w:sz w:val="20"/>
                <w:szCs w:val="20"/>
              </w:rPr>
              <w:t>Banten</w:t>
            </w:r>
          </w:p>
        </w:tc>
        <w:tc>
          <w:tcPr>
            <w:tcW w:w="1883" w:type="dxa"/>
            <w:shd w:val="clear" w:color="auto" w:fill="auto"/>
            <w:vAlign w:val="bottom"/>
          </w:tcPr>
          <w:p w14:paraId="22845089" w14:textId="77777777" w:rsidR="00CF6824" w:rsidRDefault="00000000">
            <w:pPr>
              <w:spacing w:before="0" w:after="0"/>
              <w:rPr>
                <w:color w:val="000000"/>
                <w:sz w:val="20"/>
                <w:szCs w:val="20"/>
              </w:rPr>
            </w:pPr>
            <w:r>
              <w:rPr>
                <w:color w:val="000000"/>
                <w:sz w:val="20"/>
                <w:szCs w:val="20"/>
              </w:rPr>
              <w:t>4,89</w:t>
            </w:r>
          </w:p>
        </w:tc>
      </w:tr>
      <w:tr w:rsidR="00CF6824" w14:paraId="39016574" w14:textId="77777777">
        <w:trPr>
          <w:trHeight w:val="300"/>
          <w:jc w:val="center"/>
        </w:trPr>
        <w:tc>
          <w:tcPr>
            <w:tcW w:w="2552" w:type="dxa"/>
            <w:shd w:val="clear" w:color="auto" w:fill="auto"/>
            <w:vAlign w:val="bottom"/>
          </w:tcPr>
          <w:p w14:paraId="62D40865" w14:textId="77777777" w:rsidR="00CF6824" w:rsidRDefault="00000000">
            <w:pPr>
              <w:spacing w:before="0" w:after="0"/>
              <w:rPr>
                <w:color w:val="000000"/>
                <w:sz w:val="20"/>
                <w:szCs w:val="20"/>
              </w:rPr>
            </w:pPr>
            <w:r>
              <w:rPr>
                <w:color w:val="000000"/>
                <w:sz w:val="20"/>
                <w:szCs w:val="20"/>
              </w:rPr>
              <w:t>Bali</w:t>
            </w:r>
          </w:p>
        </w:tc>
        <w:tc>
          <w:tcPr>
            <w:tcW w:w="1883" w:type="dxa"/>
            <w:shd w:val="clear" w:color="auto" w:fill="auto"/>
            <w:vAlign w:val="bottom"/>
          </w:tcPr>
          <w:p w14:paraId="7B52F802" w14:textId="77777777" w:rsidR="00CF6824" w:rsidRDefault="00000000">
            <w:pPr>
              <w:spacing w:before="0" w:after="0"/>
              <w:rPr>
                <w:color w:val="000000"/>
                <w:sz w:val="20"/>
                <w:szCs w:val="20"/>
              </w:rPr>
            </w:pPr>
            <w:r>
              <w:rPr>
                <w:color w:val="000000"/>
                <w:sz w:val="20"/>
                <w:szCs w:val="20"/>
              </w:rPr>
              <w:t>1,68</w:t>
            </w:r>
          </w:p>
        </w:tc>
      </w:tr>
      <w:tr w:rsidR="00CF6824" w14:paraId="55DB2973" w14:textId="77777777">
        <w:trPr>
          <w:trHeight w:val="300"/>
          <w:jc w:val="center"/>
        </w:trPr>
        <w:tc>
          <w:tcPr>
            <w:tcW w:w="2552" w:type="dxa"/>
            <w:shd w:val="clear" w:color="auto" w:fill="auto"/>
            <w:vAlign w:val="bottom"/>
          </w:tcPr>
          <w:p w14:paraId="059DEF62" w14:textId="77777777" w:rsidR="00CF6824" w:rsidRDefault="00000000">
            <w:pPr>
              <w:spacing w:before="0" w:after="0"/>
              <w:rPr>
                <w:color w:val="000000"/>
                <w:sz w:val="20"/>
                <w:szCs w:val="20"/>
              </w:rPr>
            </w:pPr>
            <w:r>
              <w:rPr>
                <w:color w:val="000000"/>
                <w:sz w:val="20"/>
                <w:szCs w:val="20"/>
              </w:rPr>
              <w:t>Nusa Tenggara Barat</w:t>
            </w:r>
          </w:p>
        </w:tc>
        <w:tc>
          <w:tcPr>
            <w:tcW w:w="1883" w:type="dxa"/>
            <w:shd w:val="clear" w:color="auto" w:fill="auto"/>
            <w:vAlign w:val="bottom"/>
          </w:tcPr>
          <w:p w14:paraId="16F526B8" w14:textId="77777777" w:rsidR="00CF6824" w:rsidRDefault="00000000">
            <w:pPr>
              <w:spacing w:before="0" w:after="0"/>
              <w:rPr>
                <w:color w:val="000000"/>
                <w:sz w:val="20"/>
                <w:szCs w:val="20"/>
              </w:rPr>
            </w:pPr>
            <w:r>
              <w:rPr>
                <w:color w:val="000000"/>
                <w:sz w:val="20"/>
                <w:szCs w:val="20"/>
              </w:rPr>
              <w:t>1,91</w:t>
            </w:r>
          </w:p>
        </w:tc>
      </w:tr>
      <w:tr w:rsidR="00CF6824" w14:paraId="64FB0A61" w14:textId="77777777">
        <w:trPr>
          <w:trHeight w:val="300"/>
          <w:jc w:val="center"/>
        </w:trPr>
        <w:tc>
          <w:tcPr>
            <w:tcW w:w="2552" w:type="dxa"/>
            <w:shd w:val="clear" w:color="auto" w:fill="auto"/>
            <w:vAlign w:val="bottom"/>
          </w:tcPr>
          <w:p w14:paraId="53D1FAFD" w14:textId="77777777" w:rsidR="00CF6824" w:rsidRDefault="00000000">
            <w:pPr>
              <w:spacing w:before="0" w:after="0"/>
              <w:rPr>
                <w:color w:val="000000"/>
                <w:sz w:val="20"/>
                <w:szCs w:val="20"/>
              </w:rPr>
            </w:pPr>
            <w:r>
              <w:rPr>
                <w:color w:val="000000"/>
                <w:sz w:val="20"/>
                <w:szCs w:val="20"/>
              </w:rPr>
              <w:t>Nusa Tenggara Timur</w:t>
            </w:r>
          </w:p>
        </w:tc>
        <w:tc>
          <w:tcPr>
            <w:tcW w:w="1883" w:type="dxa"/>
            <w:shd w:val="clear" w:color="auto" w:fill="auto"/>
            <w:vAlign w:val="bottom"/>
          </w:tcPr>
          <w:p w14:paraId="3996B06D" w14:textId="77777777" w:rsidR="00CF6824" w:rsidRDefault="00000000">
            <w:pPr>
              <w:spacing w:before="0" w:after="0"/>
              <w:rPr>
                <w:color w:val="000000"/>
                <w:sz w:val="20"/>
                <w:szCs w:val="20"/>
              </w:rPr>
            </w:pPr>
            <w:r>
              <w:rPr>
                <w:color w:val="000000"/>
                <w:sz w:val="20"/>
                <w:szCs w:val="20"/>
              </w:rPr>
              <w:t>1,91</w:t>
            </w:r>
          </w:p>
        </w:tc>
      </w:tr>
      <w:tr w:rsidR="00CF6824" w14:paraId="0A304FD0" w14:textId="77777777">
        <w:trPr>
          <w:trHeight w:val="300"/>
          <w:jc w:val="center"/>
        </w:trPr>
        <w:tc>
          <w:tcPr>
            <w:tcW w:w="2552" w:type="dxa"/>
            <w:shd w:val="clear" w:color="auto" w:fill="auto"/>
            <w:vAlign w:val="bottom"/>
          </w:tcPr>
          <w:p w14:paraId="0DCA21B4" w14:textId="77777777" w:rsidR="00CF6824" w:rsidRDefault="00000000">
            <w:pPr>
              <w:spacing w:before="0" w:after="0"/>
              <w:rPr>
                <w:color w:val="000000"/>
                <w:sz w:val="20"/>
                <w:szCs w:val="20"/>
              </w:rPr>
            </w:pPr>
            <w:r>
              <w:rPr>
                <w:color w:val="000000"/>
                <w:sz w:val="20"/>
                <w:szCs w:val="20"/>
              </w:rPr>
              <w:t>Kalimantan Barat</w:t>
            </w:r>
          </w:p>
        </w:tc>
        <w:tc>
          <w:tcPr>
            <w:tcW w:w="1883" w:type="dxa"/>
            <w:shd w:val="clear" w:color="auto" w:fill="auto"/>
            <w:vAlign w:val="bottom"/>
          </w:tcPr>
          <w:p w14:paraId="1E7BB08A" w14:textId="77777777" w:rsidR="00CF6824" w:rsidRDefault="00000000">
            <w:pPr>
              <w:spacing w:before="0" w:after="0"/>
              <w:rPr>
                <w:color w:val="000000"/>
                <w:sz w:val="20"/>
                <w:szCs w:val="20"/>
              </w:rPr>
            </w:pPr>
            <w:r>
              <w:rPr>
                <w:color w:val="000000"/>
                <w:sz w:val="20"/>
                <w:szCs w:val="20"/>
              </w:rPr>
              <w:t>1,90</w:t>
            </w:r>
          </w:p>
        </w:tc>
      </w:tr>
      <w:tr w:rsidR="00CF6824" w14:paraId="0D4D2EDC" w14:textId="77777777">
        <w:trPr>
          <w:trHeight w:val="300"/>
          <w:jc w:val="center"/>
        </w:trPr>
        <w:tc>
          <w:tcPr>
            <w:tcW w:w="2552" w:type="dxa"/>
            <w:shd w:val="clear" w:color="auto" w:fill="auto"/>
            <w:vAlign w:val="bottom"/>
          </w:tcPr>
          <w:p w14:paraId="7A72A272" w14:textId="77777777" w:rsidR="00CF6824" w:rsidRDefault="00000000">
            <w:pPr>
              <w:spacing w:before="0" w:after="0"/>
              <w:rPr>
                <w:color w:val="000000"/>
                <w:sz w:val="20"/>
                <w:szCs w:val="20"/>
              </w:rPr>
            </w:pPr>
            <w:r>
              <w:rPr>
                <w:color w:val="000000"/>
                <w:sz w:val="20"/>
                <w:szCs w:val="20"/>
              </w:rPr>
              <w:t>Kalimantan Tengah</w:t>
            </w:r>
          </w:p>
        </w:tc>
        <w:tc>
          <w:tcPr>
            <w:tcW w:w="1883" w:type="dxa"/>
            <w:shd w:val="clear" w:color="auto" w:fill="auto"/>
            <w:vAlign w:val="bottom"/>
          </w:tcPr>
          <w:p w14:paraId="1ACEDEFC" w14:textId="77777777" w:rsidR="00CF6824" w:rsidRDefault="00000000">
            <w:pPr>
              <w:spacing w:before="0" w:after="0"/>
              <w:rPr>
                <w:color w:val="000000"/>
                <w:sz w:val="20"/>
                <w:szCs w:val="20"/>
              </w:rPr>
            </w:pPr>
            <w:r>
              <w:rPr>
                <w:color w:val="000000"/>
                <w:sz w:val="20"/>
                <w:szCs w:val="20"/>
              </w:rPr>
              <w:t>1,03</w:t>
            </w:r>
          </w:p>
        </w:tc>
      </w:tr>
      <w:tr w:rsidR="00CF6824" w14:paraId="1C400CFA" w14:textId="77777777">
        <w:trPr>
          <w:trHeight w:val="300"/>
          <w:jc w:val="center"/>
        </w:trPr>
        <w:tc>
          <w:tcPr>
            <w:tcW w:w="2552" w:type="dxa"/>
            <w:shd w:val="clear" w:color="auto" w:fill="auto"/>
            <w:vAlign w:val="bottom"/>
          </w:tcPr>
          <w:p w14:paraId="650B6212" w14:textId="77777777" w:rsidR="00CF6824" w:rsidRDefault="00000000">
            <w:pPr>
              <w:spacing w:before="0" w:after="0"/>
              <w:rPr>
                <w:color w:val="000000"/>
                <w:sz w:val="20"/>
                <w:szCs w:val="20"/>
              </w:rPr>
            </w:pPr>
            <w:r>
              <w:rPr>
                <w:color w:val="000000"/>
                <w:sz w:val="20"/>
                <w:szCs w:val="20"/>
              </w:rPr>
              <w:t>Kalimantan Selatan</w:t>
            </w:r>
          </w:p>
        </w:tc>
        <w:tc>
          <w:tcPr>
            <w:tcW w:w="1883" w:type="dxa"/>
            <w:shd w:val="clear" w:color="auto" w:fill="auto"/>
            <w:vAlign w:val="bottom"/>
          </w:tcPr>
          <w:p w14:paraId="00BE3691" w14:textId="77777777" w:rsidR="00CF6824" w:rsidRDefault="00000000">
            <w:pPr>
              <w:spacing w:before="0" w:after="0"/>
              <w:rPr>
                <w:color w:val="000000"/>
                <w:sz w:val="20"/>
                <w:szCs w:val="20"/>
              </w:rPr>
            </w:pPr>
            <w:r>
              <w:rPr>
                <w:color w:val="000000"/>
                <w:sz w:val="20"/>
                <w:szCs w:val="20"/>
              </w:rPr>
              <w:t>1,57</w:t>
            </w:r>
          </w:p>
        </w:tc>
      </w:tr>
      <w:tr w:rsidR="00CF6824" w14:paraId="6B119EB3" w14:textId="77777777">
        <w:trPr>
          <w:trHeight w:val="300"/>
          <w:jc w:val="center"/>
        </w:trPr>
        <w:tc>
          <w:tcPr>
            <w:tcW w:w="2552" w:type="dxa"/>
            <w:shd w:val="clear" w:color="auto" w:fill="auto"/>
            <w:vAlign w:val="bottom"/>
          </w:tcPr>
          <w:p w14:paraId="603EA46B" w14:textId="77777777" w:rsidR="00CF6824" w:rsidRDefault="00000000">
            <w:pPr>
              <w:spacing w:before="0" w:after="0"/>
              <w:rPr>
                <w:color w:val="000000"/>
                <w:sz w:val="20"/>
                <w:szCs w:val="20"/>
              </w:rPr>
            </w:pPr>
            <w:r>
              <w:rPr>
                <w:color w:val="000000"/>
                <w:sz w:val="20"/>
                <w:szCs w:val="20"/>
              </w:rPr>
              <w:t>Kalimantan Timur</w:t>
            </w:r>
          </w:p>
        </w:tc>
        <w:tc>
          <w:tcPr>
            <w:tcW w:w="1883" w:type="dxa"/>
            <w:shd w:val="clear" w:color="auto" w:fill="auto"/>
            <w:vAlign w:val="bottom"/>
          </w:tcPr>
          <w:p w14:paraId="5E367ACB" w14:textId="77777777" w:rsidR="00CF6824" w:rsidRDefault="00000000">
            <w:pPr>
              <w:spacing w:before="0" w:after="0"/>
              <w:rPr>
                <w:color w:val="000000"/>
                <w:sz w:val="20"/>
                <w:szCs w:val="20"/>
              </w:rPr>
            </w:pPr>
            <w:r>
              <w:rPr>
                <w:color w:val="000000"/>
                <w:sz w:val="20"/>
                <w:szCs w:val="20"/>
              </w:rPr>
              <w:t>1,40</w:t>
            </w:r>
          </w:p>
        </w:tc>
      </w:tr>
      <w:tr w:rsidR="00CF6824" w14:paraId="5DE904A9" w14:textId="77777777">
        <w:trPr>
          <w:trHeight w:val="300"/>
          <w:jc w:val="center"/>
        </w:trPr>
        <w:tc>
          <w:tcPr>
            <w:tcW w:w="2552" w:type="dxa"/>
            <w:shd w:val="clear" w:color="auto" w:fill="auto"/>
            <w:vAlign w:val="bottom"/>
          </w:tcPr>
          <w:p w14:paraId="1E023AE1" w14:textId="77777777" w:rsidR="00CF6824" w:rsidRDefault="00000000">
            <w:pPr>
              <w:spacing w:before="0" w:after="0"/>
              <w:rPr>
                <w:color w:val="000000"/>
                <w:sz w:val="20"/>
                <w:szCs w:val="20"/>
              </w:rPr>
            </w:pPr>
            <w:r>
              <w:rPr>
                <w:color w:val="000000"/>
                <w:sz w:val="20"/>
                <w:szCs w:val="20"/>
              </w:rPr>
              <w:t>Kalimantan Utara</w:t>
            </w:r>
          </w:p>
        </w:tc>
        <w:tc>
          <w:tcPr>
            <w:tcW w:w="1883" w:type="dxa"/>
            <w:shd w:val="clear" w:color="auto" w:fill="auto"/>
            <w:vAlign w:val="bottom"/>
          </w:tcPr>
          <w:p w14:paraId="56999B56" w14:textId="77777777" w:rsidR="00CF6824" w:rsidRDefault="00000000">
            <w:pPr>
              <w:spacing w:before="0" w:after="0"/>
              <w:rPr>
                <w:color w:val="000000"/>
                <w:sz w:val="20"/>
                <w:szCs w:val="20"/>
              </w:rPr>
            </w:pPr>
            <w:r>
              <w:rPr>
                <w:color w:val="000000"/>
                <w:sz w:val="20"/>
                <w:szCs w:val="20"/>
              </w:rPr>
              <w:t>0,26</w:t>
            </w:r>
          </w:p>
        </w:tc>
      </w:tr>
      <w:tr w:rsidR="00CF6824" w14:paraId="67F6DBEF" w14:textId="77777777">
        <w:trPr>
          <w:trHeight w:val="300"/>
          <w:jc w:val="center"/>
        </w:trPr>
        <w:tc>
          <w:tcPr>
            <w:tcW w:w="2552" w:type="dxa"/>
            <w:shd w:val="clear" w:color="auto" w:fill="auto"/>
            <w:vAlign w:val="bottom"/>
          </w:tcPr>
          <w:p w14:paraId="4F64C01A" w14:textId="77777777" w:rsidR="00CF6824" w:rsidRDefault="00000000">
            <w:pPr>
              <w:spacing w:before="0" w:after="0"/>
              <w:rPr>
                <w:color w:val="000000"/>
                <w:sz w:val="20"/>
                <w:szCs w:val="20"/>
              </w:rPr>
            </w:pPr>
            <w:r>
              <w:rPr>
                <w:color w:val="000000"/>
                <w:sz w:val="20"/>
                <w:szCs w:val="20"/>
              </w:rPr>
              <w:t>Sulawesi Utara</w:t>
            </w:r>
          </w:p>
        </w:tc>
        <w:tc>
          <w:tcPr>
            <w:tcW w:w="1883" w:type="dxa"/>
            <w:shd w:val="clear" w:color="auto" w:fill="auto"/>
            <w:vAlign w:val="bottom"/>
          </w:tcPr>
          <w:p w14:paraId="672A972F" w14:textId="77777777" w:rsidR="00CF6824" w:rsidRDefault="00000000">
            <w:pPr>
              <w:spacing w:before="0" w:after="0"/>
              <w:rPr>
                <w:color w:val="000000"/>
                <w:sz w:val="20"/>
                <w:szCs w:val="20"/>
              </w:rPr>
            </w:pPr>
            <w:r>
              <w:rPr>
                <w:color w:val="000000"/>
                <w:sz w:val="20"/>
                <w:szCs w:val="20"/>
              </w:rPr>
              <w:t>0,93</w:t>
            </w:r>
          </w:p>
        </w:tc>
      </w:tr>
      <w:tr w:rsidR="00CF6824" w14:paraId="1B48F702" w14:textId="77777777">
        <w:trPr>
          <w:trHeight w:val="300"/>
          <w:jc w:val="center"/>
        </w:trPr>
        <w:tc>
          <w:tcPr>
            <w:tcW w:w="2552" w:type="dxa"/>
            <w:shd w:val="clear" w:color="auto" w:fill="auto"/>
            <w:vAlign w:val="bottom"/>
          </w:tcPr>
          <w:p w14:paraId="04605551" w14:textId="77777777" w:rsidR="00CF6824" w:rsidRDefault="00000000">
            <w:pPr>
              <w:spacing w:before="0" w:after="0"/>
              <w:rPr>
                <w:color w:val="000000"/>
                <w:sz w:val="20"/>
                <w:szCs w:val="20"/>
              </w:rPr>
            </w:pPr>
            <w:r>
              <w:rPr>
                <w:color w:val="000000"/>
                <w:sz w:val="20"/>
                <w:szCs w:val="20"/>
              </w:rPr>
              <w:t>Sulawesi Tengah</w:t>
            </w:r>
          </w:p>
        </w:tc>
        <w:tc>
          <w:tcPr>
            <w:tcW w:w="1883" w:type="dxa"/>
            <w:shd w:val="clear" w:color="auto" w:fill="auto"/>
            <w:vAlign w:val="bottom"/>
          </w:tcPr>
          <w:p w14:paraId="7EB5B0B4" w14:textId="77777777" w:rsidR="00CF6824" w:rsidRDefault="00000000">
            <w:pPr>
              <w:spacing w:before="0" w:after="0"/>
              <w:rPr>
                <w:color w:val="000000"/>
                <w:sz w:val="20"/>
                <w:szCs w:val="20"/>
              </w:rPr>
            </w:pPr>
            <w:r>
              <w:rPr>
                <w:color w:val="000000"/>
                <w:sz w:val="20"/>
                <w:szCs w:val="20"/>
              </w:rPr>
              <w:t>1,14</w:t>
            </w:r>
          </w:p>
        </w:tc>
      </w:tr>
      <w:tr w:rsidR="00CF6824" w14:paraId="284973A6" w14:textId="77777777">
        <w:trPr>
          <w:trHeight w:val="300"/>
          <w:jc w:val="center"/>
        </w:trPr>
        <w:tc>
          <w:tcPr>
            <w:tcW w:w="2552" w:type="dxa"/>
            <w:shd w:val="clear" w:color="auto" w:fill="auto"/>
            <w:vAlign w:val="bottom"/>
          </w:tcPr>
          <w:p w14:paraId="5938C6E4" w14:textId="77777777" w:rsidR="00CF6824" w:rsidRDefault="00000000">
            <w:pPr>
              <w:spacing w:before="0" w:after="0"/>
              <w:rPr>
                <w:color w:val="000000"/>
                <w:sz w:val="20"/>
                <w:szCs w:val="20"/>
              </w:rPr>
            </w:pPr>
            <w:r>
              <w:rPr>
                <w:color w:val="000000"/>
                <w:sz w:val="20"/>
                <w:szCs w:val="20"/>
              </w:rPr>
              <w:t>Sulawesi Selatan</w:t>
            </w:r>
          </w:p>
        </w:tc>
        <w:tc>
          <w:tcPr>
            <w:tcW w:w="1883" w:type="dxa"/>
            <w:shd w:val="clear" w:color="auto" w:fill="auto"/>
            <w:vAlign w:val="bottom"/>
          </w:tcPr>
          <w:p w14:paraId="7232F763" w14:textId="77777777" w:rsidR="00CF6824" w:rsidRDefault="00000000">
            <w:pPr>
              <w:spacing w:before="0" w:after="0"/>
              <w:rPr>
                <w:color w:val="000000"/>
                <w:sz w:val="20"/>
                <w:szCs w:val="20"/>
              </w:rPr>
            </w:pPr>
            <w:r>
              <w:rPr>
                <w:color w:val="000000"/>
                <w:sz w:val="20"/>
                <w:szCs w:val="20"/>
              </w:rPr>
              <w:t>3,25</w:t>
            </w:r>
          </w:p>
        </w:tc>
      </w:tr>
      <w:tr w:rsidR="00CF6824" w14:paraId="1E4AA371" w14:textId="77777777">
        <w:trPr>
          <w:trHeight w:val="300"/>
          <w:jc w:val="center"/>
        </w:trPr>
        <w:tc>
          <w:tcPr>
            <w:tcW w:w="2552" w:type="dxa"/>
            <w:shd w:val="clear" w:color="auto" w:fill="auto"/>
            <w:vAlign w:val="bottom"/>
          </w:tcPr>
          <w:p w14:paraId="24E66353" w14:textId="77777777" w:rsidR="00CF6824" w:rsidRDefault="00000000">
            <w:pPr>
              <w:spacing w:before="0" w:after="0"/>
              <w:rPr>
                <w:color w:val="000000"/>
                <w:sz w:val="20"/>
                <w:szCs w:val="20"/>
              </w:rPr>
            </w:pPr>
            <w:r>
              <w:rPr>
                <w:color w:val="000000"/>
                <w:sz w:val="20"/>
                <w:szCs w:val="20"/>
              </w:rPr>
              <w:t>Sulawesi Tenggara</w:t>
            </w:r>
          </w:p>
        </w:tc>
        <w:tc>
          <w:tcPr>
            <w:tcW w:w="1883" w:type="dxa"/>
            <w:shd w:val="clear" w:color="auto" w:fill="auto"/>
            <w:vAlign w:val="bottom"/>
          </w:tcPr>
          <w:p w14:paraId="357D2D96" w14:textId="77777777" w:rsidR="00CF6824" w:rsidRDefault="00000000">
            <w:pPr>
              <w:spacing w:before="0" w:after="0"/>
              <w:rPr>
                <w:color w:val="000000"/>
                <w:sz w:val="20"/>
                <w:szCs w:val="20"/>
              </w:rPr>
            </w:pPr>
            <w:r>
              <w:rPr>
                <w:color w:val="000000"/>
                <w:sz w:val="20"/>
                <w:szCs w:val="20"/>
              </w:rPr>
              <w:t>0,96</w:t>
            </w:r>
          </w:p>
        </w:tc>
      </w:tr>
      <w:tr w:rsidR="00CF6824" w14:paraId="6AC2AB7E" w14:textId="77777777">
        <w:trPr>
          <w:trHeight w:val="300"/>
          <w:jc w:val="center"/>
        </w:trPr>
        <w:tc>
          <w:tcPr>
            <w:tcW w:w="2552" w:type="dxa"/>
            <w:shd w:val="clear" w:color="auto" w:fill="auto"/>
            <w:vAlign w:val="bottom"/>
          </w:tcPr>
          <w:p w14:paraId="306CF89F" w14:textId="77777777" w:rsidR="00CF6824" w:rsidRDefault="00000000">
            <w:pPr>
              <w:spacing w:before="0" w:after="0"/>
              <w:rPr>
                <w:color w:val="000000"/>
                <w:sz w:val="20"/>
                <w:szCs w:val="20"/>
              </w:rPr>
            </w:pPr>
            <w:r>
              <w:rPr>
                <w:color w:val="000000"/>
                <w:sz w:val="20"/>
                <w:szCs w:val="20"/>
              </w:rPr>
              <w:lastRenderedPageBreak/>
              <w:t>Gorontalo</w:t>
            </w:r>
          </w:p>
        </w:tc>
        <w:tc>
          <w:tcPr>
            <w:tcW w:w="1883" w:type="dxa"/>
            <w:shd w:val="clear" w:color="auto" w:fill="auto"/>
            <w:vAlign w:val="bottom"/>
          </w:tcPr>
          <w:p w14:paraId="5F8ACC0B" w14:textId="77777777" w:rsidR="00CF6824" w:rsidRDefault="00000000">
            <w:pPr>
              <w:spacing w:before="0" w:after="0"/>
              <w:rPr>
                <w:color w:val="000000"/>
                <w:sz w:val="20"/>
                <w:szCs w:val="20"/>
              </w:rPr>
            </w:pPr>
            <w:r>
              <w:rPr>
                <w:color w:val="000000"/>
                <w:sz w:val="20"/>
                <w:szCs w:val="20"/>
              </w:rPr>
              <w:t>0,44</w:t>
            </w:r>
          </w:p>
        </w:tc>
      </w:tr>
      <w:tr w:rsidR="00CF6824" w14:paraId="2068F129" w14:textId="77777777">
        <w:trPr>
          <w:trHeight w:val="300"/>
          <w:jc w:val="center"/>
        </w:trPr>
        <w:tc>
          <w:tcPr>
            <w:tcW w:w="2552" w:type="dxa"/>
            <w:shd w:val="clear" w:color="auto" w:fill="auto"/>
            <w:vAlign w:val="bottom"/>
          </w:tcPr>
          <w:p w14:paraId="4939F762" w14:textId="77777777" w:rsidR="00CF6824" w:rsidRDefault="00000000">
            <w:pPr>
              <w:spacing w:before="0" w:after="0"/>
              <w:rPr>
                <w:color w:val="000000"/>
                <w:sz w:val="20"/>
                <w:szCs w:val="20"/>
              </w:rPr>
            </w:pPr>
            <w:r>
              <w:rPr>
                <w:color w:val="000000"/>
                <w:sz w:val="20"/>
                <w:szCs w:val="20"/>
              </w:rPr>
              <w:t>Sulawesi Barat</w:t>
            </w:r>
          </w:p>
        </w:tc>
        <w:tc>
          <w:tcPr>
            <w:tcW w:w="1883" w:type="dxa"/>
            <w:shd w:val="clear" w:color="auto" w:fill="auto"/>
            <w:vAlign w:val="bottom"/>
          </w:tcPr>
          <w:p w14:paraId="4FD4590C" w14:textId="77777777" w:rsidR="00CF6824" w:rsidRDefault="00000000">
            <w:pPr>
              <w:spacing w:before="0" w:after="0"/>
              <w:rPr>
                <w:color w:val="000000"/>
                <w:sz w:val="20"/>
                <w:szCs w:val="20"/>
              </w:rPr>
            </w:pPr>
            <w:r>
              <w:rPr>
                <w:color w:val="000000"/>
                <w:sz w:val="20"/>
                <w:szCs w:val="20"/>
              </w:rPr>
              <w:t>0,50</w:t>
            </w:r>
          </w:p>
        </w:tc>
      </w:tr>
      <w:tr w:rsidR="00CF6824" w14:paraId="31910080" w14:textId="77777777">
        <w:trPr>
          <w:trHeight w:val="300"/>
          <w:jc w:val="center"/>
        </w:trPr>
        <w:tc>
          <w:tcPr>
            <w:tcW w:w="2552" w:type="dxa"/>
            <w:shd w:val="clear" w:color="auto" w:fill="auto"/>
            <w:vAlign w:val="bottom"/>
          </w:tcPr>
          <w:p w14:paraId="74F87687" w14:textId="77777777" w:rsidR="00CF6824" w:rsidRDefault="00000000">
            <w:pPr>
              <w:spacing w:before="0" w:after="0"/>
              <w:rPr>
                <w:color w:val="000000"/>
                <w:sz w:val="20"/>
                <w:szCs w:val="20"/>
              </w:rPr>
            </w:pPr>
            <w:r>
              <w:rPr>
                <w:color w:val="000000"/>
                <w:sz w:val="20"/>
                <w:szCs w:val="20"/>
              </w:rPr>
              <w:t>Maluku</w:t>
            </w:r>
          </w:p>
        </w:tc>
        <w:tc>
          <w:tcPr>
            <w:tcW w:w="1883" w:type="dxa"/>
            <w:shd w:val="clear" w:color="auto" w:fill="auto"/>
            <w:vAlign w:val="bottom"/>
          </w:tcPr>
          <w:p w14:paraId="7AE80191" w14:textId="77777777" w:rsidR="00CF6824" w:rsidRDefault="00000000">
            <w:pPr>
              <w:spacing w:before="0" w:after="0"/>
              <w:rPr>
                <w:color w:val="000000"/>
                <w:sz w:val="20"/>
                <w:szCs w:val="20"/>
              </w:rPr>
            </w:pPr>
            <w:r>
              <w:rPr>
                <w:color w:val="000000"/>
                <w:sz w:val="20"/>
                <w:szCs w:val="20"/>
              </w:rPr>
              <w:t>0,63</w:t>
            </w:r>
          </w:p>
        </w:tc>
      </w:tr>
      <w:tr w:rsidR="00CF6824" w14:paraId="4C62259F" w14:textId="77777777">
        <w:trPr>
          <w:trHeight w:val="300"/>
          <w:jc w:val="center"/>
        </w:trPr>
        <w:tc>
          <w:tcPr>
            <w:tcW w:w="2552" w:type="dxa"/>
            <w:shd w:val="clear" w:color="auto" w:fill="auto"/>
            <w:vAlign w:val="bottom"/>
          </w:tcPr>
          <w:p w14:paraId="22CD0CD6" w14:textId="77777777" w:rsidR="00CF6824" w:rsidRDefault="00000000">
            <w:pPr>
              <w:spacing w:before="0" w:after="0"/>
              <w:rPr>
                <w:color w:val="000000"/>
                <w:sz w:val="20"/>
                <w:szCs w:val="20"/>
              </w:rPr>
            </w:pPr>
            <w:r>
              <w:rPr>
                <w:color w:val="000000"/>
                <w:sz w:val="20"/>
                <w:szCs w:val="20"/>
              </w:rPr>
              <w:t>Maluku Utara</w:t>
            </w:r>
          </w:p>
        </w:tc>
        <w:tc>
          <w:tcPr>
            <w:tcW w:w="1883" w:type="dxa"/>
            <w:shd w:val="clear" w:color="auto" w:fill="auto"/>
            <w:vAlign w:val="bottom"/>
          </w:tcPr>
          <w:p w14:paraId="2F723B85" w14:textId="77777777" w:rsidR="00CF6824" w:rsidRDefault="00000000">
            <w:pPr>
              <w:spacing w:before="0" w:after="0"/>
              <w:rPr>
                <w:color w:val="000000"/>
                <w:sz w:val="20"/>
                <w:szCs w:val="20"/>
              </w:rPr>
            </w:pPr>
            <w:r>
              <w:rPr>
                <w:color w:val="000000"/>
                <w:sz w:val="20"/>
                <w:szCs w:val="20"/>
              </w:rPr>
              <w:t>0,46</w:t>
            </w:r>
          </w:p>
        </w:tc>
      </w:tr>
      <w:tr w:rsidR="00CF6824" w14:paraId="61664002" w14:textId="77777777">
        <w:trPr>
          <w:trHeight w:val="300"/>
          <w:jc w:val="center"/>
        </w:trPr>
        <w:tc>
          <w:tcPr>
            <w:tcW w:w="2552" w:type="dxa"/>
            <w:shd w:val="clear" w:color="auto" w:fill="auto"/>
            <w:vAlign w:val="bottom"/>
          </w:tcPr>
          <w:p w14:paraId="6C4A2977" w14:textId="77777777" w:rsidR="00CF6824" w:rsidRDefault="00000000">
            <w:pPr>
              <w:spacing w:before="0" w:after="0"/>
              <w:rPr>
                <w:color w:val="000000"/>
                <w:sz w:val="20"/>
                <w:szCs w:val="20"/>
              </w:rPr>
            </w:pPr>
            <w:r>
              <w:rPr>
                <w:color w:val="000000"/>
                <w:sz w:val="20"/>
                <w:szCs w:val="20"/>
              </w:rPr>
              <w:t>Papua Barat</w:t>
            </w:r>
          </w:p>
        </w:tc>
        <w:tc>
          <w:tcPr>
            <w:tcW w:w="1883" w:type="dxa"/>
            <w:shd w:val="clear" w:color="auto" w:fill="auto"/>
            <w:vAlign w:val="bottom"/>
          </w:tcPr>
          <w:p w14:paraId="742598DD" w14:textId="77777777" w:rsidR="00CF6824" w:rsidRDefault="00000000">
            <w:pPr>
              <w:spacing w:before="0" w:after="0"/>
              <w:rPr>
                <w:color w:val="000000"/>
                <w:sz w:val="20"/>
                <w:szCs w:val="20"/>
              </w:rPr>
            </w:pPr>
            <w:r>
              <w:rPr>
                <w:color w:val="000000"/>
                <w:sz w:val="20"/>
                <w:szCs w:val="20"/>
              </w:rPr>
              <w:t>0,37</w:t>
            </w:r>
          </w:p>
        </w:tc>
      </w:tr>
      <w:tr w:rsidR="00CF6824" w14:paraId="669E011A" w14:textId="77777777">
        <w:trPr>
          <w:trHeight w:val="300"/>
          <w:jc w:val="center"/>
        </w:trPr>
        <w:tc>
          <w:tcPr>
            <w:tcW w:w="2552" w:type="dxa"/>
            <w:shd w:val="clear" w:color="auto" w:fill="auto"/>
            <w:vAlign w:val="bottom"/>
          </w:tcPr>
          <w:p w14:paraId="2AB271F5" w14:textId="77777777" w:rsidR="00CF6824" w:rsidRDefault="00000000">
            <w:pPr>
              <w:spacing w:before="0" w:after="0"/>
              <w:rPr>
                <w:color w:val="000000"/>
                <w:sz w:val="20"/>
                <w:szCs w:val="20"/>
              </w:rPr>
            </w:pPr>
            <w:r>
              <w:rPr>
                <w:color w:val="000000"/>
                <w:sz w:val="20"/>
                <w:szCs w:val="20"/>
              </w:rPr>
              <w:t>Papua</w:t>
            </w:r>
          </w:p>
        </w:tc>
        <w:tc>
          <w:tcPr>
            <w:tcW w:w="1883" w:type="dxa"/>
            <w:shd w:val="clear" w:color="auto" w:fill="auto"/>
            <w:vAlign w:val="bottom"/>
          </w:tcPr>
          <w:p w14:paraId="1ACA86B1" w14:textId="77777777" w:rsidR="00CF6824" w:rsidRDefault="00000000">
            <w:pPr>
              <w:spacing w:before="0" w:after="0"/>
              <w:rPr>
                <w:color w:val="000000"/>
                <w:sz w:val="20"/>
                <w:szCs w:val="20"/>
              </w:rPr>
            </w:pPr>
            <w:r>
              <w:rPr>
                <w:color w:val="000000"/>
                <w:sz w:val="20"/>
                <w:szCs w:val="20"/>
              </w:rPr>
              <w:t>1,31</w:t>
            </w:r>
          </w:p>
        </w:tc>
      </w:tr>
    </w:tbl>
    <w:p w14:paraId="569D2340" w14:textId="77777777" w:rsidR="00CF6824" w:rsidRDefault="00CF6824"/>
    <w:p w14:paraId="655E422A" w14:textId="77777777" w:rsidR="00CF6824" w:rsidRDefault="00000000">
      <w:r>
        <w:t xml:space="preserve">We will recruit research subjects through an online survey partner, targeting 4,000 participants. Our survey partner, </w:t>
      </w:r>
      <w:proofErr w:type="spellStart"/>
      <w:r>
        <w:t>Dynata</w:t>
      </w:r>
      <w:proofErr w:type="spellEnd"/>
      <w:r>
        <w:t xml:space="preserve">, has previously conducted two similar studies in Indonesia with other researchers. </w:t>
      </w:r>
      <w:proofErr w:type="spellStart"/>
      <w:r>
        <w:t>Dynata</w:t>
      </w:r>
      <w:proofErr w:type="spellEnd"/>
      <w:r>
        <w:t xml:space="preserve"> has a respondent panel database registered on its platform. </w:t>
      </w:r>
      <w:proofErr w:type="spellStart"/>
      <w:r>
        <w:t>Dynata</w:t>
      </w:r>
      <w:proofErr w:type="spellEnd"/>
      <w:r>
        <w:t xml:space="preserve"> will send online survey participation invitations to potential subjects’ devices, and they can decide whether or not to participate.</w:t>
      </w:r>
    </w:p>
    <w:p w14:paraId="6C1D1F05" w14:textId="77777777" w:rsidR="00CF6824" w:rsidRDefault="00000000">
      <w:pPr>
        <w:pStyle w:val="Heading3"/>
        <w:numPr>
          <w:ilvl w:val="2"/>
          <w:numId w:val="5"/>
        </w:numPr>
        <w:ind w:left="720"/>
      </w:pPr>
      <w:r>
        <w:t>Statistical Power</w:t>
      </w:r>
    </w:p>
    <w:p w14:paraId="343BF3E2" w14:textId="77777777" w:rsidR="00CF6824" w:rsidRDefault="00000000">
      <w:r>
        <w:t xml:space="preserve">We use the standard α = .05 and β = 0.2, which puts our desired minimum power at 80%. In determining sample size, we follow </w:t>
      </w:r>
      <w:proofErr w:type="spellStart"/>
      <w:r>
        <w:t>Dechezleprêtre</w:t>
      </w:r>
      <w:proofErr w:type="spellEnd"/>
      <w:r>
        <w:t xml:space="preserve"> et al. (2022), who detected a statistically significant impact of an intervention to promote climate policies. The study has a group size of around 622 for treatment and control and was able to detect an effect size in the range of 4 to 18 percentage points probability of supporting a certain climate policy. </w:t>
      </w:r>
    </w:p>
    <w:p w14:paraId="7B0802AF" w14:textId="77777777" w:rsidR="00CF6824" w:rsidRDefault="00000000">
      <w:r>
        <w:t xml:space="preserve">As a robustness check, we use these effect sizes from </w:t>
      </w:r>
      <w:proofErr w:type="spellStart"/>
      <w:r>
        <w:t>Dechezleprêtre</w:t>
      </w:r>
      <w:proofErr w:type="spellEnd"/>
      <w:r>
        <w:t xml:space="preserve"> et al. (2022) in a simulation to calculate the required sample size for a given MDE using data from Leiserowitz et al. (2023). The researchers studied climate change perceptions among Indonesians and administered questions regarding the public’s preference for forest clearing policy – i.e., whether they agree to clear forests for a particular purpose. We display the simulation result in Figure 1.</w:t>
      </w:r>
    </w:p>
    <w:p w14:paraId="7D5BEEC1" w14:textId="77777777" w:rsidR="00CF6824" w:rsidRDefault="00000000">
      <w:r>
        <w:t xml:space="preserve">Figure 1 shows that most sample sizes are concentrated around 500-600, following the effect sizes that are concentrated at around seven percentage points. We posit that the actual effect size for our study might lie somewhere around this point. As such, we set the size of each treatment arm to 630 individuals and the control to 850 individuals. </w:t>
      </w:r>
    </w:p>
    <w:p w14:paraId="4AE353A1" w14:textId="748E8BFD" w:rsidR="00CF6824" w:rsidRDefault="00000000">
      <w:r>
        <w:t xml:space="preserve">We randomize treatment assignment at the individual level; hence, our power calculations do not account for clustering. </w:t>
      </w:r>
    </w:p>
    <w:p w14:paraId="0E0C2886" w14:textId="77777777" w:rsidR="00CF6824" w:rsidRDefault="00000000">
      <w:pPr>
        <w:jc w:val="center"/>
      </w:pPr>
      <w:r>
        <w:t>Figure 1: Sample size simulation</w:t>
      </w:r>
    </w:p>
    <w:p w14:paraId="037B58C7" w14:textId="77777777" w:rsidR="00CF6824" w:rsidRDefault="00000000">
      <w:r>
        <w:rPr>
          <w:noProof/>
        </w:rPr>
        <w:lastRenderedPageBreak/>
        <w:drawing>
          <wp:inline distT="114300" distB="114300" distL="114300" distR="114300" wp14:anchorId="75F34F3E" wp14:editId="1234000D">
            <wp:extent cx="5731200" cy="3124200"/>
            <wp:effectExtent l="0" t="0" r="0" b="0"/>
            <wp:docPr id="11198734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124200"/>
                    </a:xfrm>
                    <a:prstGeom prst="rect">
                      <a:avLst/>
                    </a:prstGeom>
                    <a:ln/>
                  </pic:spPr>
                </pic:pic>
              </a:graphicData>
            </a:graphic>
          </wp:inline>
        </w:drawing>
      </w:r>
    </w:p>
    <w:p w14:paraId="2E097155" w14:textId="77777777" w:rsidR="00CF6824" w:rsidRDefault="00000000">
      <w:pPr>
        <w:pStyle w:val="Heading3"/>
        <w:numPr>
          <w:ilvl w:val="2"/>
          <w:numId w:val="5"/>
        </w:numPr>
        <w:ind w:left="720"/>
      </w:pPr>
      <w:r>
        <w:t>Assignment to Treatment</w:t>
      </w:r>
    </w:p>
    <w:p w14:paraId="3B4D95B5" w14:textId="77777777" w:rsidR="00CF6824" w:rsidRDefault="00000000">
      <w:r>
        <w:t xml:space="preserve">The source of exogenous variation is random assignment to treatment arms. From a large panel pool, </w:t>
      </w:r>
      <w:proofErr w:type="spellStart"/>
      <w:r>
        <w:t>Dynata</w:t>
      </w:r>
      <w:proofErr w:type="spellEnd"/>
      <w:r>
        <w:t xml:space="preserve"> randomly assigns 4,000 participants to one of six groups.</w:t>
      </w:r>
    </w:p>
    <w:p w14:paraId="2A7513B3" w14:textId="77777777" w:rsidR="00CF6824" w:rsidRDefault="00000000">
      <w:pPr>
        <w:pStyle w:val="Heading3"/>
        <w:numPr>
          <w:ilvl w:val="2"/>
          <w:numId w:val="5"/>
        </w:numPr>
        <w:ind w:left="720"/>
      </w:pPr>
      <w:r>
        <w:t>Sample Attrition</w:t>
      </w:r>
    </w:p>
    <w:p w14:paraId="688196C9" w14:textId="77777777" w:rsidR="00CF6824" w:rsidRDefault="00000000">
      <w:r>
        <w:t>Our treatment is a one-off intervention. We ask outcome questions directly after administering the treatments. We currently have no plan to conduct a follow-up study of this sample. As such, we don’t expect sample attrition.</w:t>
      </w:r>
    </w:p>
    <w:p w14:paraId="4E829847" w14:textId="77777777" w:rsidR="00CF6824" w:rsidRDefault="00000000">
      <w:pPr>
        <w:pStyle w:val="Heading2"/>
        <w:numPr>
          <w:ilvl w:val="1"/>
          <w:numId w:val="5"/>
        </w:numPr>
        <w:ind w:left="360"/>
      </w:pPr>
      <w:r>
        <w:t xml:space="preserve"> Fieldwork</w:t>
      </w:r>
    </w:p>
    <w:p w14:paraId="0318ADEB" w14:textId="77777777" w:rsidR="00CF6824" w:rsidRDefault="00000000">
      <w:pPr>
        <w:pStyle w:val="Heading3"/>
        <w:numPr>
          <w:ilvl w:val="2"/>
          <w:numId w:val="5"/>
        </w:numPr>
        <w:ind w:left="720"/>
      </w:pPr>
      <w:r>
        <w:t>Instruments</w:t>
      </w:r>
    </w:p>
    <w:p w14:paraId="64D4C6D8" w14:textId="77777777" w:rsidR="00CF6824" w:rsidRDefault="00000000">
      <w:r>
        <w:t>We employ a simple survey questionnaire which covers the following topics:</w:t>
      </w:r>
    </w:p>
    <w:p w14:paraId="51DD2855" w14:textId="77777777" w:rsidR="00CF6824" w:rsidRDefault="00000000">
      <w:pPr>
        <w:numPr>
          <w:ilvl w:val="0"/>
          <w:numId w:val="8"/>
        </w:numPr>
        <w:pBdr>
          <w:top w:val="nil"/>
          <w:left w:val="nil"/>
          <w:bottom w:val="nil"/>
          <w:right w:val="nil"/>
          <w:between w:val="nil"/>
        </w:pBdr>
        <w:spacing w:after="0"/>
      </w:pPr>
      <w:r>
        <w:rPr>
          <w:color w:val="000000"/>
        </w:rPr>
        <w:t>Participant’s demographic information</w:t>
      </w:r>
    </w:p>
    <w:p w14:paraId="2C6129E2" w14:textId="77777777" w:rsidR="00CF6824" w:rsidRDefault="00000000">
      <w:pPr>
        <w:numPr>
          <w:ilvl w:val="0"/>
          <w:numId w:val="8"/>
        </w:numPr>
        <w:pBdr>
          <w:top w:val="nil"/>
          <w:left w:val="nil"/>
          <w:bottom w:val="nil"/>
          <w:right w:val="nil"/>
          <w:between w:val="nil"/>
        </w:pBdr>
        <w:spacing w:before="0" w:after="0"/>
      </w:pPr>
      <w:r>
        <w:rPr>
          <w:color w:val="000000"/>
        </w:rPr>
        <w:t>Participant’s household characteristics</w:t>
      </w:r>
    </w:p>
    <w:p w14:paraId="2690973F" w14:textId="77777777" w:rsidR="00CF6824" w:rsidRDefault="00000000">
      <w:pPr>
        <w:numPr>
          <w:ilvl w:val="0"/>
          <w:numId w:val="8"/>
        </w:numPr>
        <w:pBdr>
          <w:top w:val="nil"/>
          <w:left w:val="nil"/>
          <w:bottom w:val="nil"/>
          <w:right w:val="nil"/>
          <w:between w:val="nil"/>
        </w:pBdr>
        <w:spacing w:before="0" w:after="0"/>
      </w:pPr>
      <w:r>
        <w:rPr>
          <w:color w:val="000000"/>
        </w:rPr>
        <w:t>Participants’ response towards the stimulus</w:t>
      </w:r>
    </w:p>
    <w:p w14:paraId="1407250E" w14:textId="77777777" w:rsidR="00CF6824" w:rsidRDefault="00000000">
      <w:pPr>
        <w:numPr>
          <w:ilvl w:val="0"/>
          <w:numId w:val="8"/>
        </w:numPr>
        <w:pBdr>
          <w:top w:val="nil"/>
          <w:left w:val="nil"/>
          <w:bottom w:val="nil"/>
          <w:right w:val="nil"/>
          <w:between w:val="nil"/>
        </w:pBdr>
        <w:spacing w:before="0" w:after="0"/>
      </w:pPr>
      <w:r>
        <w:rPr>
          <w:color w:val="000000"/>
        </w:rPr>
        <w:t>Participants’ opinions on several statements about the economy and the government</w:t>
      </w:r>
    </w:p>
    <w:p w14:paraId="71254367" w14:textId="77777777" w:rsidR="00CF6824" w:rsidRDefault="00000000">
      <w:pPr>
        <w:numPr>
          <w:ilvl w:val="0"/>
          <w:numId w:val="8"/>
        </w:numPr>
        <w:pBdr>
          <w:top w:val="nil"/>
          <w:left w:val="nil"/>
          <w:bottom w:val="nil"/>
          <w:right w:val="nil"/>
          <w:between w:val="nil"/>
        </w:pBdr>
        <w:spacing w:before="0" w:after="0"/>
      </w:pPr>
      <w:r>
        <w:rPr>
          <w:color w:val="000000"/>
        </w:rPr>
        <w:t>Participants’ policy support</w:t>
      </w:r>
    </w:p>
    <w:p w14:paraId="3D97C4E6" w14:textId="77777777" w:rsidR="00CF6824" w:rsidRDefault="00000000">
      <w:pPr>
        <w:numPr>
          <w:ilvl w:val="0"/>
          <w:numId w:val="8"/>
        </w:numPr>
        <w:pBdr>
          <w:top w:val="nil"/>
          <w:left w:val="nil"/>
          <w:bottom w:val="nil"/>
          <w:right w:val="nil"/>
          <w:between w:val="nil"/>
        </w:pBdr>
        <w:spacing w:before="0" w:after="0"/>
      </w:pPr>
      <w:r>
        <w:rPr>
          <w:color w:val="000000"/>
        </w:rPr>
        <w:t xml:space="preserve">Participants’ opinions on what aspects of the economy they value the most (improvement of material condition, rights of others, environmental preservation, and citizen participation) </w:t>
      </w:r>
    </w:p>
    <w:p w14:paraId="0269766A" w14:textId="77777777" w:rsidR="00CF6824" w:rsidRDefault="00000000">
      <w:pPr>
        <w:numPr>
          <w:ilvl w:val="0"/>
          <w:numId w:val="8"/>
        </w:numPr>
        <w:pBdr>
          <w:top w:val="nil"/>
          <w:left w:val="nil"/>
          <w:bottom w:val="nil"/>
          <w:right w:val="nil"/>
          <w:between w:val="nil"/>
        </w:pBdr>
        <w:spacing w:before="0" w:after="0"/>
      </w:pPr>
      <w:r>
        <w:rPr>
          <w:color w:val="000000"/>
        </w:rPr>
        <w:t>Participants’ beliefs on their personal obligation and ability</w:t>
      </w:r>
    </w:p>
    <w:p w14:paraId="22F05F3B" w14:textId="77777777" w:rsidR="00CF6824" w:rsidRDefault="00000000">
      <w:pPr>
        <w:numPr>
          <w:ilvl w:val="0"/>
          <w:numId w:val="8"/>
        </w:numPr>
        <w:pBdr>
          <w:top w:val="nil"/>
          <w:left w:val="nil"/>
          <w:bottom w:val="nil"/>
          <w:right w:val="nil"/>
          <w:between w:val="nil"/>
        </w:pBdr>
        <w:spacing w:before="0"/>
      </w:pPr>
      <w:r>
        <w:rPr>
          <w:color w:val="000000"/>
        </w:rPr>
        <w:lastRenderedPageBreak/>
        <w:t>Several control items, such as participants’ parenting values (as a proxy of degree of conservatism) and degree of social desirability bias.</w:t>
      </w:r>
    </w:p>
    <w:p w14:paraId="7A82200B" w14:textId="77777777" w:rsidR="00CF6824" w:rsidRDefault="00000000">
      <w:r>
        <w:t>We constructed items A to E on our own, largely based on our past survey experiences. We adapted the conjoint analysis by Marshall et al. (2023) to develop item F and items from NEON et al. (2018) to develop item G. We use the module developed by Engelhardt et al., (2023) in measuring the degree of conservatism and administer the shortened Crowne’s Social Desirability Bias module developed by Reynolds (1982).</w:t>
      </w:r>
    </w:p>
    <w:p w14:paraId="6D142D05" w14:textId="77777777" w:rsidR="00CF6824" w:rsidRDefault="00000000">
      <w:r>
        <w:t>We have tested the instrument in a pilot involving 200 observations in late January 2025. In line with our initial prediction, the survey takes around 20-25 minutes to complete. The conjoint analysis (item F) might be the most cognitively challenging part of the survey. As is standard in most online surveys, the questionnaire is self-administered; hence, all the information is based on self-reporting.</w:t>
      </w:r>
    </w:p>
    <w:p w14:paraId="3A100FBA" w14:textId="77777777" w:rsidR="00CF6824" w:rsidRDefault="00000000">
      <w:pPr>
        <w:pStyle w:val="Heading3"/>
        <w:numPr>
          <w:ilvl w:val="2"/>
          <w:numId w:val="5"/>
        </w:numPr>
        <w:ind w:left="720"/>
      </w:pPr>
      <w:r>
        <w:t>Data Collection</w:t>
      </w:r>
    </w:p>
    <w:p w14:paraId="1538369A" w14:textId="77777777" w:rsidR="00CF6824" w:rsidRDefault="00000000">
      <w:r>
        <w:t>We expect the data collection to take around 3 weeks to complete. We keep the data confidential at this stage by only granting data access to approved research team members.</w:t>
      </w:r>
    </w:p>
    <w:p w14:paraId="2893783B" w14:textId="77777777" w:rsidR="00CF6824" w:rsidRDefault="00000000">
      <w:pPr>
        <w:pStyle w:val="Heading3"/>
        <w:numPr>
          <w:ilvl w:val="2"/>
          <w:numId w:val="5"/>
        </w:numPr>
        <w:ind w:left="720"/>
      </w:pPr>
      <w:r>
        <w:t>Data Processing</w:t>
      </w:r>
    </w:p>
    <w:p w14:paraId="3C783172" w14:textId="77777777" w:rsidR="00CF6824" w:rsidRDefault="00000000">
      <w:r>
        <w:t xml:space="preserve">We estimate that data processing will take around five working days. The survey data output will already have labels and an accompanying codebook. As such, we do not expect to conduct extensive data wrangling. We will transform several variables to better fit the estimators we’re using. This might be the only substantial data processing task. We have also already started writing the data preparation code as the survey runs concurrently. </w:t>
      </w:r>
    </w:p>
    <w:p w14:paraId="6A0DBD3A" w14:textId="77777777" w:rsidR="00CF6824" w:rsidRDefault="00000000">
      <w:r>
        <w:t>We keep the processed data confidential by only granting access to approved research team members. Our organization will possess data ownership, but we plan to publish the data and the replication package for public use after completing the analysis. Due to our online survey partner's policy, the data will be anonymous by design; hence, we will not hold any PIIs. We are currently developing a website that will host the data-sharing platform. We will adhere to the best security standards in this matter.</w:t>
      </w:r>
    </w:p>
    <w:p w14:paraId="2C21399B" w14:textId="77777777" w:rsidR="00CF6824" w:rsidRDefault="00000000">
      <w:pPr>
        <w:pStyle w:val="Heading1"/>
        <w:numPr>
          <w:ilvl w:val="0"/>
          <w:numId w:val="5"/>
        </w:numPr>
        <w:ind w:left="360"/>
      </w:pPr>
      <w:r>
        <w:lastRenderedPageBreak/>
        <w:t>Empirical Analysis</w:t>
      </w:r>
    </w:p>
    <w:p w14:paraId="11ABB97E" w14:textId="77777777" w:rsidR="00CF6824" w:rsidRDefault="00000000">
      <w:pPr>
        <w:pStyle w:val="Heading2"/>
        <w:numPr>
          <w:ilvl w:val="1"/>
          <w:numId w:val="5"/>
        </w:numPr>
        <w:ind w:left="360"/>
      </w:pPr>
      <w:r>
        <w:t xml:space="preserve"> Variables</w:t>
      </w:r>
    </w:p>
    <w:p w14:paraId="03F7C382" w14:textId="77777777" w:rsidR="00CF6824" w:rsidRDefault="00000000">
      <w:r>
        <w:t>Our primary interest is studying how our treatment influences support for progressive policy ideas. We have 13 policy items:</w:t>
      </w:r>
    </w:p>
    <w:p w14:paraId="5314168F" w14:textId="77777777" w:rsidR="00CF6824" w:rsidRDefault="00000000">
      <w:pPr>
        <w:numPr>
          <w:ilvl w:val="0"/>
          <w:numId w:val="9"/>
        </w:numPr>
        <w:pBdr>
          <w:top w:val="nil"/>
          <w:left w:val="nil"/>
          <w:bottom w:val="nil"/>
          <w:right w:val="nil"/>
          <w:between w:val="nil"/>
        </w:pBdr>
        <w:spacing w:after="0"/>
      </w:pPr>
      <w:r>
        <w:rPr>
          <w:color w:val="000000"/>
        </w:rPr>
        <w:t>Fuel and electricity price hikes accompanied by cash transfers to all, not just the poor</w:t>
      </w:r>
    </w:p>
    <w:p w14:paraId="44B25EF7" w14:textId="77777777" w:rsidR="00CF6824" w:rsidRDefault="00000000">
      <w:pPr>
        <w:numPr>
          <w:ilvl w:val="0"/>
          <w:numId w:val="9"/>
        </w:numPr>
        <w:pBdr>
          <w:top w:val="nil"/>
          <w:left w:val="nil"/>
          <w:bottom w:val="nil"/>
          <w:right w:val="nil"/>
          <w:between w:val="nil"/>
        </w:pBdr>
        <w:spacing w:before="0" w:after="0"/>
      </w:pPr>
      <w:r>
        <w:rPr>
          <w:color w:val="000000"/>
        </w:rPr>
        <w:t>A larger government budget for the development of a mass, integrated, and environmentally friendly public transportation system</w:t>
      </w:r>
    </w:p>
    <w:p w14:paraId="09F1FC9B" w14:textId="77777777" w:rsidR="00CF6824" w:rsidRDefault="00000000">
      <w:pPr>
        <w:numPr>
          <w:ilvl w:val="0"/>
          <w:numId w:val="9"/>
        </w:numPr>
        <w:pBdr>
          <w:top w:val="nil"/>
          <w:left w:val="nil"/>
          <w:bottom w:val="nil"/>
          <w:right w:val="nil"/>
          <w:between w:val="nil"/>
        </w:pBdr>
        <w:spacing w:before="0" w:after="0"/>
      </w:pPr>
      <w:r>
        <w:rPr>
          <w:color w:val="000000"/>
        </w:rPr>
        <w:t>Greater government budget for the development of green technology and renewable energy</w:t>
      </w:r>
    </w:p>
    <w:p w14:paraId="237475BE" w14:textId="77777777" w:rsidR="00CF6824" w:rsidRDefault="00000000">
      <w:pPr>
        <w:numPr>
          <w:ilvl w:val="0"/>
          <w:numId w:val="9"/>
        </w:numPr>
        <w:pBdr>
          <w:top w:val="nil"/>
          <w:left w:val="nil"/>
          <w:bottom w:val="nil"/>
          <w:right w:val="nil"/>
          <w:between w:val="nil"/>
        </w:pBdr>
        <w:spacing w:before="0" w:after="0"/>
      </w:pPr>
      <w:r>
        <w:rPr>
          <w:color w:val="000000"/>
        </w:rPr>
        <w:t>Residents who are displaced due to infrastructure development projects benefit from the utilization of the infrastructure</w:t>
      </w:r>
    </w:p>
    <w:p w14:paraId="45D5ACAD" w14:textId="77777777" w:rsidR="00CF6824" w:rsidRDefault="00000000">
      <w:pPr>
        <w:numPr>
          <w:ilvl w:val="0"/>
          <w:numId w:val="9"/>
        </w:numPr>
        <w:pBdr>
          <w:top w:val="nil"/>
          <w:left w:val="nil"/>
          <w:bottom w:val="nil"/>
          <w:right w:val="nil"/>
          <w:between w:val="nil"/>
        </w:pBdr>
        <w:spacing w:before="0" w:after="0"/>
      </w:pPr>
      <w:r>
        <w:rPr>
          <w:color w:val="000000"/>
        </w:rPr>
        <w:t>Subsidies for energy-efficient homes and buildings</w:t>
      </w:r>
    </w:p>
    <w:p w14:paraId="314E3A98" w14:textId="77777777" w:rsidR="00CF6824" w:rsidRDefault="00000000">
      <w:pPr>
        <w:numPr>
          <w:ilvl w:val="0"/>
          <w:numId w:val="9"/>
        </w:numPr>
        <w:pBdr>
          <w:top w:val="nil"/>
          <w:left w:val="nil"/>
          <w:bottom w:val="nil"/>
          <w:right w:val="nil"/>
          <w:between w:val="nil"/>
        </w:pBdr>
        <w:spacing w:before="0" w:after="0"/>
      </w:pPr>
      <w:r>
        <w:rPr>
          <w:color w:val="000000"/>
        </w:rPr>
        <w:t>Greater value of social assistance</w:t>
      </w:r>
    </w:p>
    <w:p w14:paraId="212AB994" w14:textId="77777777" w:rsidR="00CF6824" w:rsidRDefault="00000000">
      <w:pPr>
        <w:numPr>
          <w:ilvl w:val="0"/>
          <w:numId w:val="9"/>
        </w:numPr>
        <w:pBdr>
          <w:top w:val="nil"/>
          <w:left w:val="nil"/>
          <w:bottom w:val="nil"/>
          <w:right w:val="nil"/>
          <w:between w:val="nil"/>
        </w:pBdr>
        <w:spacing w:before="0" w:after="0"/>
      </w:pPr>
      <w:r>
        <w:rPr>
          <w:color w:val="000000"/>
        </w:rPr>
        <w:t>Broader coverage of social assistance recipients, even for the middle-class</w:t>
      </w:r>
    </w:p>
    <w:p w14:paraId="7F1E2CDE" w14:textId="77777777" w:rsidR="00CF6824" w:rsidRDefault="00000000">
      <w:pPr>
        <w:numPr>
          <w:ilvl w:val="0"/>
          <w:numId w:val="9"/>
        </w:numPr>
        <w:pBdr>
          <w:top w:val="nil"/>
          <w:left w:val="nil"/>
          <w:bottom w:val="nil"/>
          <w:right w:val="nil"/>
          <w:between w:val="nil"/>
        </w:pBdr>
        <w:spacing w:before="0" w:after="0"/>
      </w:pPr>
      <w:r>
        <w:rPr>
          <w:color w:val="000000"/>
        </w:rPr>
        <w:t>Higher motor vehicle tax</w:t>
      </w:r>
    </w:p>
    <w:p w14:paraId="43AC3324" w14:textId="77777777" w:rsidR="00CF6824" w:rsidRDefault="00000000">
      <w:pPr>
        <w:numPr>
          <w:ilvl w:val="0"/>
          <w:numId w:val="9"/>
        </w:numPr>
        <w:pBdr>
          <w:top w:val="nil"/>
          <w:left w:val="nil"/>
          <w:bottom w:val="nil"/>
          <w:right w:val="nil"/>
          <w:between w:val="nil"/>
        </w:pBdr>
        <w:spacing w:before="0" w:after="0"/>
      </w:pPr>
      <w:r>
        <w:rPr>
          <w:color w:val="000000"/>
        </w:rPr>
        <w:t>Subsidize industries to switch to green technology and energy</w:t>
      </w:r>
    </w:p>
    <w:p w14:paraId="4032B489" w14:textId="77777777" w:rsidR="00CF6824" w:rsidRDefault="00000000">
      <w:pPr>
        <w:numPr>
          <w:ilvl w:val="0"/>
          <w:numId w:val="9"/>
        </w:numPr>
        <w:pBdr>
          <w:top w:val="nil"/>
          <w:left w:val="nil"/>
          <w:bottom w:val="nil"/>
          <w:right w:val="nil"/>
          <w:between w:val="nil"/>
        </w:pBdr>
        <w:spacing w:before="0" w:after="0"/>
      </w:pPr>
      <w:r>
        <w:rPr>
          <w:color w:val="000000"/>
        </w:rPr>
        <w:t>The government provides financial assistance for people who have recently lost their jobs</w:t>
      </w:r>
    </w:p>
    <w:p w14:paraId="7444B80B" w14:textId="77777777" w:rsidR="00CF6824" w:rsidRDefault="00000000">
      <w:pPr>
        <w:numPr>
          <w:ilvl w:val="0"/>
          <w:numId w:val="9"/>
        </w:numPr>
        <w:pBdr>
          <w:top w:val="nil"/>
          <w:left w:val="nil"/>
          <w:bottom w:val="nil"/>
          <w:right w:val="nil"/>
          <w:between w:val="nil"/>
        </w:pBdr>
        <w:spacing w:before="0" w:after="0"/>
      </w:pPr>
      <w:r>
        <w:rPr>
          <w:color w:val="000000"/>
        </w:rPr>
        <w:t>Clearing forest land for agriculture or plantations, even for the purpose of producing petroleum substitute fuels (such as biofuels/bioethanol)</w:t>
      </w:r>
    </w:p>
    <w:p w14:paraId="0B557AC1" w14:textId="77777777" w:rsidR="00CF6824" w:rsidRDefault="00000000">
      <w:pPr>
        <w:numPr>
          <w:ilvl w:val="0"/>
          <w:numId w:val="9"/>
        </w:numPr>
        <w:pBdr>
          <w:top w:val="nil"/>
          <w:left w:val="nil"/>
          <w:bottom w:val="nil"/>
          <w:right w:val="nil"/>
          <w:between w:val="nil"/>
        </w:pBdr>
        <w:spacing w:before="0" w:after="0"/>
      </w:pPr>
      <w:r>
        <w:rPr>
          <w:color w:val="000000"/>
        </w:rPr>
        <w:t>Clearing forest land for settlement development</w:t>
      </w:r>
    </w:p>
    <w:p w14:paraId="69530239" w14:textId="77777777" w:rsidR="00CF6824" w:rsidRDefault="00000000">
      <w:pPr>
        <w:numPr>
          <w:ilvl w:val="0"/>
          <w:numId w:val="9"/>
        </w:numPr>
        <w:pBdr>
          <w:top w:val="nil"/>
          <w:left w:val="nil"/>
          <w:bottom w:val="nil"/>
          <w:right w:val="nil"/>
          <w:between w:val="nil"/>
        </w:pBdr>
        <w:spacing w:before="0"/>
      </w:pPr>
      <w:r>
        <w:rPr>
          <w:color w:val="000000"/>
        </w:rPr>
        <w:t>Clearing forest land for infrastructure development</w:t>
      </w:r>
    </w:p>
    <w:p w14:paraId="308922D1" w14:textId="77777777" w:rsidR="00CF6824" w:rsidRDefault="00000000">
      <w:r>
        <w:t xml:space="preserve">For each policy item, we ask the respondents to indicate their support level, ranging from 1 (strongly opposes) to 5 (strongly supports). </w:t>
      </w:r>
    </w:p>
    <w:p w14:paraId="18098B2A" w14:textId="77777777" w:rsidR="00CF6824" w:rsidRDefault="00000000">
      <w:r>
        <w:t>We might use an alternative format of the outcome variables in an alternative regression specification. Instead of their initial Likert form, we might transform them into a binary dummy if the respondent supports (Likert value 4-5), opposes (Likert value 1-2), or is undecided (Likert value 3).</w:t>
      </w:r>
    </w:p>
    <w:p w14:paraId="412C7890" w14:textId="77777777" w:rsidR="00CF6824" w:rsidRDefault="00000000">
      <w:r>
        <w:t xml:space="preserve">We will also explore several other outcomes to understand the channel in which the stimulus affects policy support. They are: </w:t>
      </w:r>
    </w:p>
    <w:p w14:paraId="621A0FE4" w14:textId="77777777" w:rsidR="00CF6824" w:rsidRDefault="00000000">
      <w:pPr>
        <w:numPr>
          <w:ilvl w:val="0"/>
          <w:numId w:val="2"/>
        </w:numPr>
        <w:pBdr>
          <w:top w:val="nil"/>
          <w:left w:val="nil"/>
          <w:bottom w:val="nil"/>
          <w:right w:val="nil"/>
          <w:between w:val="nil"/>
        </w:pBdr>
        <w:spacing w:after="0"/>
      </w:pPr>
      <w:r>
        <w:rPr>
          <w:color w:val="000000"/>
        </w:rPr>
        <w:t>Respondents' views on what development goals should be</w:t>
      </w:r>
    </w:p>
    <w:p w14:paraId="1CE08708" w14:textId="77777777" w:rsidR="00CF6824" w:rsidRDefault="00000000">
      <w:pPr>
        <w:numPr>
          <w:ilvl w:val="0"/>
          <w:numId w:val="2"/>
        </w:numPr>
        <w:pBdr>
          <w:top w:val="nil"/>
          <w:left w:val="nil"/>
          <w:bottom w:val="nil"/>
          <w:right w:val="nil"/>
          <w:between w:val="nil"/>
        </w:pBdr>
        <w:spacing w:before="0" w:after="0"/>
      </w:pPr>
      <w:r>
        <w:rPr>
          <w:color w:val="000000"/>
        </w:rPr>
        <w:lastRenderedPageBreak/>
        <w:t>Respondents' views on what the roles of the government should be</w:t>
      </w:r>
    </w:p>
    <w:p w14:paraId="6CA8F247" w14:textId="77777777" w:rsidR="00CF6824" w:rsidRDefault="00000000">
      <w:pPr>
        <w:numPr>
          <w:ilvl w:val="0"/>
          <w:numId w:val="2"/>
        </w:numPr>
        <w:pBdr>
          <w:top w:val="nil"/>
          <w:left w:val="nil"/>
          <w:bottom w:val="nil"/>
          <w:right w:val="nil"/>
          <w:between w:val="nil"/>
        </w:pBdr>
        <w:spacing w:before="0" w:after="0"/>
      </w:pPr>
      <w:r>
        <w:rPr>
          <w:color w:val="000000"/>
        </w:rPr>
        <w:t>Respondents' views on several statements about the economy and the government</w:t>
      </w:r>
    </w:p>
    <w:p w14:paraId="28638CB9" w14:textId="77777777" w:rsidR="00CF6824" w:rsidRDefault="00000000">
      <w:pPr>
        <w:numPr>
          <w:ilvl w:val="0"/>
          <w:numId w:val="2"/>
        </w:numPr>
        <w:pBdr>
          <w:top w:val="nil"/>
          <w:left w:val="nil"/>
          <w:bottom w:val="nil"/>
          <w:right w:val="nil"/>
          <w:between w:val="nil"/>
        </w:pBdr>
        <w:spacing w:before="0" w:after="0"/>
      </w:pPr>
      <w:r>
        <w:rPr>
          <w:color w:val="000000"/>
        </w:rPr>
        <w:t>What aspects of the economy the respondents value the most (improvement of material condition, rights of others, environmental preservation, and citizen participation)</w:t>
      </w:r>
    </w:p>
    <w:p w14:paraId="0E1A63A9" w14:textId="77777777" w:rsidR="00CF6824" w:rsidRDefault="00000000">
      <w:pPr>
        <w:numPr>
          <w:ilvl w:val="0"/>
          <w:numId w:val="2"/>
        </w:numPr>
        <w:pBdr>
          <w:top w:val="nil"/>
          <w:left w:val="nil"/>
          <w:bottom w:val="nil"/>
          <w:right w:val="nil"/>
          <w:between w:val="nil"/>
        </w:pBdr>
        <w:spacing w:before="0"/>
      </w:pPr>
      <w:r>
        <w:rPr>
          <w:color w:val="000000"/>
        </w:rPr>
        <w:t xml:space="preserve">Respondents' beliefs on their personal obligation and ability </w:t>
      </w:r>
    </w:p>
    <w:p w14:paraId="256E04B1" w14:textId="77777777" w:rsidR="00CF6824" w:rsidRDefault="00000000">
      <w:r>
        <w:t>We also would like to document:</w:t>
      </w:r>
    </w:p>
    <w:p w14:paraId="08B6B9EB" w14:textId="77777777" w:rsidR="00CF6824" w:rsidRDefault="00000000">
      <w:pPr>
        <w:numPr>
          <w:ilvl w:val="0"/>
          <w:numId w:val="3"/>
        </w:numPr>
        <w:pBdr>
          <w:top w:val="nil"/>
          <w:left w:val="nil"/>
          <w:bottom w:val="nil"/>
          <w:right w:val="nil"/>
          <w:between w:val="nil"/>
        </w:pBdr>
        <w:spacing w:after="0"/>
      </w:pPr>
      <w:r>
        <w:rPr>
          <w:color w:val="000000"/>
        </w:rPr>
        <w:t>What is their interpretation of the story -- this is to control for the correct interpretation of the message</w:t>
      </w:r>
    </w:p>
    <w:p w14:paraId="65072803" w14:textId="77777777" w:rsidR="00CF6824" w:rsidRDefault="00000000">
      <w:pPr>
        <w:numPr>
          <w:ilvl w:val="0"/>
          <w:numId w:val="3"/>
        </w:numPr>
        <w:pBdr>
          <w:top w:val="nil"/>
          <w:left w:val="nil"/>
          <w:bottom w:val="nil"/>
          <w:right w:val="nil"/>
          <w:between w:val="nil"/>
        </w:pBdr>
        <w:spacing w:before="0" w:after="0"/>
      </w:pPr>
      <w:r>
        <w:rPr>
          <w:color w:val="000000"/>
        </w:rPr>
        <w:t>Their feelings/emotions after reading the text</w:t>
      </w:r>
    </w:p>
    <w:p w14:paraId="5E96EB68" w14:textId="77777777" w:rsidR="00CF6824" w:rsidRDefault="00000000">
      <w:pPr>
        <w:numPr>
          <w:ilvl w:val="0"/>
          <w:numId w:val="3"/>
        </w:numPr>
        <w:pBdr>
          <w:top w:val="nil"/>
          <w:left w:val="nil"/>
          <w:bottom w:val="nil"/>
          <w:right w:val="nil"/>
          <w:between w:val="nil"/>
        </w:pBdr>
        <w:spacing w:before="0"/>
      </w:pPr>
      <w:r>
        <w:rPr>
          <w:color w:val="000000"/>
        </w:rPr>
        <w:t>Which sentence in the text resonates the most, and whether they agree with the statement</w:t>
      </w:r>
    </w:p>
    <w:p w14:paraId="5ED1D955" w14:textId="77777777" w:rsidR="00CF6824" w:rsidRDefault="00000000">
      <w:r>
        <w:t xml:space="preserve">Since most of our outcomes are about views and beliefs, most of our questions are on a Likert scale. Some are in single or multiple-response format. All these variables can be transformed into binary dummy variables. </w:t>
      </w:r>
    </w:p>
    <w:p w14:paraId="338B88F1" w14:textId="77777777" w:rsidR="00CF6824" w:rsidRDefault="00000000">
      <w:r>
        <w:t>As of now, it is difficult for us to say with certainty which variables we will transform. We will update the analysis plan as we proceed and clearly explain our chosen approach. Following suggestions by Banerjee et al, (2020), we will clearly note in the final paper if there is any angle of analysis that was not pre-registered.</w:t>
      </w:r>
    </w:p>
    <w:p w14:paraId="0B115115" w14:textId="77777777" w:rsidR="00CF6824" w:rsidRDefault="00000000">
      <w:pPr>
        <w:pStyle w:val="Heading2"/>
        <w:numPr>
          <w:ilvl w:val="1"/>
          <w:numId w:val="5"/>
        </w:numPr>
        <w:ind w:left="360"/>
      </w:pPr>
      <w:r>
        <w:t xml:space="preserve"> Balancing Checks</w:t>
      </w:r>
    </w:p>
    <w:p w14:paraId="326049B4" w14:textId="77777777" w:rsidR="00CF6824" w:rsidRDefault="00000000">
      <w:r>
        <w:t xml:space="preserve">We employ the balance check procedure developed by Kerwin et al. (2024). This procedure avoids the problem of over-rejection of null in the standard balance tests. The variables we use for balance check are the demographic and household characteristics of the study units. We provide the details in the table below. </w:t>
      </w: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F6824" w14:paraId="3363BBDD" w14:textId="77777777">
        <w:tc>
          <w:tcPr>
            <w:tcW w:w="4508" w:type="dxa"/>
          </w:tcPr>
          <w:p w14:paraId="32F84546" w14:textId="77777777" w:rsidR="00CF6824" w:rsidRDefault="00000000">
            <w:r>
              <w:t>Variable name</w:t>
            </w:r>
          </w:p>
        </w:tc>
        <w:tc>
          <w:tcPr>
            <w:tcW w:w="4508" w:type="dxa"/>
          </w:tcPr>
          <w:p w14:paraId="798661D2" w14:textId="77777777" w:rsidR="00CF6824" w:rsidRDefault="00000000">
            <w:r>
              <w:t>Description</w:t>
            </w:r>
          </w:p>
        </w:tc>
      </w:tr>
      <w:tr w:rsidR="00CF6824" w14:paraId="541AD84C" w14:textId="77777777">
        <w:tc>
          <w:tcPr>
            <w:tcW w:w="4508" w:type="dxa"/>
          </w:tcPr>
          <w:p w14:paraId="142AC975" w14:textId="77777777" w:rsidR="00CF6824" w:rsidRDefault="00000000">
            <w:r>
              <w:t xml:space="preserve">region1 </w:t>
            </w:r>
          </w:p>
        </w:tc>
        <w:tc>
          <w:tcPr>
            <w:tcW w:w="4508" w:type="dxa"/>
          </w:tcPr>
          <w:p w14:paraId="487F3B82" w14:textId="77777777" w:rsidR="00CF6824" w:rsidRDefault="00000000">
            <w:r>
              <w:t xml:space="preserve">A dummy equals one if the unit lives in Western Indonesian </w:t>
            </w:r>
            <w:proofErr w:type="spellStart"/>
            <w:r>
              <w:t>Timezone</w:t>
            </w:r>
            <w:proofErr w:type="spellEnd"/>
            <w:r>
              <w:t xml:space="preserve"> </w:t>
            </w:r>
          </w:p>
        </w:tc>
      </w:tr>
      <w:tr w:rsidR="00CF6824" w14:paraId="445FEEAE" w14:textId="77777777">
        <w:tc>
          <w:tcPr>
            <w:tcW w:w="4508" w:type="dxa"/>
          </w:tcPr>
          <w:p w14:paraId="24E8AEEE" w14:textId="77777777" w:rsidR="00CF6824" w:rsidRDefault="00000000">
            <w:r>
              <w:t>region2</w:t>
            </w:r>
          </w:p>
        </w:tc>
        <w:tc>
          <w:tcPr>
            <w:tcW w:w="4508" w:type="dxa"/>
          </w:tcPr>
          <w:p w14:paraId="0D8BB9B4" w14:textId="77777777" w:rsidR="00CF6824" w:rsidRDefault="00000000">
            <w:r>
              <w:t xml:space="preserve">A dummy equals to one if the unit lives in Central Indonesian </w:t>
            </w:r>
            <w:proofErr w:type="spellStart"/>
            <w:r>
              <w:t>Timezone</w:t>
            </w:r>
            <w:proofErr w:type="spellEnd"/>
            <w:r>
              <w:t xml:space="preserve"> </w:t>
            </w:r>
          </w:p>
        </w:tc>
      </w:tr>
      <w:tr w:rsidR="00CF6824" w14:paraId="5A75A79C" w14:textId="77777777">
        <w:tc>
          <w:tcPr>
            <w:tcW w:w="4508" w:type="dxa"/>
          </w:tcPr>
          <w:p w14:paraId="2F545D35" w14:textId="77777777" w:rsidR="00CF6824" w:rsidRDefault="00000000">
            <w:r>
              <w:t>region3</w:t>
            </w:r>
          </w:p>
        </w:tc>
        <w:tc>
          <w:tcPr>
            <w:tcW w:w="4508" w:type="dxa"/>
          </w:tcPr>
          <w:p w14:paraId="5288857B" w14:textId="77777777" w:rsidR="00CF6824" w:rsidRDefault="00000000">
            <w:r>
              <w:t xml:space="preserve">A dummy equals one if the unit lives in Eastern Indonesian </w:t>
            </w:r>
            <w:proofErr w:type="spellStart"/>
            <w:r>
              <w:t>Timezone</w:t>
            </w:r>
            <w:proofErr w:type="spellEnd"/>
            <w:r>
              <w:t xml:space="preserve"> </w:t>
            </w:r>
          </w:p>
        </w:tc>
      </w:tr>
      <w:tr w:rsidR="00CF6824" w14:paraId="37E6D16A" w14:textId="77777777">
        <w:tc>
          <w:tcPr>
            <w:tcW w:w="4508" w:type="dxa"/>
          </w:tcPr>
          <w:p w14:paraId="6EABE309" w14:textId="77777777" w:rsidR="00CF6824" w:rsidRDefault="00000000">
            <w:r>
              <w:t>urban</w:t>
            </w:r>
          </w:p>
        </w:tc>
        <w:tc>
          <w:tcPr>
            <w:tcW w:w="4508" w:type="dxa"/>
          </w:tcPr>
          <w:p w14:paraId="5331C887" w14:textId="77777777" w:rsidR="00CF6824" w:rsidRDefault="00000000">
            <w:r>
              <w:t>A dummy equals one if the unit lives in an urban area</w:t>
            </w:r>
          </w:p>
        </w:tc>
      </w:tr>
      <w:tr w:rsidR="00CF6824" w14:paraId="7F335392" w14:textId="77777777">
        <w:tc>
          <w:tcPr>
            <w:tcW w:w="4508" w:type="dxa"/>
          </w:tcPr>
          <w:p w14:paraId="2CFC9857" w14:textId="77777777" w:rsidR="00CF6824" w:rsidRDefault="00000000">
            <w:r>
              <w:lastRenderedPageBreak/>
              <w:t>male</w:t>
            </w:r>
          </w:p>
        </w:tc>
        <w:tc>
          <w:tcPr>
            <w:tcW w:w="4508" w:type="dxa"/>
          </w:tcPr>
          <w:p w14:paraId="716D0A5C" w14:textId="77777777" w:rsidR="00CF6824" w:rsidRDefault="00000000">
            <w:r>
              <w:t>A dummy equals to one if the unit is male</w:t>
            </w:r>
          </w:p>
        </w:tc>
      </w:tr>
      <w:tr w:rsidR="00CF6824" w14:paraId="6D02785D" w14:textId="77777777">
        <w:tc>
          <w:tcPr>
            <w:tcW w:w="4508" w:type="dxa"/>
          </w:tcPr>
          <w:p w14:paraId="6F19F475" w14:textId="77777777" w:rsidR="00CF6824" w:rsidRDefault="00000000">
            <w:r>
              <w:t>ID04</w:t>
            </w:r>
          </w:p>
        </w:tc>
        <w:tc>
          <w:tcPr>
            <w:tcW w:w="4508" w:type="dxa"/>
          </w:tcPr>
          <w:p w14:paraId="51C42669" w14:textId="77777777" w:rsidR="00CF6824" w:rsidRDefault="00000000">
            <w:r>
              <w:t>Age (in years old, discrete, untransformed from raw data)</w:t>
            </w:r>
          </w:p>
        </w:tc>
      </w:tr>
      <w:tr w:rsidR="00CF6824" w14:paraId="0F25066B" w14:textId="77777777">
        <w:tc>
          <w:tcPr>
            <w:tcW w:w="4508" w:type="dxa"/>
          </w:tcPr>
          <w:p w14:paraId="12D0690C" w14:textId="77777777" w:rsidR="00CF6824" w:rsidRDefault="00000000">
            <w:r>
              <w:t>unmarried</w:t>
            </w:r>
          </w:p>
        </w:tc>
        <w:tc>
          <w:tcPr>
            <w:tcW w:w="4508" w:type="dxa"/>
          </w:tcPr>
          <w:p w14:paraId="605A9C24" w14:textId="77777777" w:rsidR="00CF6824" w:rsidRDefault="00000000">
            <w:r>
              <w:t>A dummy equals to one if the unit is unmarried</w:t>
            </w:r>
          </w:p>
        </w:tc>
      </w:tr>
      <w:tr w:rsidR="00CF6824" w14:paraId="5785649B" w14:textId="77777777">
        <w:tc>
          <w:tcPr>
            <w:tcW w:w="4508" w:type="dxa"/>
          </w:tcPr>
          <w:p w14:paraId="1A73FB95" w14:textId="77777777" w:rsidR="00CF6824" w:rsidRDefault="00000000">
            <w:r>
              <w:t>edu1</w:t>
            </w:r>
          </w:p>
        </w:tc>
        <w:tc>
          <w:tcPr>
            <w:tcW w:w="4508" w:type="dxa"/>
          </w:tcPr>
          <w:p w14:paraId="6E874C42" w14:textId="77777777" w:rsidR="00CF6824" w:rsidRDefault="00000000">
            <w:r>
              <w:t>A dummy equals one if the unit’s education attainment is less than the primary level</w:t>
            </w:r>
          </w:p>
        </w:tc>
      </w:tr>
      <w:tr w:rsidR="00CF6824" w14:paraId="5669CBC5" w14:textId="77777777">
        <w:tc>
          <w:tcPr>
            <w:tcW w:w="4508" w:type="dxa"/>
          </w:tcPr>
          <w:p w14:paraId="3371660D" w14:textId="77777777" w:rsidR="00CF6824" w:rsidRDefault="00000000">
            <w:r>
              <w:t>edu2</w:t>
            </w:r>
          </w:p>
        </w:tc>
        <w:tc>
          <w:tcPr>
            <w:tcW w:w="4508" w:type="dxa"/>
          </w:tcPr>
          <w:p w14:paraId="2064CF1A" w14:textId="77777777" w:rsidR="00CF6824" w:rsidRDefault="00000000">
            <w:r>
              <w:t>A dummy equals one if the unit’s education attainment is the primary level</w:t>
            </w:r>
          </w:p>
        </w:tc>
      </w:tr>
      <w:tr w:rsidR="00CF6824" w14:paraId="4A79F6CE" w14:textId="77777777">
        <w:tc>
          <w:tcPr>
            <w:tcW w:w="4508" w:type="dxa"/>
          </w:tcPr>
          <w:p w14:paraId="33BB2EAA" w14:textId="77777777" w:rsidR="00CF6824" w:rsidRDefault="00000000">
            <w:r>
              <w:t>edu3</w:t>
            </w:r>
          </w:p>
        </w:tc>
        <w:tc>
          <w:tcPr>
            <w:tcW w:w="4508" w:type="dxa"/>
          </w:tcPr>
          <w:p w14:paraId="2EFA1164" w14:textId="77777777" w:rsidR="00CF6824" w:rsidRDefault="00000000">
            <w:r>
              <w:t>A dummy equals one if the unit’s education attainment is junior secondary level</w:t>
            </w:r>
          </w:p>
        </w:tc>
      </w:tr>
      <w:tr w:rsidR="00CF6824" w14:paraId="1D4A31FC" w14:textId="77777777">
        <w:tc>
          <w:tcPr>
            <w:tcW w:w="4508" w:type="dxa"/>
          </w:tcPr>
          <w:p w14:paraId="43FE0FA2" w14:textId="77777777" w:rsidR="00CF6824" w:rsidRDefault="00000000">
            <w:r>
              <w:t>edu4</w:t>
            </w:r>
          </w:p>
        </w:tc>
        <w:tc>
          <w:tcPr>
            <w:tcW w:w="4508" w:type="dxa"/>
          </w:tcPr>
          <w:p w14:paraId="04AA88AE" w14:textId="77777777" w:rsidR="00CF6824" w:rsidRDefault="00000000">
            <w:r>
              <w:t>A dummy equals one if the unit’s education attainment is senior secondary level</w:t>
            </w:r>
          </w:p>
        </w:tc>
      </w:tr>
      <w:tr w:rsidR="00CF6824" w14:paraId="29476DF6" w14:textId="77777777">
        <w:tc>
          <w:tcPr>
            <w:tcW w:w="4508" w:type="dxa"/>
          </w:tcPr>
          <w:p w14:paraId="426C61EB" w14:textId="77777777" w:rsidR="00CF6824" w:rsidRDefault="00000000">
            <w:r>
              <w:t>edu5</w:t>
            </w:r>
          </w:p>
        </w:tc>
        <w:tc>
          <w:tcPr>
            <w:tcW w:w="4508" w:type="dxa"/>
          </w:tcPr>
          <w:p w14:paraId="52F55840" w14:textId="77777777" w:rsidR="00CF6824" w:rsidRDefault="00000000">
            <w:r>
              <w:t>A dummy equals one if the unit’s education attainment is tertiary</w:t>
            </w:r>
          </w:p>
        </w:tc>
      </w:tr>
      <w:tr w:rsidR="00CF6824" w14:paraId="77019E3A" w14:textId="77777777">
        <w:tc>
          <w:tcPr>
            <w:tcW w:w="4508" w:type="dxa"/>
          </w:tcPr>
          <w:p w14:paraId="3452409F" w14:textId="77777777" w:rsidR="00CF6824" w:rsidRDefault="00000000">
            <w:proofErr w:type="spellStart"/>
            <w:r>
              <w:t>hhhead_female</w:t>
            </w:r>
            <w:proofErr w:type="spellEnd"/>
          </w:p>
        </w:tc>
        <w:tc>
          <w:tcPr>
            <w:tcW w:w="4508" w:type="dxa"/>
          </w:tcPr>
          <w:p w14:paraId="5285EDD3" w14:textId="77777777" w:rsidR="00CF6824" w:rsidRDefault="00000000">
            <w:r>
              <w:t>A dummy equals one if the household head is female</w:t>
            </w:r>
          </w:p>
        </w:tc>
      </w:tr>
      <w:tr w:rsidR="00CF6824" w14:paraId="6666C588" w14:textId="77777777">
        <w:tc>
          <w:tcPr>
            <w:tcW w:w="4508" w:type="dxa"/>
          </w:tcPr>
          <w:p w14:paraId="14200A76" w14:textId="77777777" w:rsidR="00CF6824" w:rsidRDefault="00000000">
            <w:proofErr w:type="spellStart"/>
            <w:r>
              <w:t>nosocast</w:t>
            </w:r>
            <w:proofErr w:type="spellEnd"/>
            <w:r>
              <w:t xml:space="preserve"> </w:t>
            </w:r>
          </w:p>
        </w:tc>
        <w:tc>
          <w:tcPr>
            <w:tcW w:w="4508" w:type="dxa"/>
          </w:tcPr>
          <w:p w14:paraId="2C3E2038" w14:textId="77777777" w:rsidR="00CF6824" w:rsidRDefault="00000000">
            <w:r>
              <w:t>A dummy equals one if the household never receives social assistance</w:t>
            </w:r>
          </w:p>
        </w:tc>
      </w:tr>
      <w:tr w:rsidR="00CF6824" w14:paraId="4B6E37CF" w14:textId="77777777">
        <w:tc>
          <w:tcPr>
            <w:tcW w:w="4508" w:type="dxa"/>
          </w:tcPr>
          <w:p w14:paraId="0FB4CD4C" w14:textId="77777777" w:rsidR="00CF6824" w:rsidRDefault="00000000">
            <w:proofErr w:type="spellStart"/>
            <w:r>
              <w:t>hhsize</w:t>
            </w:r>
            <w:proofErr w:type="spellEnd"/>
          </w:p>
        </w:tc>
        <w:tc>
          <w:tcPr>
            <w:tcW w:w="4508" w:type="dxa"/>
          </w:tcPr>
          <w:p w14:paraId="26349CC0" w14:textId="77777777" w:rsidR="00CF6824" w:rsidRDefault="00000000">
            <w:r>
              <w:t>Total number of individuals living in the household</w:t>
            </w:r>
          </w:p>
        </w:tc>
      </w:tr>
    </w:tbl>
    <w:p w14:paraId="5E5FD3AB" w14:textId="77777777" w:rsidR="00CF6824" w:rsidRDefault="00CF6824"/>
    <w:p w14:paraId="1D482E4D" w14:textId="77777777" w:rsidR="00CF6824" w:rsidRDefault="00000000">
      <w:pPr>
        <w:pStyle w:val="Heading2"/>
        <w:numPr>
          <w:ilvl w:val="1"/>
          <w:numId w:val="5"/>
        </w:numPr>
        <w:ind w:left="360"/>
      </w:pPr>
      <w:r>
        <w:t xml:space="preserve"> Treatment Effects</w:t>
      </w:r>
    </w:p>
    <w:p w14:paraId="7524F804" w14:textId="77777777" w:rsidR="00CF6824" w:rsidRDefault="00000000">
      <w:pPr>
        <w:pStyle w:val="Heading3"/>
        <w:numPr>
          <w:ilvl w:val="2"/>
          <w:numId w:val="5"/>
        </w:numPr>
        <w:ind w:left="720"/>
      </w:pPr>
      <w:r>
        <w:t>Intent to Treat</w:t>
      </w:r>
    </w:p>
    <w:p w14:paraId="264BAC90" w14:textId="77777777" w:rsidR="00CF6824" w:rsidRDefault="00000000">
      <w:r>
        <w:t>We write our main estimation model in Equation 1.</w:t>
      </w:r>
    </w:p>
    <w:p w14:paraId="4027D493" w14:textId="33D4D777" w:rsidR="00CF6824" w:rsidRDefault="00000000">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i</m:t>
              </m:r>
            </m:sub>
          </m:sSub>
          <m:r>
            <w:rPr>
              <w:rFonts w:ascii="Cambria Math" w:eastAsia="Cambria Math" w:hAnsi="Cambria Math" w:cs="Cambria Math"/>
            </w:rPr>
            <m:t xml:space="preserve">+ </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m:t>
              </m:r>
            </m:sub>
          </m:sSub>
          <m:r>
            <w:rPr>
              <w:rFonts w:ascii="Cambria Math" w:eastAsia="Cambria Math" w:hAnsi="Cambria Math" w:cs="Cambria Math"/>
            </w:rPr>
            <m:t xml:space="preserve"> (1)</m:t>
          </m:r>
        </m:oMath>
      </m:oMathPara>
    </w:p>
    <w:p w14:paraId="5312D116" w14:textId="273C50C8" w:rsidR="00CF6824" w:rsidRDefault="00000000">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oMath>
      <w:r>
        <w:t xml:space="preserve"> is the outcome variable of individual i. </w:t>
      </w:r>
      <m:oMath>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e>
        </m:nary>
      </m:oMath>
      <w:r>
        <w:t xml:space="preserve"> is a vector of treatment dummies for individual i. We include five dummies corresponding to five treatment arms to allow us to obtain the treatment effects of each arm. Each treatment dummy will yield </w:t>
      </w:r>
      <m:oMath>
        <m:sSub>
          <m:sSubPr>
            <m:ctrlPr>
              <w:rPr>
                <w:rFonts w:ascii="Cambria Math" w:eastAsia="Cambria Math" w:hAnsi="Cambria Math" w:cs="Cambria Math"/>
              </w:rPr>
            </m:ctrlPr>
          </m:sSubPr>
          <m:e>
            <m:r>
              <w:rPr>
                <w:rFonts w:ascii="Cambria Math" w:hAnsi="Cambria Math"/>
              </w:rPr>
              <m:t>τ</m:t>
            </m:r>
          </m:e>
          <m:sub>
            <m:r>
              <w:rPr>
                <w:rFonts w:ascii="Cambria Math" w:eastAsia="Cambria Math" w:hAnsi="Cambria Math" w:cs="Cambria Math"/>
              </w:rPr>
              <m:t>ij</m:t>
            </m:r>
          </m:sub>
        </m:sSub>
      </m:oMath>
      <w:r>
        <w:t xml:space="preserve">. This is our coefficient of interest. It is essentially the mean difference of the outcome between treatment arm j against the control group. </w:t>
      </w:r>
      <m:oMath>
        <m:sSub>
          <m:sSubPr>
            <m:ctrlPr>
              <w:rPr>
                <w:rFonts w:ascii="Cambria Math" w:eastAsia="Cambria Math" w:hAnsi="Cambria Math" w:cs="Cambria Math"/>
              </w:rPr>
            </m:ctrlPr>
          </m:sSubPr>
          <m:e>
            <m:r>
              <w:rPr>
                <w:rFonts w:ascii="Cambria Math" w:hAnsi="Cambria Math"/>
              </w:rPr>
              <m:t>β</m:t>
            </m:r>
          </m:e>
          <m:sub>
            <m:r>
              <w:rPr>
                <w:rFonts w:ascii="Cambria Math" w:eastAsia="Cambria Math" w:hAnsi="Cambria Math" w:cs="Cambria Math"/>
              </w:rPr>
              <m:t>i</m:t>
            </m:r>
          </m:sub>
        </m:sSub>
      </m:oMath>
      <w:r>
        <w:t xml:space="preserve"> and </w:t>
      </w:r>
      <m:oMath>
        <m:sSub>
          <m:sSubPr>
            <m:ctrlPr>
              <w:rPr>
                <w:rFonts w:ascii="Cambria Math" w:eastAsia="Cambria Math" w:hAnsi="Cambria Math" w:cs="Cambria Math"/>
              </w:rPr>
            </m:ctrlPr>
          </m:sSubPr>
          <m:e>
            <m:r>
              <w:rPr>
                <w:rFonts w:ascii="Cambria Math" w:hAnsi="Cambria Math"/>
              </w:rPr>
              <m:t>ε</m:t>
            </m:r>
          </m:e>
          <m:sub>
            <m:r>
              <w:rPr>
                <w:rFonts w:ascii="Cambria Math" w:eastAsia="Cambria Math" w:hAnsi="Cambria Math" w:cs="Cambria Math"/>
              </w:rPr>
              <m:t>i</m:t>
            </m:r>
          </m:sub>
        </m:sSub>
      </m:oMath>
      <w:r>
        <w:t xml:space="preserve"> are the regression intercept and idiosyncratic errors, respectively.</w:t>
      </w:r>
    </w:p>
    <w:p w14:paraId="13EC0FFD" w14:textId="77777777" w:rsidR="00CF6824" w:rsidRDefault="00000000">
      <w:r>
        <w:lastRenderedPageBreak/>
        <w:t>We will also run an estimation with control variables as sensitivity analysis to the first estimation. We specify the model in Equation 2.</w:t>
      </w:r>
    </w:p>
    <w:p w14:paraId="622E0BF7" w14:textId="552EB5AC" w:rsidR="00CF6824" w:rsidRDefault="00000000">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i</m:t>
              </m:r>
            </m:sub>
          </m:sSub>
          <m:r>
            <w:rPr>
              <w:rFonts w:ascii="Cambria Math" w:eastAsia="Cambria Math" w:hAnsi="Cambria Math" w:cs="Cambria Math"/>
            </w:rPr>
            <m:t xml:space="preserve">+ </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e>
          </m:nary>
          <m:r>
            <w:rPr>
              <w:rFonts w:ascii="Cambria Math" w:eastAsia="Cambria Math" w:hAnsi="Cambria Math" w:cs="Cambria Math"/>
            </w:rPr>
            <m:t xml:space="preserve">+ </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k</m:t>
              </m:r>
            </m:sup>
            <m:e>
              <m:sSub>
                <m:sSubPr>
                  <m:ctrlPr>
                    <w:rPr>
                      <w:rFonts w:ascii="Cambria Math" w:eastAsia="Cambria Math" w:hAnsi="Cambria Math" w:cs="Cambria Math"/>
                    </w:rPr>
                  </m:ctrlPr>
                </m:sSubPr>
                <m:e>
                  <m:r>
                    <w:rPr>
                      <w:rFonts w:ascii="Cambria Math" w:eastAsia="Cambria Math" w:hAnsi="Cambria Math" w:cs="Cambria Math"/>
                    </w:rPr>
                    <m:t>θ</m:t>
                  </m:r>
                </m:e>
                <m:sub>
                  <m:r>
                    <w:rPr>
                      <w:rFonts w:ascii="Cambria Math" w:eastAsia="Cambria Math" w:hAnsi="Cambria Math" w:cs="Cambria Math"/>
                    </w:rPr>
                    <m:t>ik</m:t>
                  </m:r>
                </m:sub>
              </m:sSub>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ik</m:t>
                  </m:r>
                </m:sub>
              </m:sSub>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 ε</m:t>
              </m:r>
            </m:e>
            <m:sub>
              <m:r>
                <w:rPr>
                  <w:rFonts w:ascii="Cambria Math" w:eastAsia="Cambria Math" w:hAnsi="Cambria Math" w:cs="Cambria Math"/>
                </w:rPr>
                <m:t>i</m:t>
              </m:r>
            </m:sub>
          </m:sSub>
          <m:r>
            <w:rPr>
              <w:rFonts w:ascii="Cambria Math" w:eastAsia="Cambria Math" w:hAnsi="Cambria Math" w:cs="Cambria Math"/>
            </w:rPr>
            <m:t xml:space="preserve"> (2)</m:t>
          </m:r>
        </m:oMath>
      </m:oMathPara>
    </w:p>
    <w:p w14:paraId="1B8DDF45" w14:textId="36FAE618" w:rsidR="00CF6824" w:rsidRDefault="00000000">
      <m:oMath>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k</m:t>
            </m:r>
          </m:sup>
          <m:e>
            <m:sSub>
              <m:sSubPr>
                <m:ctrlPr>
                  <w:rPr>
                    <w:rFonts w:ascii="Cambria Math" w:hAnsi="Cambria Math"/>
                  </w:rPr>
                </m:ctrlPr>
              </m:sSubPr>
              <m:e>
                <m:r>
                  <w:rPr>
                    <w:rFonts w:ascii="Cambria Math" w:eastAsia="Cambria Math" w:hAnsi="Cambria Math"/>
                  </w:rPr>
                  <m:t>X</m:t>
                </m:r>
              </m:e>
              <m:sub>
                <m:r>
                  <w:rPr>
                    <w:rFonts w:ascii="Cambria Math" w:eastAsia="Cambria Math" w:hAnsi="Cambria Math"/>
                  </w:rPr>
                  <m:t>ik</m:t>
                </m:r>
              </m:sub>
            </m:sSub>
          </m:e>
        </m:nary>
      </m:oMath>
      <w:r>
        <w:t xml:space="preserve"> is a vector of covariates for individual i. We have not determined the number of controls we plan to use. Following the suggestion of Kerwin (2025), we will include age, sex, and province-fixed effect as controls because we used them in the sampling frame. We then let the Post Double Selection Lasso procedure developed by Chernozhukov et al. (2016) determine the remaining appropriate control variables. </w:t>
      </w:r>
    </w:p>
    <w:p w14:paraId="601EA07C" w14:textId="23C33CE2" w:rsidR="00277B0F" w:rsidRDefault="00000000">
      <w:r>
        <w:t>Finally, we will also control for the degree of conservatism, social desirability bias index, whether the respondents correctly interpreted the message, and respondent’s duration in answering the questions as a robustness check.</w:t>
      </w:r>
    </w:p>
    <w:p w14:paraId="20E36993" w14:textId="77777777" w:rsidR="00CF6824" w:rsidRDefault="00000000">
      <w:pPr>
        <w:pStyle w:val="Heading3"/>
        <w:numPr>
          <w:ilvl w:val="2"/>
          <w:numId w:val="5"/>
        </w:numPr>
        <w:ind w:left="720"/>
      </w:pPr>
      <w:r>
        <w:t>Treatment on the Treated</w:t>
      </w:r>
    </w:p>
    <w:p w14:paraId="4F55E1C0" w14:textId="77777777" w:rsidR="00CF6824" w:rsidRDefault="00000000">
      <w:r>
        <w:t xml:space="preserve">We do not expect ITT to be different than TOT in our study. The nature of our experiment does not leave much room for non-compliance. If you are assigned to a stimulus, there is no way for you to choose another stimulus. You can only unassign yourself from treatment by not participating in the experiment. The only considerable threat is when respondents skip the stimulus and do not read it. We implement the following actions to address this issue: </w:t>
      </w:r>
    </w:p>
    <w:p w14:paraId="2CC2692E" w14:textId="77777777" w:rsidR="00CF6824" w:rsidRDefault="00000000">
      <w:pPr>
        <w:numPr>
          <w:ilvl w:val="0"/>
          <w:numId w:val="4"/>
        </w:numPr>
        <w:pBdr>
          <w:top w:val="nil"/>
          <w:left w:val="nil"/>
          <w:bottom w:val="nil"/>
          <w:right w:val="nil"/>
          <w:between w:val="nil"/>
        </w:pBdr>
        <w:spacing w:after="0"/>
      </w:pPr>
      <w:r>
        <w:rPr>
          <w:color w:val="000000"/>
        </w:rPr>
        <w:t>We do not consider any respondent with a survey duration lower than 12 minutes as completed responses. There is a higher likelihood that respondents do not read the stimulus when the survey duration is implausibly quick. Our final sample of 4,000 observations will only include completed responses.</w:t>
      </w:r>
    </w:p>
    <w:p w14:paraId="3949C8CD" w14:textId="77777777" w:rsidR="00CF6824" w:rsidRDefault="00000000">
      <w:pPr>
        <w:numPr>
          <w:ilvl w:val="0"/>
          <w:numId w:val="4"/>
        </w:numPr>
        <w:pBdr>
          <w:top w:val="nil"/>
          <w:left w:val="nil"/>
          <w:bottom w:val="nil"/>
          <w:right w:val="nil"/>
          <w:between w:val="nil"/>
        </w:pBdr>
        <w:spacing w:before="0"/>
      </w:pPr>
      <w:r>
        <w:rPr>
          <w:color w:val="000000"/>
        </w:rPr>
        <w:t>As we explained in the preceding section, we will include an indicator for whether the respondents correctly interpreted the message and the respondent’s survey duration as covariates in the regression. In theory, this should absorb the distortions caused by survey speeders.</w:t>
      </w:r>
    </w:p>
    <w:p w14:paraId="5EA93810" w14:textId="77777777" w:rsidR="00CF6824" w:rsidRDefault="00000000">
      <w:r>
        <w:t>Treatment spillover is only possible in the unlikeliest circumstances – i.e. when our respondents share their stimulus with each other. Given that we recruit from such a large pool and our coverage is national, we deem this improbable.</w:t>
      </w:r>
    </w:p>
    <w:p w14:paraId="1CD8A49E" w14:textId="77777777" w:rsidR="00CF6824" w:rsidRDefault="00000000">
      <w:pPr>
        <w:pStyle w:val="Heading2"/>
        <w:numPr>
          <w:ilvl w:val="1"/>
          <w:numId w:val="5"/>
        </w:numPr>
        <w:ind w:left="360"/>
      </w:pPr>
      <w:r>
        <w:lastRenderedPageBreak/>
        <w:t xml:space="preserve"> Heterogeneous Effects</w:t>
      </w:r>
    </w:p>
    <w:p w14:paraId="3E2FFCF8" w14:textId="77777777" w:rsidR="00CF6824" w:rsidRDefault="00000000">
      <w:r>
        <w:t xml:space="preserve">We are interested in learning the treatment effect heterogeneity by gender, region, education level, and SES status. These are standard demography-based sample groupings. We will update the analysis plan if we decide to add more heterogeneity dimensions. </w:t>
      </w:r>
    </w:p>
    <w:p w14:paraId="52087914" w14:textId="77777777" w:rsidR="00CF6824" w:rsidRDefault="00000000">
      <w:pPr>
        <w:pStyle w:val="Heading3"/>
        <w:numPr>
          <w:ilvl w:val="2"/>
          <w:numId w:val="5"/>
        </w:numPr>
        <w:ind w:left="720"/>
      </w:pPr>
      <w:r>
        <w:t>Intent to Treat</w:t>
      </w:r>
    </w:p>
    <w:p w14:paraId="2A19DCF1" w14:textId="77777777" w:rsidR="00CF6824" w:rsidRDefault="00000000">
      <w:r>
        <w:t>Our regression model for the heterogeneity analysis will be simple, as given by Equation 3.</w:t>
      </w:r>
    </w:p>
    <w:p w14:paraId="3D3DD9E0" w14:textId="15EBABF6" w:rsidR="00CF6824" w:rsidRDefault="00000000">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i</m:t>
              </m:r>
            </m:sub>
          </m:sSub>
          <m:r>
            <w:rPr>
              <w:rFonts w:ascii="Cambria Math" w:eastAsia="Cambria Math" w:hAnsi="Cambria Math" w:cs="Cambria Math"/>
            </w:rPr>
            <m:t xml:space="preserve">+ </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δ</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r>
                <w:rPr>
                  <w:rFonts w:ascii="Cambria Math" w:eastAsia="Cambria Math" w:hAnsi="Cambria Math" w:cs="Cambria Math"/>
                </w:rPr>
                <m:t>)</m:t>
              </m:r>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m:t>
              </m:r>
            </m:sub>
          </m:sSub>
          <m:r>
            <w:rPr>
              <w:rFonts w:ascii="Cambria Math" w:eastAsia="Cambria Math" w:hAnsi="Cambria Math" w:cs="Cambria Math"/>
            </w:rPr>
            <m:t xml:space="preserve"> (3)</m:t>
          </m:r>
        </m:oMath>
      </m:oMathPara>
    </w:p>
    <w:p w14:paraId="08DC356E" w14:textId="752A8268" w:rsidR="00CF6824" w:rsidRDefault="00000000">
      <w:r>
        <w:t xml:space="preserve">Equation 3 is simply the extension of Equation 1 and utilizes a simple double difference framework. We add </w:t>
      </w: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oMath>
      <w:r>
        <w:t xml:space="preserve">, which is a dummy for the heterogeneous group. We then interact this term with each treatment dummy in </w:t>
      </w:r>
      <m:oMath>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r>
              <w:rPr>
                <w:rFonts w:ascii="Cambria Math" w:eastAsia="Cambria Math" w:hAnsi="Cambria Math" w:cs="Cambria Math"/>
              </w:rPr>
              <m:t>)</m:t>
            </m:r>
          </m:e>
        </m:nary>
      </m:oMath>
      <w:r>
        <w:t xml:space="preserve">. This will yield </w:t>
      </w:r>
      <m:oMath>
        <m:sSub>
          <m:sSubPr>
            <m:ctrlPr>
              <w:rPr>
                <w:rFonts w:ascii="Cambria Math" w:eastAsia="Cambria Math" w:hAnsi="Cambria Math" w:cs="Cambria Math"/>
              </w:rPr>
            </m:ctrlPr>
          </m:sSubPr>
          <m:e>
            <m:r>
              <w:rPr>
                <w:rFonts w:ascii="Cambria Math" w:hAnsi="Cambria Math"/>
              </w:rPr>
              <m:t>δ</m:t>
            </m:r>
          </m:e>
          <m:sub>
            <m:r>
              <w:rPr>
                <w:rFonts w:ascii="Cambria Math" w:eastAsia="Cambria Math" w:hAnsi="Cambria Math" w:cs="Cambria Math"/>
              </w:rPr>
              <m:t>ij</m:t>
            </m:r>
          </m:sub>
        </m:sSub>
      </m:oMath>
      <w:r>
        <w:t xml:space="preserve">, which tells us the treatment effect for the group in which the heterogeneous group dummy equals one. For example, if </w:t>
      </w: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oMath>
      <w:r>
        <w:t xml:space="preserve"> is a </w:t>
      </w:r>
      <w:r w:rsidR="001B2214">
        <w:t>dummy equal</w:t>
      </w:r>
      <w:r>
        <w:t xml:space="preserve"> one if the individual </w:t>
      </w:r>
      <w:proofErr w:type="spellStart"/>
      <w:r>
        <w:t>i</w:t>
      </w:r>
      <w:proofErr w:type="spellEnd"/>
      <w:r>
        <w:t xml:space="preserve"> is male, then </w:t>
      </w:r>
      <m:oMath>
        <m:sSub>
          <m:sSubPr>
            <m:ctrlPr>
              <w:rPr>
                <w:rFonts w:ascii="Cambria Math" w:eastAsia="Cambria Math" w:hAnsi="Cambria Math" w:cs="Cambria Math"/>
              </w:rPr>
            </m:ctrlPr>
          </m:sSubPr>
          <m:e>
            <m:r>
              <w:rPr>
                <w:rFonts w:ascii="Cambria Math" w:hAnsi="Cambria Math"/>
              </w:rPr>
              <m:t>δ</m:t>
            </m:r>
          </m:e>
          <m:sub>
            <m:r>
              <w:rPr>
                <w:rFonts w:ascii="Cambria Math" w:eastAsia="Cambria Math" w:hAnsi="Cambria Math" w:cs="Cambria Math"/>
              </w:rPr>
              <m:t>ij</m:t>
            </m:r>
          </m:sub>
        </m:sSub>
      </m:oMath>
      <w:r>
        <w:t xml:space="preserve"> will give us the treatment effect of treatment j for males. Meanwhile, </w:t>
      </w:r>
      <m:oMath>
        <m:sSub>
          <m:sSubPr>
            <m:ctrlPr>
              <w:rPr>
                <w:rFonts w:ascii="Cambria Math" w:eastAsia="Cambria Math" w:hAnsi="Cambria Math" w:cs="Cambria Math"/>
              </w:rPr>
            </m:ctrlPr>
          </m:sSubPr>
          <m:e>
            <m:r>
              <w:rPr>
                <w:rFonts w:ascii="Cambria Math" w:hAnsi="Cambria Math"/>
              </w:rPr>
              <m:t>τ</m:t>
            </m:r>
          </m:e>
          <m:sub>
            <m:r>
              <w:rPr>
                <w:rFonts w:ascii="Cambria Math" w:eastAsia="Cambria Math" w:hAnsi="Cambria Math" w:cs="Cambria Math"/>
              </w:rPr>
              <m:t>ij</m:t>
            </m:r>
          </m:sub>
        </m:sSub>
      </m:oMath>
      <w:r>
        <w:t xml:space="preserve"> will give us the treatment effect of arm j for females.</w:t>
      </w:r>
    </w:p>
    <w:p w14:paraId="02FA6247" w14:textId="77777777" w:rsidR="00CF6824" w:rsidRDefault="00000000">
      <w:r>
        <w:t>Equation 4 gives the heterogeneity analysis regression model with controls.</w:t>
      </w:r>
    </w:p>
    <w:p w14:paraId="5A9902CD" w14:textId="2D6A6BF0" w:rsidR="00CF6824" w:rsidRDefault="00000000">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i</m:t>
              </m:r>
            </m:sub>
          </m:sSub>
          <m:r>
            <w:rPr>
              <w:rFonts w:ascii="Cambria Math" w:eastAsia="Cambria Math" w:hAnsi="Cambria Math" w:cs="Cambria Math"/>
            </w:rPr>
            <m:t xml:space="preserve">+ </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τ</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j=5</m:t>
              </m:r>
            </m:sup>
            <m:e>
              <m:sSub>
                <m:sSubPr>
                  <m:ctrlPr>
                    <w:rPr>
                      <w:rFonts w:ascii="Cambria Math" w:eastAsia="Cambria Math" w:hAnsi="Cambria Math" w:cs="Cambria Math"/>
                    </w:rPr>
                  </m:ctrlPr>
                </m:sSubPr>
                <m:e>
                  <m:r>
                    <w:rPr>
                      <w:rFonts w:ascii="Cambria Math" w:eastAsia="Cambria Math" w:hAnsi="Cambria Math" w:cs="Cambria Math"/>
                    </w:rPr>
                    <m:t>δ</m:t>
                  </m:r>
                </m:e>
                <m:sub>
                  <m:r>
                    <w:rPr>
                      <w:rFonts w:ascii="Cambria Math" w:eastAsia="Cambria Math" w:hAnsi="Cambria Math" w:cs="Cambria Math"/>
                    </w:rPr>
                    <m:t>ij</m:t>
                  </m:r>
                </m:sub>
              </m:sSub>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ij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r>
                <w:rPr>
                  <w:rFonts w:ascii="Cambria Math" w:eastAsia="Cambria Math" w:hAnsi="Cambria Math" w:cs="Cambria Math"/>
                </w:rPr>
                <m:t>)</m:t>
              </m:r>
            </m:e>
          </m:nary>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1</m:t>
              </m:r>
            </m:sub>
            <m:sup>
              <m:r>
                <w:rPr>
                  <w:rFonts w:ascii="Cambria Math" w:eastAsia="Cambria Math" w:hAnsi="Cambria Math" w:cs="Cambria Math"/>
                </w:rPr>
                <m:t>k</m:t>
              </m:r>
            </m:sup>
            <m:e>
              <m:sSub>
                <m:sSubPr>
                  <m:ctrlPr>
                    <w:rPr>
                      <w:rFonts w:ascii="Cambria Math" w:eastAsia="Cambria Math" w:hAnsi="Cambria Math" w:cs="Cambria Math"/>
                    </w:rPr>
                  </m:ctrlPr>
                </m:sSubPr>
                <m:e>
                  <m:r>
                    <w:rPr>
                      <w:rFonts w:ascii="Cambria Math" w:eastAsia="Cambria Math" w:hAnsi="Cambria Math" w:cs="Cambria Math"/>
                    </w:rPr>
                    <m:t>θ</m:t>
                  </m:r>
                </m:e>
                <m:sub>
                  <m:r>
                    <w:rPr>
                      <w:rFonts w:ascii="Cambria Math" w:eastAsia="Cambria Math" w:hAnsi="Cambria Math" w:cs="Cambria Math"/>
                    </w:rPr>
                    <m:t>ik</m:t>
                  </m:r>
                </m:sub>
              </m:sSub>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ik</m:t>
                  </m:r>
                </m:sub>
              </m:sSub>
            </m:e>
          </m:nary>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m:t>
              </m:r>
            </m:sub>
          </m:sSub>
          <m:r>
            <w:rPr>
              <w:rFonts w:ascii="Cambria Math" w:eastAsia="Cambria Math" w:hAnsi="Cambria Math" w:cs="Cambria Math"/>
            </w:rPr>
            <m:t xml:space="preserve"> (4)</m:t>
          </m:r>
        </m:oMath>
      </m:oMathPara>
    </w:p>
    <w:p w14:paraId="3B0D577B" w14:textId="77777777" w:rsidR="00CF6824" w:rsidRDefault="00000000">
      <w:pPr>
        <w:pStyle w:val="Heading3"/>
        <w:numPr>
          <w:ilvl w:val="2"/>
          <w:numId w:val="5"/>
        </w:numPr>
        <w:ind w:left="720"/>
      </w:pPr>
      <w:r>
        <w:t>Treatment on the Treated</w:t>
      </w:r>
    </w:p>
    <w:p w14:paraId="09E1CE79" w14:textId="77777777" w:rsidR="00CF6824" w:rsidRDefault="00000000">
      <w:r>
        <w:t>We implement the same procedure as the main sample for the heterogeneity analysis.</w:t>
      </w:r>
    </w:p>
    <w:p w14:paraId="36BAA1B1" w14:textId="77777777" w:rsidR="00CF6824" w:rsidRDefault="00000000">
      <w:pPr>
        <w:pStyle w:val="Heading2"/>
        <w:numPr>
          <w:ilvl w:val="1"/>
          <w:numId w:val="5"/>
        </w:numPr>
        <w:ind w:left="360"/>
      </w:pPr>
      <w:r>
        <w:t xml:space="preserve"> Standard Error Adjustment</w:t>
      </w:r>
    </w:p>
    <w:p w14:paraId="30D9E3CF" w14:textId="77777777" w:rsidR="00CF6824" w:rsidRDefault="00000000">
      <w:r>
        <w:t>Since we randomize treatment assignment at the individual level, we do not cluster our standard error (Abadie et al., 2023). However, we still implement the Huber-White sandwich estimator to obtain heteroskedasticity-robust standard errors (White, 1980).</w:t>
      </w:r>
    </w:p>
    <w:p w14:paraId="3205543E" w14:textId="0BE8F7CB" w:rsidR="00CF6824" w:rsidRPr="00BA7131" w:rsidRDefault="00BA7131" w:rsidP="00BA7131">
      <w:r>
        <w:t xml:space="preserve">We plan to address multiple hypothesis testing issues. However, we need more time to learn the latest developments in the field and prepare a specific plan at this stage. We are committed to following the most updated approach in the field. At the very least, we plan on executing the procedures discussed in </w:t>
      </w:r>
      <w:r>
        <w:fldChar w:fldCharType="begin"/>
      </w:r>
      <w:r>
        <w:instrText xml:space="preserve"> ADDIN ZOTERO_ITEM CSL_CITATION {"citationID":"CIbvhg2R","properties":{"formattedCitation":"(McKenzie, 2012)","plainCitation":"(McKenzie, 2012)","noteIndex":0},"citationItems":[{"id":2172,"uris":["http://zotero.org/users/9708632/items/GJJVDHU5"],"itemData":{"id":2172,"type":"webpage","abstract":"As our impact evaluations broaden to consider more and more possible outcomes of economic interventions (an extreme example being the 334 unique outcome variables considered by Casey et al. in their CDD evaluation) and increasingly investigate the channels of impact through subgroup heterogeneity analysis, the issue of multiple hypothesis testing ...","container-title":"World Bank Blogs","language":"en","title":"Tools of the Trade: A quick adjustment for multiple hypothesis testing","title-short":"Tools of the Trade","URL":"https://blogs.worldbank.org/en/impactevaluations/tools-of-the-trade-a-quick-adjustment-for-multiple-hypothesis-testing","author":[{"family":"McKenzie","given":"David"}],"accessed":{"date-parts":[["2025",2,26]]},"issued":{"date-parts":[["2012",10,21]]}}}],"schema":"https://github.com/citation-style-language/schema/raw/master/csl-citation.json"} </w:instrText>
      </w:r>
      <w:r>
        <w:fldChar w:fldCharType="separate"/>
      </w:r>
      <w:r w:rsidRPr="00BA7131">
        <w:t xml:space="preserve">McKenzie </w:t>
      </w:r>
      <w:r>
        <w:t>(</w:t>
      </w:r>
      <w:r w:rsidRPr="00BA7131">
        <w:t>2012)</w:t>
      </w:r>
      <w:r>
        <w:fldChar w:fldCharType="end"/>
      </w:r>
      <w:r>
        <w:t xml:space="preserve"> and </w:t>
      </w:r>
      <w:r>
        <w:fldChar w:fldCharType="begin"/>
      </w:r>
      <w:r>
        <w:instrText xml:space="preserve"> ADDIN ZOTERO_ITEM CSL_CITATION {"citationID":"Yo9LErw0","properties":{"formattedCitation":"(McKenzie, 2020)","plainCitation":"(McKenzie, 2020)","noteIndex":0},"citationItems":[{"id":2170,"uris":["http://zotero.org/users/9708632/items/NK7LTRST"],"itemData":{"id":2170,"type":"webpage","abstract":"I review Stata commands for Anderson sharpened q-values, rwolf, wyoung, mhtexp, and randcmd","container-title":"World Bank Blogs","language":"en","title":"An overview of multiple hypothesis testing commands in Stata","URL":"https://blogs.worldbank.org/en/impactevaluations/overview-multiple-hypothesis-testing-commands-stata","author":[{"family":"McKenzie","given":"David"}],"accessed":{"date-parts":[["2025",2,26]]},"issued":{"date-parts":[["2020",6,1]]}}}],"schema":"https://github.com/citation-style-language/schema/raw/master/csl-citation.json"} </w:instrText>
      </w:r>
      <w:r>
        <w:fldChar w:fldCharType="separate"/>
      </w:r>
      <w:r w:rsidRPr="00BA7131">
        <w:t xml:space="preserve">McKenzie </w:t>
      </w:r>
      <w:r>
        <w:t>(</w:t>
      </w:r>
      <w:r w:rsidRPr="00BA7131">
        <w:t>2020)</w:t>
      </w:r>
      <w:r>
        <w:fldChar w:fldCharType="end"/>
      </w:r>
      <w:r>
        <w:t>. We will update the detailed plan at a later date.</w:t>
      </w:r>
    </w:p>
    <w:p w14:paraId="117D9269" w14:textId="781922AC" w:rsidR="00CF6824" w:rsidRDefault="00000000">
      <w:pPr>
        <w:pStyle w:val="Heading1"/>
        <w:numPr>
          <w:ilvl w:val="0"/>
          <w:numId w:val="5"/>
        </w:numPr>
        <w:ind w:left="360"/>
      </w:pPr>
      <w:r>
        <w:lastRenderedPageBreak/>
        <w:t>References</w:t>
      </w:r>
    </w:p>
    <w:p w14:paraId="19668F5A" w14:textId="77777777" w:rsidR="00CF6824" w:rsidRDefault="00000000">
      <w:pPr>
        <w:pBdr>
          <w:top w:val="nil"/>
          <w:left w:val="nil"/>
          <w:bottom w:val="nil"/>
          <w:right w:val="nil"/>
          <w:between w:val="nil"/>
        </w:pBdr>
        <w:rPr>
          <w:color w:val="000000"/>
        </w:rPr>
      </w:pPr>
      <w:r>
        <w:rPr>
          <w:color w:val="000000"/>
        </w:rPr>
        <w:t xml:space="preserve">Abadie, A., Athey, S., </w:t>
      </w:r>
      <w:proofErr w:type="spellStart"/>
      <w:r>
        <w:rPr>
          <w:color w:val="000000"/>
        </w:rPr>
        <w:t>Imbens</w:t>
      </w:r>
      <w:proofErr w:type="spellEnd"/>
      <w:r>
        <w:rPr>
          <w:color w:val="000000"/>
        </w:rPr>
        <w:t xml:space="preserve">, G. W., &amp; Wooldridge, J. M. (2023). When Should You Adjust Standard Errors for </w:t>
      </w:r>
      <w:proofErr w:type="gramStart"/>
      <w:r>
        <w:rPr>
          <w:color w:val="000000"/>
        </w:rPr>
        <w:t>Clustering?*</w:t>
      </w:r>
      <w:proofErr w:type="gramEnd"/>
      <w:r>
        <w:rPr>
          <w:color w:val="000000"/>
        </w:rPr>
        <w:t xml:space="preserve">. </w:t>
      </w:r>
      <w:r>
        <w:rPr>
          <w:i/>
          <w:color w:val="000000"/>
        </w:rPr>
        <w:t>The Quarterly Journal of Economics</w:t>
      </w:r>
      <w:r>
        <w:rPr>
          <w:color w:val="000000"/>
        </w:rPr>
        <w:t xml:space="preserve">, </w:t>
      </w:r>
      <w:r>
        <w:rPr>
          <w:i/>
          <w:color w:val="000000"/>
        </w:rPr>
        <w:t>138</w:t>
      </w:r>
      <w:r>
        <w:rPr>
          <w:color w:val="000000"/>
        </w:rPr>
        <w:t>(1), 1–35. https://doi.org/10.1093/qje/qjac038</w:t>
      </w:r>
    </w:p>
    <w:p w14:paraId="0E9634EF" w14:textId="77777777" w:rsidR="00CF6824" w:rsidRDefault="00000000">
      <w:pPr>
        <w:pBdr>
          <w:top w:val="nil"/>
          <w:left w:val="nil"/>
          <w:bottom w:val="nil"/>
          <w:right w:val="nil"/>
          <w:between w:val="nil"/>
        </w:pBdr>
        <w:rPr>
          <w:color w:val="000000"/>
        </w:rPr>
      </w:pPr>
      <w:r>
        <w:rPr>
          <w:color w:val="000000"/>
        </w:rPr>
        <w:t xml:space="preserve">Abram, N. J., McGregor, H. V., Tierney, J. E., Evans, M. N., McKay, N. P., &amp; Kaufman, D. S. (2016). Early onset of industrial-era warming across the oceans and continents. </w:t>
      </w:r>
      <w:r>
        <w:rPr>
          <w:i/>
          <w:color w:val="000000"/>
        </w:rPr>
        <w:t>Nature</w:t>
      </w:r>
      <w:r>
        <w:rPr>
          <w:color w:val="000000"/>
        </w:rPr>
        <w:t xml:space="preserve">, </w:t>
      </w:r>
      <w:r>
        <w:rPr>
          <w:i/>
          <w:color w:val="000000"/>
        </w:rPr>
        <w:t>536</w:t>
      </w:r>
      <w:r>
        <w:rPr>
          <w:color w:val="000000"/>
        </w:rPr>
        <w:t>(7617), 411–418. https://doi.org/10.1038/nature19082</w:t>
      </w:r>
    </w:p>
    <w:p w14:paraId="33796202" w14:textId="77777777" w:rsidR="00CF6824" w:rsidRDefault="00000000">
      <w:pPr>
        <w:pBdr>
          <w:top w:val="nil"/>
          <w:left w:val="nil"/>
          <w:bottom w:val="nil"/>
          <w:right w:val="nil"/>
          <w:between w:val="nil"/>
        </w:pBdr>
        <w:rPr>
          <w:color w:val="000000"/>
        </w:rPr>
      </w:pPr>
      <w:r>
        <w:rPr>
          <w:color w:val="000000"/>
        </w:rPr>
        <w:t xml:space="preserve">Akita, T., &amp; Kataoka, M. (2022). Analysis of Regional Inequality. In T. Akita &amp; M. Kataoka (Eds.), </w:t>
      </w:r>
      <w:r>
        <w:rPr>
          <w:i/>
          <w:color w:val="000000"/>
        </w:rPr>
        <w:t>Regional Inequality and Development: Measurement and Applications in Indonesia</w:t>
      </w:r>
      <w:r>
        <w:rPr>
          <w:color w:val="000000"/>
        </w:rPr>
        <w:t xml:space="preserve"> (pp. 77–120). Springer Nature. https://doi.org/10.1007/978-981-19-2968-7_3</w:t>
      </w:r>
    </w:p>
    <w:p w14:paraId="52B1AE82" w14:textId="77777777" w:rsidR="00CF6824" w:rsidRDefault="00000000">
      <w:pPr>
        <w:pBdr>
          <w:top w:val="nil"/>
          <w:left w:val="nil"/>
          <w:bottom w:val="nil"/>
          <w:right w:val="nil"/>
          <w:between w:val="nil"/>
        </w:pBdr>
        <w:rPr>
          <w:color w:val="000000"/>
        </w:rPr>
      </w:pPr>
      <w:r>
        <w:rPr>
          <w:color w:val="000000"/>
        </w:rPr>
        <w:t xml:space="preserve">Anderson, K. (2024, December 6). </w:t>
      </w:r>
      <w:r>
        <w:rPr>
          <w:i/>
          <w:color w:val="000000"/>
        </w:rPr>
        <w:t>Is there a growing resistance to climate change policies?</w:t>
      </w:r>
      <w:r>
        <w:rPr>
          <w:color w:val="000000"/>
        </w:rPr>
        <w:t xml:space="preserve"> https://greenly.earth/en-us/blog/ecology-news/is-there-a-growing-resistance-to-climate-change-policies</w:t>
      </w:r>
    </w:p>
    <w:p w14:paraId="05808B85" w14:textId="77777777" w:rsidR="00CF6824" w:rsidRDefault="00000000">
      <w:pPr>
        <w:pBdr>
          <w:top w:val="nil"/>
          <w:left w:val="nil"/>
          <w:bottom w:val="nil"/>
          <w:right w:val="nil"/>
          <w:between w:val="nil"/>
        </w:pBdr>
        <w:rPr>
          <w:color w:val="000000"/>
        </w:rPr>
      </w:pPr>
      <w:r>
        <w:rPr>
          <w:color w:val="000000"/>
        </w:rPr>
        <w:t xml:space="preserve">Banerjee, A., Duflo, E., Finkelstein, A., Katz, L. F., Olken, B. A., &amp; </w:t>
      </w:r>
      <w:proofErr w:type="spellStart"/>
      <w:r>
        <w:rPr>
          <w:color w:val="000000"/>
        </w:rPr>
        <w:t>Sautmann</w:t>
      </w:r>
      <w:proofErr w:type="spellEnd"/>
      <w:r>
        <w:rPr>
          <w:color w:val="000000"/>
        </w:rPr>
        <w:t xml:space="preserve">, A. (2020). </w:t>
      </w:r>
      <w:r>
        <w:rPr>
          <w:i/>
          <w:color w:val="000000"/>
        </w:rPr>
        <w:t>In Praise of Moderation: Suggestions for the Scope and Use of Pre-Analysis Plans for RCTs in Economics</w:t>
      </w:r>
      <w:r>
        <w:rPr>
          <w:color w:val="000000"/>
        </w:rPr>
        <w:t xml:space="preserve"> (Working Paper No. 26993). National Bureau of Economic Research. https://doi.org/10.3386/w26993</w:t>
      </w:r>
    </w:p>
    <w:p w14:paraId="2F751C13" w14:textId="77777777" w:rsidR="00CF6824" w:rsidRDefault="00000000">
      <w:pPr>
        <w:pBdr>
          <w:top w:val="nil"/>
          <w:left w:val="nil"/>
          <w:bottom w:val="nil"/>
          <w:right w:val="nil"/>
          <w:between w:val="nil"/>
        </w:pBdr>
        <w:rPr>
          <w:color w:val="000000"/>
        </w:rPr>
      </w:pPr>
      <w:r>
        <w:rPr>
          <w:color w:val="000000"/>
        </w:rPr>
        <w:t xml:space="preserve">Beach, L. R., &amp; Wise, J. A. (2022). </w:t>
      </w:r>
      <w:r>
        <w:rPr>
          <w:i/>
          <w:color w:val="000000"/>
        </w:rPr>
        <w:t>The theory of narrative thought</w:t>
      </w:r>
      <w:r>
        <w:rPr>
          <w:color w:val="000000"/>
        </w:rPr>
        <w:t xml:space="preserve"> (pp. x, 195). Cambridge Scholars Publishing.</w:t>
      </w:r>
    </w:p>
    <w:p w14:paraId="3AC2C591" w14:textId="77777777" w:rsidR="00CF6824" w:rsidRDefault="00000000">
      <w:pPr>
        <w:pBdr>
          <w:top w:val="nil"/>
          <w:left w:val="nil"/>
          <w:bottom w:val="nil"/>
          <w:right w:val="nil"/>
          <w:between w:val="nil"/>
        </w:pBdr>
        <w:rPr>
          <w:color w:val="000000"/>
        </w:rPr>
      </w:pPr>
      <w:proofErr w:type="spellStart"/>
      <w:r>
        <w:rPr>
          <w:color w:val="000000"/>
        </w:rPr>
        <w:t>Chernozhukov</w:t>
      </w:r>
      <w:proofErr w:type="spellEnd"/>
      <w:r>
        <w:rPr>
          <w:color w:val="000000"/>
        </w:rPr>
        <w:t xml:space="preserve">, V., Hansen, C., &amp; Spindler, M. (2016). </w:t>
      </w:r>
      <w:r>
        <w:rPr>
          <w:i/>
          <w:color w:val="000000"/>
        </w:rPr>
        <w:t>High-Dimensional Metrics in R</w:t>
      </w:r>
      <w:r>
        <w:rPr>
          <w:color w:val="000000"/>
        </w:rPr>
        <w:t xml:space="preserve"> (No. arXiv:1603.01700). </w:t>
      </w:r>
      <w:proofErr w:type="spellStart"/>
      <w:r>
        <w:rPr>
          <w:color w:val="000000"/>
        </w:rPr>
        <w:t>arXiv</w:t>
      </w:r>
      <w:proofErr w:type="spellEnd"/>
      <w:r>
        <w:rPr>
          <w:color w:val="000000"/>
        </w:rPr>
        <w:t>. https://doi.org/10.48550/arXiv.1603.01700</w:t>
      </w:r>
    </w:p>
    <w:p w14:paraId="5D221C26" w14:textId="77777777" w:rsidR="00CF6824" w:rsidRDefault="00000000">
      <w:pPr>
        <w:pBdr>
          <w:top w:val="nil"/>
          <w:left w:val="nil"/>
          <w:bottom w:val="nil"/>
          <w:right w:val="nil"/>
          <w:between w:val="nil"/>
        </w:pBdr>
        <w:rPr>
          <w:color w:val="000000"/>
        </w:rPr>
      </w:pPr>
      <w:r>
        <w:rPr>
          <w:color w:val="000000"/>
        </w:rPr>
        <w:t xml:space="preserve">Crouch, H. A., &amp; Hill, H. (1992). </w:t>
      </w:r>
      <w:r>
        <w:rPr>
          <w:i/>
          <w:color w:val="000000"/>
        </w:rPr>
        <w:t>Indonesia Assessment 1992: Political Perspectives on the 1990</w:t>
      </w:r>
      <w:proofErr w:type="gramStart"/>
      <w:r>
        <w:rPr>
          <w:i/>
          <w:color w:val="000000"/>
        </w:rPr>
        <w:t>s :</w:t>
      </w:r>
      <w:proofErr w:type="gramEnd"/>
      <w:r>
        <w:rPr>
          <w:i/>
          <w:color w:val="000000"/>
        </w:rPr>
        <w:t xml:space="preserve"> Proceedings of Indonesia Update Conference, August 1992, Indonesia Project, Department of Economics and Department of Political and Social Change, Research School of Pacific Studies, ANU</w:t>
      </w:r>
      <w:r>
        <w:rPr>
          <w:color w:val="000000"/>
        </w:rPr>
        <w:t>. Department of Political and Social Change, Research School of Pacific Studies, Australian National University.</w:t>
      </w:r>
    </w:p>
    <w:p w14:paraId="009EBACB" w14:textId="77777777" w:rsidR="00CF6824" w:rsidRDefault="00000000">
      <w:pPr>
        <w:pBdr>
          <w:top w:val="nil"/>
          <w:left w:val="nil"/>
          <w:bottom w:val="nil"/>
          <w:right w:val="nil"/>
          <w:between w:val="nil"/>
        </w:pBdr>
        <w:rPr>
          <w:color w:val="000000"/>
        </w:rPr>
      </w:pPr>
      <w:proofErr w:type="spellStart"/>
      <w:r>
        <w:rPr>
          <w:color w:val="000000"/>
        </w:rPr>
        <w:t>Dechezleprêtre</w:t>
      </w:r>
      <w:proofErr w:type="spellEnd"/>
      <w:r>
        <w:rPr>
          <w:color w:val="000000"/>
        </w:rPr>
        <w:t xml:space="preserve">, A., Fabre, A., Kruse, T., </w:t>
      </w:r>
      <w:proofErr w:type="spellStart"/>
      <w:r>
        <w:rPr>
          <w:color w:val="000000"/>
        </w:rPr>
        <w:t>Planterose</w:t>
      </w:r>
      <w:proofErr w:type="spellEnd"/>
      <w:r>
        <w:rPr>
          <w:color w:val="000000"/>
        </w:rPr>
        <w:t xml:space="preserve">, B., Sanchez Chico, A., &amp; </w:t>
      </w:r>
      <w:proofErr w:type="spellStart"/>
      <w:r>
        <w:rPr>
          <w:color w:val="000000"/>
        </w:rPr>
        <w:t>Stantcheva</w:t>
      </w:r>
      <w:proofErr w:type="spellEnd"/>
      <w:r>
        <w:rPr>
          <w:color w:val="000000"/>
        </w:rPr>
        <w:t xml:space="preserve">, S. (2022). </w:t>
      </w:r>
      <w:r>
        <w:rPr>
          <w:i/>
          <w:color w:val="000000"/>
        </w:rPr>
        <w:t>Fighting Climate Change: International Attitudes Toward Climate Policies</w:t>
      </w:r>
      <w:r>
        <w:rPr>
          <w:color w:val="000000"/>
        </w:rPr>
        <w:t xml:space="preserve"> (Working Paper No. 30265). National Bureau of Economic Research. https://doi.org/10.3386/w30265</w:t>
      </w:r>
    </w:p>
    <w:p w14:paraId="6470C12E" w14:textId="77777777" w:rsidR="00CF6824" w:rsidRDefault="00000000">
      <w:pPr>
        <w:pBdr>
          <w:top w:val="nil"/>
          <w:left w:val="nil"/>
          <w:bottom w:val="nil"/>
          <w:right w:val="nil"/>
          <w:between w:val="nil"/>
        </w:pBdr>
        <w:rPr>
          <w:color w:val="000000"/>
        </w:rPr>
      </w:pPr>
      <w:r>
        <w:rPr>
          <w:color w:val="000000"/>
        </w:rPr>
        <w:lastRenderedPageBreak/>
        <w:t xml:space="preserve">Engelhardt, A. M., Feldman, S., &amp; Hetherington, M. J. (2023). Advancing the measurement of authoritarianism. </w:t>
      </w:r>
      <w:r>
        <w:rPr>
          <w:i/>
          <w:color w:val="000000"/>
        </w:rPr>
        <w:t xml:space="preserve">Political </w:t>
      </w:r>
      <w:proofErr w:type="spellStart"/>
      <w:r>
        <w:rPr>
          <w:i/>
          <w:color w:val="000000"/>
        </w:rPr>
        <w:t>Behavior</w:t>
      </w:r>
      <w:proofErr w:type="spellEnd"/>
      <w:r>
        <w:rPr>
          <w:color w:val="000000"/>
        </w:rPr>
        <w:t xml:space="preserve">, </w:t>
      </w:r>
      <w:r>
        <w:rPr>
          <w:i/>
          <w:color w:val="000000"/>
        </w:rPr>
        <w:t>45</w:t>
      </w:r>
      <w:r>
        <w:rPr>
          <w:color w:val="000000"/>
        </w:rPr>
        <w:t>(2), 537–560. https://doi.org/10.1007/s11109-021-09718-6</w:t>
      </w:r>
    </w:p>
    <w:p w14:paraId="54AFEDD5" w14:textId="77777777" w:rsidR="00CF6824" w:rsidRDefault="00000000">
      <w:pPr>
        <w:pBdr>
          <w:top w:val="nil"/>
          <w:left w:val="nil"/>
          <w:bottom w:val="nil"/>
          <w:right w:val="nil"/>
          <w:between w:val="nil"/>
        </w:pBdr>
        <w:rPr>
          <w:color w:val="000000"/>
        </w:rPr>
      </w:pPr>
      <w:r>
        <w:rPr>
          <w:color w:val="000000"/>
        </w:rPr>
        <w:t xml:space="preserve">Harring, N. (2021). </w:t>
      </w:r>
      <w:r>
        <w:rPr>
          <w:i/>
          <w:color w:val="000000"/>
        </w:rPr>
        <w:t>Green economy reform – social inclusion and policy instrument support</w:t>
      </w:r>
      <w:r>
        <w:rPr>
          <w:color w:val="000000"/>
        </w:rPr>
        <w:t>.</w:t>
      </w:r>
    </w:p>
    <w:p w14:paraId="7C43EDCD" w14:textId="77777777" w:rsidR="00CF6824" w:rsidRDefault="00000000">
      <w:pPr>
        <w:pBdr>
          <w:top w:val="nil"/>
          <w:left w:val="nil"/>
          <w:bottom w:val="nil"/>
          <w:right w:val="nil"/>
          <w:between w:val="nil"/>
        </w:pBdr>
        <w:rPr>
          <w:color w:val="000000"/>
        </w:rPr>
      </w:pPr>
      <w:r>
        <w:rPr>
          <w:color w:val="000000"/>
        </w:rPr>
        <w:t xml:space="preserve">Hill, H. (2021). What’s happened to poverty and inequality in Indonesia over half a century? </w:t>
      </w:r>
      <w:r>
        <w:rPr>
          <w:i/>
          <w:color w:val="000000"/>
        </w:rPr>
        <w:t>Asian Development Review</w:t>
      </w:r>
      <w:r>
        <w:rPr>
          <w:color w:val="000000"/>
        </w:rPr>
        <w:t xml:space="preserve">, </w:t>
      </w:r>
      <w:r>
        <w:rPr>
          <w:i/>
          <w:color w:val="000000"/>
        </w:rPr>
        <w:t>38</w:t>
      </w:r>
      <w:r>
        <w:rPr>
          <w:color w:val="000000"/>
        </w:rPr>
        <w:t>(1), 68–97. https://doi.org/10.1162/adev_a_00158</w:t>
      </w:r>
    </w:p>
    <w:p w14:paraId="5506C11D" w14:textId="77777777" w:rsidR="00CF6824" w:rsidRDefault="00000000">
      <w:pPr>
        <w:pBdr>
          <w:top w:val="nil"/>
          <w:left w:val="nil"/>
          <w:bottom w:val="nil"/>
          <w:right w:val="nil"/>
          <w:between w:val="nil"/>
        </w:pBdr>
        <w:rPr>
          <w:color w:val="000000"/>
        </w:rPr>
      </w:pPr>
      <w:r>
        <w:rPr>
          <w:color w:val="000000"/>
        </w:rPr>
        <w:t xml:space="preserve">Kalleberg, A. L., Hewison, K., &amp; Shin, K.-Y. (2021). </w:t>
      </w:r>
      <w:r>
        <w:rPr>
          <w:i/>
          <w:color w:val="000000"/>
        </w:rPr>
        <w:t>Precarious Asia: Global Capitalism and Work in Japan, South Korea, and Indonesia</w:t>
      </w:r>
      <w:r>
        <w:rPr>
          <w:color w:val="000000"/>
        </w:rPr>
        <w:t>. Stanford University Press.</w:t>
      </w:r>
    </w:p>
    <w:p w14:paraId="7F2B683F" w14:textId="77777777" w:rsidR="00CF6824" w:rsidRDefault="00000000">
      <w:pPr>
        <w:pBdr>
          <w:top w:val="nil"/>
          <w:left w:val="nil"/>
          <w:bottom w:val="nil"/>
          <w:right w:val="nil"/>
          <w:between w:val="nil"/>
        </w:pBdr>
        <w:rPr>
          <w:color w:val="000000"/>
        </w:rPr>
      </w:pPr>
      <w:r>
        <w:rPr>
          <w:color w:val="000000"/>
        </w:rPr>
        <w:t xml:space="preserve">Kementerian </w:t>
      </w:r>
      <w:proofErr w:type="spellStart"/>
      <w:r>
        <w:rPr>
          <w:color w:val="000000"/>
        </w:rPr>
        <w:t>Sekretariat</w:t>
      </w:r>
      <w:proofErr w:type="spellEnd"/>
      <w:r>
        <w:rPr>
          <w:color w:val="000000"/>
        </w:rPr>
        <w:t xml:space="preserve"> Negara. (2015, April 27). </w:t>
      </w:r>
      <w:proofErr w:type="spellStart"/>
      <w:r>
        <w:rPr>
          <w:i/>
          <w:color w:val="000000"/>
        </w:rPr>
        <w:t>Presiden</w:t>
      </w:r>
      <w:proofErr w:type="spellEnd"/>
      <w:r>
        <w:rPr>
          <w:i/>
          <w:color w:val="000000"/>
        </w:rPr>
        <w:t xml:space="preserve"> Jokowi: Pembangunan </w:t>
      </w:r>
      <w:proofErr w:type="spellStart"/>
      <w:r>
        <w:rPr>
          <w:i/>
          <w:color w:val="000000"/>
        </w:rPr>
        <w:t>Memerlukan</w:t>
      </w:r>
      <w:proofErr w:type="spellEnd"/>
      <w:r>
        <w:rPr>
          <w:i/>
          <w:color w:val="000000"/>
        </w:rPr>
        <w:t xml:space="preserve"> Waktu, </w:t>
      </w:r>
      <w:proofErr w:type="spellStart"/>
      <w:r>
        <w:rPr>
          <w:i/>
          <w:color w:val="000000"/>
        </w:rPr>
        <w:t>Kerja</w:t>
      </w:r>
      <w:proofErr w:type="spellEnd"/>
      <w:r>
        <w:rPr>
          <w:i/>
          <w:color w:val="000000"/>
        </w:rPr>
        <w:t xml:space="preserve"> </w:t>
      </w:r>
      <w:proofErr w:type="spellStart"/>
      <w:r>
        <w:rPr>
          <w:i/>
          <w:color w:val="000000"/>
        </w:rPr>
        <w:t>Keras</w:t>
      </w:r>
      <w:proofErr w:type="spellEnd"/>
      <w:r>
        <w:rPr>
          <w:i/>
          <w:color w:val="000000"/>
        </w:rPr>
        <w:t xml:space="preserve">, dan </w:t>
      </w:r>
      <w:proofErr w:type="spellStart"/>
      <w:r>
        <w:rPr>
          <w:i/>
          <w:color w:val="000000"/>
        </w:rPr>
        <w:t>Pengorbanan</w:t>
      </w:r>
      <w:proofErr w:type="spellEnd"/>
      <w:r>
        <w:rPr>
          <w:i/>
          <w:color w:val="000000"/>
        </w:rPr>
        <w:t xml:space="preserve"> | </w:t>
      </w:r>
      <w:proofErr w:type="spellStart"/>
      <w:r>
        <w:rPr>
          <w:i/>
          <w:color w:val="000000"/>
        </w:rPr>
        <w:t>Sekretariat</w:t>
      </w:r>
      <w:proofErr w:type="spellEnd"/>
      <w:r>
        <w:rPr>
          <w:i/>
          <w:color w:val="000000"/>
        </w:rPr>
        <w:t xml:space="preserve"> Negara</w:t>
      </w:r>
      <w:r>
        <w:rPr>
          <w:color w:val="000000"/>
        </w:rPr>
        <w:t>. https://www.setneg.go.id/baca/index/presiden_jokowi_pembangunan_memerlukan_waktu_kerja_keras_dan_pengorbanan</w:t>
      </w:r>
    </w:p>
    <w:p w14:paraId="3F4B3C9C" w14:textId="77777777" w:rsidR="00CF6824" w:rsidRDefault="00000000">
      <w:pPr>
        <w:pBdr>
          <w:top w:val="nil"/>
          <w:left w:val="nil"/>
          <w:bottom w:val="nil"/>
          <w:right w:val="nil"/>
          <w:between w:val="nil"/>
        </w:pBdr>
        <w:rPr>
          <w:color w:val="000000"/>
        </w:rPr>
      </w:pPr>
      <w:r>
        <w:rPr>
          <w:color w:val="000000"/>
        </w:rPr>
        <w:t xml:space="preserve">Kerwin, J. (2025, February 21). Don’t pick controls based on stars in your balance table. </w:t>
      </w:r>
      <w:r>
        <w:rPr>
          <w:i/>
          <w:color w:val="000000"/>
        </w:rPr>
        <w:t>Jason Kerwin</w:t>
      </w:r>
      <w:r>
        <w:rPr>
          <w:color w:val="000000"/>
        </w:rPr>
        <w:t>. https://jasonkerwin.com/nonparibus/2025/02/21/dont-pick-controls-based-stars-balance-table/</w:t>
      </w:r>
    </w:p>
    <w:p w14:paraId="44611319" w14:textId="77777777" w:rsidR="00CF6824" w:rsidRDefault="00000000">
      <w:pPr>
        <w:pBdr>
          <w:top w:val="nil"/>
          <w:left w:val="nil"/>
          <w:bottom w:val="nil"/>
          <w:right w:val="nil"/>
          <w:between w:val="nil"/>
        </w:pBdr>
        <w:rPr>
          <w:color w:val="000000"/>
        </w:rPr>
      </w:pPr>
      <w:r>
        <w:rPr>
          <w:color w:val="000000"/>
        </w:rPr>
        <w:t xml:space="preserve">Kerwin, J., Rostom, N., &amp; </w:t>
      </w:r>
      <w:proofErr w:type="spellStart"/>
      <w:r>
        <w:rPr>
          <w:color w:val="000000"/>
        </w:rPr>
        <w:t>Sterck</w:t>
      </w:r>
      <w:proofErr w:type="spellEnd"/>
      <w:r>
        <w:rPr>
          <w:color w:val="000000"/>
        </w:rPr>
        <w:t xml:space="preserve">, O. (2024). Striking the Right Balance: Why Standard Balance Tests Over-Reject the Null, and How to Fix it. </w:t>
      </w:r>
      <w:r>
        <w:rPr>
          <w:i/>
          <w:color w:val="000000"/>
        </w:rPr>
        <w:t>IZA Discussion Paper Series</w:t>
      </w:r>
      <w:r>
        <w:rPr>
          <w:color w:val="000000"/>
        </w:rPr>
        <w:t xml:space="preserve">, </w:t>
      </w:r>
      <w:r>
        <w:rPr>
          <w:i/>
          <w:color w:val="000000"/>
        </w:rPr>
        <w:t>17217</w:t>
      </w:r>
      <w:r>
        <w:rPr>
          <w:color w:val="000000"/>
        </w:rPr>
        <w:t>. https://doi.org/10.2139/ssrn.4926535</w:t>
      </w:r>
    </w:p>
    <w:p w14:paraId="5B268B89" w14:textId="77777777" w:rsidR="00CF6824" w:rsidRDefault="00000000">
      <w:pPr>
        <w:pBdr>
          <w:top w:val="nil"/>
          <w:left w:val="nil"/>
          <w:bottom w:val="nil"/>
          <w:right w:val="nil"/>
          <w:between w:val="nil"/>
        </w:pBdr>
        <w:rPr>
          <w:color w:val="000000"/>
        </w:rPr>
      </w:pPr>
      <w:r>
        <w:rPr>
          <w:color w:val="000000"/>
        </w:rPr>
        <w:t xml:space="preserve">Leiserowitz, A., Paramita, E., Mohamad, P., Daggett, M., Rosenthal, S., Verner, M., Lee, S., Ballew, M., Carman, J., Goldberg, M., Marlon, J., &amp; </w:t>
      </w:r>
      <w:proofErr w:type="spellStart"/>
      <w:r>
        <w:rPr>
          <w:color w:val="000000"/>
        </w:rPr>
        <w:t>Chamim</w:t>
      </w:r>
      <w:proofErr w:type="spellEnd"/>
      <w:r>
        <w:rPr>
          <w:color w:val="000000"/>
        </w:rPr>
        <w:t xml:space="preserve">, M. (2023). </w:t>
      </w:r>
      <w:r>
        <w:rPr>
          <w:i/>
          <w:color w:val="000000"/>
        </w:rPr>
        <w:t>Climate Change in the Indonesian Mind</w:t>
      </w:r>
      <w:r>
        <w:rPr>
          <w:color w:val="000000"/>
        </w:rPr>
        <w:t>. Yale Program on Climate Change Communication. https://live-yccc.pantheon.io/publications/climate-change-in-the-indonesian-mind/</w:t>
      </w:r>
    </w:p>
    <w:p w14:paraId="70C3DE5C" w14:textId="77777777" w:rsidR="00CF6824" w:rsidRDefault="00000000">
      <w:pPr>
        <w:pBdr>
          <w:top w:val="nil"/>
          <w:left w:val="nil"/>
          <w:bottom w:val="nil"/>
          <w:right w:val="nil"/>
          <w:between w:val="nil"/>
        </w:pBdr>
        <w:rPr>
          <w:color w:val="000000"/>
        </w:rPr>
      </w:pPr>
      <w:r>
        <w:rPr>
          <w:color w:val="000000"/>
        </w:rPr>
        <w:t xml:space="preserve">Marshall, J., Lu, J., &amp; Glynn, S. (2023). </w:t>
      </w:r>
      <w:r>
        <w:rPr>
          <w:i/>
          <w:color w:val="000000"/>
        </w:rPr>
        <w:t>Later is Too Late: A comprehensive analysis of the messaging that accelerates climate action in the G20 and beyond</w:t>
      </w:r>
      <w:r>
        <w:rPr>
          <w:color w:val="000000"/>
        </w:rPr>
        <w:t>.</w:t>
      </w:r>
    </w:p>
    <w:p w14:paraId="4EA3C74C" w14:textId="77777777" w:rsidR="00DF1A1D" w:rsidRPr="00DF1A1D" w:rsidRDefault="00DF1A1D" w:rsidP="00DF1A1D">
      <w:pPr>
        <w:pStyle w:val="Bibliography"/>
      </w:pPr>
      <w:r>
        <w:fldChar w:fldCharType="begin"/>
      </w:r>
      <w:r>
        <w:instrText xml:space="preserve"> ADDIN ZOTERO_BIBL {"uncited":[],"omitted":[],"custom":[]} CSL_BIBLIOGRAPHY </w:instrText>
      </w:r>
      <w:r>
        <w:fldChar w:fldCharType="separate"/>
      </w:r>
      <w:r w:rsidRPr="00DF1A1D">
        <w:t xml:space="preserve">McKenzie, D. (2012, October 21). </w:t>
      </w:r>
      <w:r w:rsidRPr="00DF1A1D">
        <w:rPr>
          <w:i/>
          <w:iCs/>
        </w:rPr>
        <w:t>Tools of the Trade: A quick adjustment for multiple hypothesis testing</w:t>
      </w:r>
      <w:r w:rsidRPr="00DF1A1D">
        <w:t>. World Bank Blogs. https://blogs.worldbank.org/en/impactevaluations/tools-of-the-trade-a-quick-adjustment-for-multiple-hypothesis-testing</w:t>
      </w:r>
    </w:p>
    <w:p w14:paraId="7C219E66" w14:textId="77777777" w:rsidR="00DF1A1D" w:rsidRPr="00DF1A1D" w:rsidRDefault="00DF1A1D" w:rsidP="00DF1A1D">
      <w:pPr>
        <w:pStyle w:val="Bibliography"/>
      </w:pPr>
      <w:r w:rsidRPr="00DF1A1D">
        <w:t xml:space="preserve">McKenzie, D. (2020, June 1). </w:t>
      </w:r>
      <w:r w:rsidRPr="00DF1A1D">
        <w:rPr>
          <w:i/>
          <w:iCs/>
        </w:rPr>
        <w:t>An overview of multiple hypothesis testing commands in Stata</w:t>
      </w:r>
      <w:r w:rsidRPr="00DF1A1D">
        <w:t>. World Bank Blogs. https://blogs.worldbank.org/en/impactevaluations/overview-multiple-hypothesis-testing-commands-stata</w:t>
      </w:r>
    </w:p>
    <w:p w14:paraId="2536563A" w14:textId="77169019" w:rsidR="00CF6824" w:rsidRDefault="00DF1A1D">
      <w:pPr>
        <w:pBdr>
          <w:top w:val="nil"/>
          <w:left w:val="nil"/>
          <w:bottom w:val="nil"/>
          <w:right w:val="nil"/>
          <w:between w:val="nil"/>
        </w:pBdr>
        <w:rPr>
          <w:color w:val="000000"/>
        </w:rPr>
      </w:pPr>
      <w:r>
        <w:lastRenderedPageBreak/>
        <w:fldChar w:fldCharType="end"/>
      </w:r>
      <w:proofErr w:type="spellStart"/>
      <w:r w:rsidR="00000000">
        <w:rPr>
          <w:color w:val="000000"/>
        </w:rPr>
        <w:t>Minnesotta</w:t>
      </w:r>
      <w:proofErr w:type="spellEnd"/>
      <w:r w:rsidR="00000000">
        <w:rPr>
          <w:color w:val="000000"/>
        </w:rPr>
        <w:t xml:space="preserve"> Department of Health. (2024, March 15). </w:t>
      </w:r>
      <w:r w:rsidR="00000000">
        <w:rPr>
          <w:i/>
          <w:color w:val="000000"/>
        </w:rPr>
        <w:t>What are public narratives?</w:t>
      </w:r>
      <w:r w:rsidR="00000000">
        <w:rPr>
          <w:color w:val="000000"/>
        </w:rPr>
        <w:t xml:space="preserve"> </w:t>
      </w:r>
      <w:proofErr w:type="spellStart"/>
      <w:r w:rsidR="00000000">
        <w:rPr>
          <w:color w:val="000000"/>
        </w:rPr>
        <w:t>Minnesotta</w:t>
      </w:r>
      <w:proofErr w:type="spellEnd"/>
      <w:r w:rsidR="00000000">
        <w:rPr>
          <w:color w:val="000000"/>
        </w:rPr>
        <w:t xml:space="preserve"> Department of Health. https://www.health.state.mn.us/communities/practice/healthymnpartnership/narratives/context.html</w:t>
      </w:r>
    </w:p>
    <w:p w14:paraId="3096AAA4" w14:textId="77777777" w:rsidR="00CF6824" w:rsidRDefault="00000000">
      <w:pPr>
        <w:pBdr>
          <w:top w:val="nil"/>
          <w:left w:val="nil"/>
          <w:bottom w:val="nil"/>
          <w:right w:val="nil"/>
          <w:between w:val="nil"/>
        </w:pBdr>
        <w:rPr>
          <w:color w:val="000000"/>
        </w:rPr>
      </w:pPr>
      <w:r>
        <w:rPr>
          <w:color w:val="000000"/>
        </w:rPr>
        <w:t xml:space="preserve">NEON, NEF, Frameworks Institute, &amp; PIRC. (2018). </w:t>
      </w:r>
      <w:r>
        <w:rPr>
          <w:i/>
          <w:color w:val="000000"/>
        </w:rPr>
        <w:t>Framing the Economy: How to win the case for a better system</w:t>
      </w:r>
      <w:r>
        <w:rPr>
          <w:color w:val="000000"/>
        </w:rPr>
        <w:t>. https://neweconomics.org/2018/02/framing-the-economy-2</w:t>
      </w:r>
    </w:p>
    <w:p w14:paraId="1F1D1891" w14:textId="77777777" w:rsidR="00CF6824" w:rsidRDefault="00000000">
      <w:pPr>
        <w:pBdr>
          <w:top w:val="nil"/>
          <w:left w:val="nil"/>
          <w:bottom w:val="nil"/>
          <w:right w:val="nil"/>
          <w:between w:val="nil"/>
        </w:pBdr>
        <w:rPr>
          <w:color w:val="000000"/>
        </w:rPr>
      </w:pPr>
      <w:r>
        <w:rPr>
          <w:color w:val="000000"/>
        </w:rPr>
        <w:t xml:space="preserve">Pape, U. J., &amp; Rabia, A. (2023). </w:t>
      </w:r>
      <w:r>
        <w:rPr>
          <w:i/>
          <w:color w:val="000000"/>
        </w:rPr>
        <w:t>Indonesia Poverty Assessment—Pathways towards Economic Security</w:t>
      </w:r>
      <w:r>
        <w:rPr>
          <w:color w:val="000000"/>
        </w:rPr>
        <w:t xml:space="preserve"> (No. 181639; Poverty Assessment). World Bank. https://documents.worldbank.org/en/publication/documents-reports/documentdetail/en/099041923101015385</w:t>
      </w:r>
    </w:p>
    <w:p w14:paraId="3A4434FD" w14:textId="77777777" w:rsidR="00CF6824" w:rsidRDefault="00000000">
      <w:pPr>
        <w:pBdr>
          <w:top w:val="nil"/>
          <w:left w:val="nil"/>
          <w:bottom w:val="nil"/>
          <w:right w:val="nil"/>
          <w:between w:val="nil"/>
        </w:pBdr>
        <w:rPr>
          <w:color w:val="000000"/>
        </w:rPr>
      </w:pPr>
      <w:r>
        <w:rPr>
          <w:color w:val="000000"/>
        </w:rPr>
        <w:t xml:space="preserve">Parks, V., &amp; Baran, I. (2023, April 26). Fossil fuel layoff: The economic and employment effects of a refinery closure on workers in the Bay Area. </w:t>
      </w:r>
      <w:r>
        <w:rPr>
          <w:i/>
          <w:color w:val="000000"/>
        </w:rPr>
        <w:t xml:space="preserve">UC Berkeley Labor </w:t>
      </w:r>
      <w:proofErr w:type="spellStart"/>
      <w:r>
        <w:rPr>
          <w:i/>
          <w:color w:val="000000"/>
        </w:rPr>
        <w:t>Center</w:t>
      </w:r>
      <w:proofErr w:type="spellEnd"/>
      <w:r>
        <w:rPr>
          <w:color w:val="000000"/>
        </w:rPr>
        <w:t>. https://laborcenter.berkeley.edu/fossil-fuel-layoff/</w:t>
      </w:r>
    </w:p>
    <w:p w14:paraId="65B19E3B" w14:textId="77777777" w:rsidR="00CF6824" w:rsidRDefault="00000000">
      <w:pPr>
        <w:pBdr>
          <w:top w:val="nil"/>
          <w:left w:val="nil"/>
          <w:bottom w:val="nil"/>
          <w:right w:val="nil"/>
          <w:between w:val="nil"/>
        </w:pBdr>
        <w:rPr>
          <w:color w:val="000000"/>
        </w:rPr>
      </w:pPr>
      <w:proofErr w:type="spellStart"/>
      <w:r>
        <w:rPr>
          <w:color w:val="000000"/>
        </w:rPr>
        <w:t>Perum</w:t>
      </w:r>
      <w:proofErr w:type="spellEnd"/>
      <w:r>
        <w:rPr>
          <w:color w:val="000000"/>
        </w:rPr>
        <w:t xml:space="preserve"> Jasa Tirta I. (2021, December 4). </w:t>
      </w:r>
      <w:proofErr w:type="spellStart"/>
      <w:r>
        <w:rPr>
          <w:i/>
          <w:color w:val="000000"/>
        </w:rPr>
        <w:t>Mengenal</w:t>
      </w:r>
      <w:proofErr w:type="spellEnd"/>
      <w:r>
        <w:rPr>
          <w:i/>
          <w:color w:val="000000"/>
        </w:rPr>
        <w:t xml:space="preserve"> </w:t>
      </w:r>
      <w:proofErr w:type="spellStart"/>
      <w:r>
        <w:rPr>
          <w:i/>
          <w:color w:val="000000"/>
        </w:rPr>
        <w:t>Monumen</w:t>
      </w:r>
      <w:proofErr w:type="spellEnd"/>
      <w:r>
        <w:rPr>
          <w:i/>
          <w:color w:val="000000"/>
        </w:rPr>
        <w:t xml:space="preserve"> </w:t>
      </w:r>
      <w:proofErr w:type="spellStart"/>
      <w:r>
        <w:rPr>
          <w:i/>
          <w:color w:val="000000"/>
        </w:rPr>
        <w:t>Bersejarah</w:t>
      </w:r>
      <w:proofErr w:type="spellEnd"/>
      <w:r>
        <w:rPr>
          <w:i/>
          <w:color w:val="000000"/>
        </w:rPr>
        <w:t xml:space="preserve"> Di </w:t>
      </w:r>
      <w:proofErr w:type="spellStart"/>
      <w:r>
        <w:rPr>
          <w:i/>
          <w:color w:val="000000"/>
        </w:rPr>
        <w:t>Sejumlah</w:t>
      </w:r>
      <w:proofErr w:type="spellEnd"/>
      <w:r>
        <w:rPr>
          <w:i/>
          <w:color w:val="000000"/>
        </w:rPr>
        <w:t xml:space="preserve"> </w:t>
      </w:r>
      <w:proofErr w:type="spellStart"/>
      <w:r>
        <w:rPr>
          <w:i/>
          <w:color w:val="000000"/>
        </w:rPr>
        <w:t>Bendungan</w:t>
      </w:r>
      <w:proofErr w:type="spellEnd"/>
      <w:r>
        <w:rPr>
          <w:i/>
          <w:color w:val="000000"/>
        </w:rPr>
        <w:t xml:space="preserve"> Yang </w:t>
      </w:r>
      <w:proofErr w:type="spellStart"/>
      <w:r>
        <w:rPr>
          <w:i/>
          <w:color w:val="000000"/>
        </w:rPr>
        <w:t>Dikelola</w:t>
      </w:r>
      <w:proofErr w:type="spellEnd"/>
      <w:r>
        <w:rPr>
          <w:i/>
          <w:color w:val="000000"/>
        </w:rPr>
        <w:t xml:space="preserve"> PJT I – </w:t>
      </w:r>
      <w:proofErr w:type="spellStart"/>
      <w:r>
        <w:rPr>
          <w:i/>
          <w:color w:val="000000"/>
        </w:rPr>
        <w:t>Perum</w:t>
      </w:r>
      <w:proofErr w:type="spellEnd"/>
      <w:r>
        <w:rPr>
          <w:i/>
          <w:color w:val="000000"/>
        </w:rPr>
        <w:t xml:space="preserve"> Jasa Tirta I</w:t>
      </w:r>
      <w:r>
        <w:rPr>
          <w:color w:val="000000"/>
        </w:rPr>
        <w:t>. https://jasatirta1.co.id/2021/12/04/mengenal-monumen-bersejarah-di-sejumlah-bendungan-yang-dikelola-pjt-i/</w:t>
      </w:r>
    </w:p>
    <w:p w14:paraId="6A1032D8" w14:textId="77777777" w:rsidR="00CF6824" w:rsidRDefault="00000000">
      <w:pPr>
        <w:pBdr>
          <w:top w:val="nil"/>
          <w:left w:val="nil"/>
          <w:bottom w:val="nil"/>
          <w:right w:val="nil"/>
          <w:between w:val="nil"/>
        </w:pBdr>
        <w:rPr>
          <w:color w:val="000000"/>
        </w:rPr>
      </w:pPr>
      <w:r>
        <w:rPr>
          <w:color w:val="000000"/>
        </w:rPr>
        <w:t xml:space="preserve">Reynolds, W. M. (1982). Development of reliable and valid short forms of the </w:t>
      </w:r>
      <w:proofErr w:type="spellStart"/>
      <w:r>
        <w:rPr>
          <w:color w:val="000000"/>
        </w:rPr>
        <w:t>marlowe-crowne</w:t>
      </w:r>
      <w:proofErr w:type="spellEnd"/>
      <w:r>
        <w:rPr>
          <w:color w:val="000000"/>
        </w:rPr>
        <w:t xml:space="preserve"> social desirability scale. </w:t>
      </w:r>
      <w:r>
        <w:rPr>
          <w:i/>
          <w:color w:val="000000"/>
        </w:rPr>
        <w:t>Journal of Clinical Psychology</w:t>
      </w:r>
      <w:r>
        <w:rPr>
          <w:color w:val="000000"/>
        </w:rPr>
        <w:t xml:space="preserve">, </w:t>
      </w:r>
      <w:r>
        <w:rPr>
          <w:i/>
          <w:color w:val="000000"/>
        </w:rPr>
        <w:t>38</w:t>
      </w:r>
      <w:r>
        <w:rPr>
          <w:color w:val="000000"/>
        </w:rPr>
        <w:t>(1), 119–125.</w:t>
      </w:r>
    </w:p>
    <w:p w14:paraId="0A7B7A83" w14:textId="77777777" w:rsidR="00CF6824" w:rsidRDefault="00000000">
      <w:pPr>
        <w:pBdr>
          <w:top w:val="nil"/>
          <w:left w:val="nil"/>
          <w:bottom w:val="nil"/>
          <w:right w:val="nil"/>
          <w:between w:val="nil"/>
        </w:pBdr>
        <w:rPr>
          <w:color w:val="000000"/>
        </w:rPr>
      </w:pPr>
      <w:r>
        <w:rPr>
          <w:color w:val="000000"/>
        </w:rPr>
        <w:t xml:space="preserve">Sim, A., </w:t>
      </w:r>
      <w:proofErr w:type="spellStart"/>
      <w:r>
        <w:rPr>
          <w:color w:val="000000"/>
        </w:rPr>
        <w:t>Gultom</w:t>
      </w:r>
      <w:proofErr w:type="spellEnd"/>
      <w:r>
        <w:rPr>
          <w:color w:val="000000"/>
        </w:rPr>
        <w:t xml:space="preserve">, S., </w:t>
      </w:r>
      <w:proofErr w:type="spellStart"/>
      <w:r>
        <w:rPr>
          <w:color w:val="000000"/>
        </w:rPr>
        <w:t>Widita</w:t>
      </w:r>
      <w:proofErr w:type="spellEnd"/>
      <w:r>
        <w:rPr>
          <w:color w:val="000000"/>
        </w:rPr>
        <w:t xml:space="preserve">, A., Lee, W.-S., &amp; Khalil, U. (2024). Sink or Swim: Testing the Roles of Science and Religion in Raising Environmental Awareness in Indonesia. </w:t>
      </w:r>
      <w:r>
        <w:rPr>
          <w:i/>
          <w:color w:val="000000"/>
        </w:rPr>
        <w:t>SSRN Electronic Journal</w:t>
      </w:r>
      <w:r>
        <w:rPr>
          <w:color w:val="000000"/>
        </w:rPr>
        <w:t>. https://doi.org/10.2139/ssrn.4921727</w:t>
      </w:r>
    </w:p>
    <w:p w14:paraId="3E17B899" w14:textId="77777777" w:rsidR="00CF6824" w:rsidRDefault="00000000">
      <w:pPr>
        <w:pBdr>
          <w:top w:val="nil"/>
          <w:left w:val="nil"/>
          <w:bottom w:val="nil"/>
          <w:right w:val="nil"/>
          <w:between w:val="nil"/>
        </w:pBdr>
        <w:rPr>
          <w:color w:val="000000"/>
        </w:rPr>
      </w:pPr>
      <w:r>
        <w:rPr>
          <w:color w:val="000000"/>
        </w:rPr>
        <w:t xml:space="preserve">Suparman, S., &amp; Muzakir, M. (2023). Regional inequality, human capital, unemployment, and economic growth in Indonesia: Panel regression approach. </w:t>
      </w:r>
      <w:r>
        <w:rPr>
          <w:i/>
          <w:color w:val="000000"/>
        </w:rPr>
        <w:t>Cogent Economics &amp; Finance</w:t>
      </w:r>
      <w:r>
        <w:rPr>
          <w:color w:val="000000"/>
        </w:rPr>
        <w:t xml:space="preserve">, </w:t>
      </w:r>
      <w:r>
        <w:rPr>
          <w:i/>
          <w:color w:val="000000"/>
        </w:rPr>
        <w:t>11</w:t>
      </w:r>
      <w:r>
        <w:rPr>
          <w:color w:val="000000"/>
        </w:rPr>
        <w:t>(2), 2251803. https://doi.org/10.1080/23322039.2023.2251803</w:t>
      </w:r>
    </w:p>
    <w:p w14:paraId="2F11AA96" w14:textId="77777777" w:rsidR="00CF6824" w:rsidRDefault="00000000">
      <w:pPr>
        <w:pBdr>
          <w:top w:val="nil"/>
          <w:left w:val="nil"/>
          <w:bottom w:val="nil"/>
          <w:right w:val="nil"/>
          <w:between w:val="nil"/>
        </w:pBdr>
        <w:rPr>
          <w:color w:val="000000"/>
        </w:rPr>
      </w:pPr>
      <w:proofErr w:type="spellStart"/>
      <w:r>
        <w:rPr>
          <w:color w:val="000000"/>
        </w:rPr>
        <w:t>Suryaman</w:t>
      </w:r>
      <w:proofErr w:type="spellEnd"/>
      <w:r>
        <w:rPr>
          <w:color w:val="000000"/>
        </w:rPr>
        <w:t xml:space="preserve">, B. (2022, July 10). </w:t>
      </w:r>
      <w:proofErr w:type="spellStart"/>
      <w:r>
        <w:rPr>
          <w:i/>
          <w:color w:val="000000"/>
        </w:rPr>
        <w:t>Bupati</w:t>
      </w:r>
      <w:proofErr w:type="spellEnd"/>
      <w:r>
        <w:rPr>
          <w:i/>
          <w:color w:val="000000"/>
        </w:rPr>
        <w:t xml:space="preserve"> </w:t>
      </w:r>
      <w:proofErr w:type="spellStart"/>
      <w:r>
        <w:rPr>
          <w:i/>
          <w:color w:val="000000"/>
        </w:rPr>
        <w:t>Kasmani</w:t>
      </w:r>
      <w:proofErr w:type="spellEnd"/>
      <w:r>
        <w:rPr>
          <w:i/>
          <w:color w:val="000000"/>
        </w:rPr>
        <w:t xml:space="preserve">: Spirit </w:t>
      </w:r>
      <w:proofErr w:type="spellStart"/>
      <w:r>
        <w:rPr>
          <w:i/>
          <w:color w:val="000000"/>
        </w:rPr>
        <w:t>Pengorbanan</w:t>
      </w:r>
      <w:proofErr w:type="spellEnd"/>
      <w:r>
        <w:rPr>
          <w:i/>
          <w:color w:val="000000"/>
        </w:rPr>
        <w:t xml:space="preserve"> Demi </w:t>
      </w:r>
      <w:proofErr w:type="spellStart"/>
      <w:r>
        <w:rPr>
          <w:i/>
          <w:color w:val="000000"/>
        </w:rPr>
        <w:t>Membangun</w:t>
      </w:r>
      <w:proofErr w:type="spellEnd"/>
      <w:r>
        <w:rPr>
          <w:i/>
          <w:color w:val="000000"/>
        </w:rPr>
        <w:t xml:space="preserve"> Daerah</w:t>
      </w:r>
      <w:r>
        <w:rPr>
          <w:color w:val="000000"/>
        </w:rPr>
        <w:t>. https://diskominfotik.bengkaliskab.go.id/web/detailberita/15936/bupati-kasmani-spirit-pengorbanan-demi-membangun-daerah</w:t>
      </w:r>
    </w:p>
    <w:p w14:paraId="53CA10A3" w14:textId="77777777" w:rsidR="00CF6824" w:rsidRDefault="00000000">
      <w:pPr>
        <w:pBdr>
          <w:top w:val="nil"/>
          <w:left w:val="nil"/>
          <w:bottom w:val="nil"/>
          <w:right w:val="nil"/>
          <w:between w:val="nil"/>
        </w:pBdr>
        <w:rPr>
          <w:color w:val="000000"/>
        </w:rPr>
      </w:pPr>
      <w:r>
        <w:rPr>
          <w:color w:val="000000"/>
        </w:rPr>
        <w:t xml:space="preserve">Tasch, B. (2024, June 4). </w:t>
      </w:r>
      <w:r>
        <w:rPr>
          <w:i/>
          <w:color w:val="000000"/>
        </w:rPr>
        <w:t>European elections: Cost of going green sparks backlash from voters</w:t>
      </w:r>
      <w:r>
        <w:rPr>
          <w:color w:val="000000"/>
        </w:rPr>
        <w:t>. https://www.bbc.com/news/articles/c4nneg6252eo</w:t>
      </w:r>
    </w:p>
    <w:p w14:paraId="09ED1662" w14:textId="77777777" w:rsidR="00CF6824" w:rsidRDefault="00000000">
      <w:pPr>
        <w:pBdr>
          <w:top w:val="nil"/>
          <w:left w:val="nil"/>
          <w:bottom w:val="nil"/>
          <w:right w:val="nil"/>
          <w:between w:val="nil"/>
        </w:pBdr>
        <w:rPr>
          <w:color w:val="000000"/>
        </w:rPr>
      </w:pPr>
      <w:r>
        <w:rPr>
          <w:color w:val="000000"/>
        </w:rPr>
        <w:lastRenderedPageBreak/>
        <w:t xml:space="preserve">Tempo. (2021, November 4). </w:t>
      </w:r>
      <w:r>
        <w:rPr>
          <w:i/>
          <w:color w:val="000000"/>
        </w:rPr>
        <w:t>Menteri KLHK: Pembangunan Besar-</w:t>
      </w:r>
      <w:proofErr w:type="spellStart"/>
      <w:r>
        <w:rPr>
          <w:i/>
          <w:color w:val="000000"/>
        </w:rPr>
        <w:t>besaran</w:t>
      </w:r>
      <w:proofErr w:type="spellEnd"/>
      <w:r>
        <w:rPr>
          <w:i/>
          <w:color w:val="000000"/>
        </w:rPr>
        <w:t xml:space="preserve"> Tak </w:t>
      </w:r>
      <w:proofErr w:type="spellStart"/>
      <w:r>
        <w:rPr>
          <w:i/>
          <w:color w:val="000000"/>
        </w:rPr>
        <w:t>Boleh</w:t>
      </w:r>
      <w:proofErr w:type="spellEnd"/>
      <w:r>
        <w:rPr>
          <w:i/>
          <w:color w:val="000000"/>
        </w:rPr>
        <w:t xml:space="preserve"> </w:t>
      </w:r>
      <w:proofErr w:type="spellStart"/>
      <w:r>
        <w:rPr>
          <w:i/>
          <w:color w:val="000000"/>
        </w:rPr>
        <w:t>Berhenti</w:t>
      </w:r>
      <w:proofErr w:type="spellEnd"/>
      <w:r>
        <w:rPr>
          <w:i/>
          <w:color w:val="000000"/>
        </w:rPr>
        <w:t xml:space="preserve"> Atas Nama </w:t>
      </w:r>
      <w:proofErr w:type="spellStart"/>
      <w:r>
        <w:rPr>
          <w:i/>
          <w:color w:val="000000"/>
        </w:rPr>
        <w:t>Deforestasi</w:t>
      </w:r>
      <w:proofErr w:type="spellEnd"/>
      <w:r>
        <w:rPr>
          <w:i/>
          <w:color w:val="000000"/>
        </w:rPr>
        <w:t xml:space="preserve"> | tempo.co</w:t>
      </w:r>
      <w:r>
        <w:rPr>
          <w:color w:val="000000"/>
        </w:rPr>
        <w:t>. https://www.tempo.co/ekonomi/menteri-klhk-pembangunan-besar-besaran-tak-boleh-berhenti-atas-nama-deforestasi-457846</w:t>
      </w:r>
    </w:p>
    <w:p w14:paraId="678066EB" w14:textId="77777777" w:rsidR="00CF6824" w:rsidRDefault="00000000">
      <w:pPr>
        <w:pBdr>
          <w:top w:val="nil"/>
          <w:left w:val="nil"/>
          <w:bottom w:val="nil"/>
          <w:right w:val="nil"/>
          <w:between w:val="nil"/>
        </w:pBdr>
        <w:rPr>
          <w:color w:val="000000"/>
        </w:rPr>
      </w:pPr>
      <w:r>
        <w:rPr>
          <w:color w:val="000000"/>
        </w:rPr>
        <w:t xml:space="preserve">UNDP. (2017). </w:t>
      </w:r>
      <w:r>
        <w:rPr>
          <w:i/>
          <w:color w:val="000000"/>
        </w:rPr>
        <w:t>UNDP’s Strategy for Inclusive and Sustainable Growth</w:t>
      </w:r>
      <w:r>
        <w:rPr>
          <w:color w:val="000000"/>
        </w:rPr>
        <w:t>. United Nations Development Programme. https://www.undp.org/publications/undps-strategy-inclusive-and-sustainable-growth</w:t>
      </w:r>
    </w:p>
    <w:p w14:paraId="43F943DA" w14:textId="77777777" w:rsidR="00CF6824" w:rsidRDefault="00000000">
      <w:pPr>
        <w:pBdr>
          <w:top w:val="nil"/>
          <w:left w:val="nil"/>
          <w:bottom w:val="nil"/>
          <w:right w:val="nil"/>
          <w:between w:val="nil"/>
        </w:pBdr>
        <w:rPr>
          <w:color w:val="000000"/>
        </w:rPr>
      </w:pPr>
      <w:r>
        <w:rPr>
          <w:color w:val="000000"/>
        </w:rPr>
        <w:t xml:space="preserve">UNDP. (2021). </w:t>
      </w:r>
      <w:r>
        <w:rPr>
          <w:i/>
          <w:color w:val="000000"/>
        </w:rPr>
        <w:t>Fossil Fuel Subsidy Reform: Lessons and Opportunities</w:t>
      </w:r>
      <w:r>
        <w:rPr>
          <w:color w:val="000000"/>
        </w:rPr>
        <w:t>. United Nations Development Programme. https://www.undp.org/publications/fossil-fuel-subsidy-reform-lessons-and-opportunities</w:t>
      </w:r>
    </w:p>
    <w:p w14:paraId="4CACCD0C" w14:textId="77777777" w:rsidR="00CF6824" w:rsidRDefault="00000000">
      <w:pPr>
        <w:pBdr>
          <w:top w:val="nil"/>
          <w:left w:val="nil"/>
          <w:bottom w:val="nil"/>
          <w:right w:val="nil"/>
          <w:between w:val="nil"/>
        </w:pBdr>
        <w:rPr>
          <w:color w:val="000000"/>
        </w:rPr>
      </w:pPr>
      <w:r>
        <w:rPr>
          <w:color w:val="000000"/>
        </w:rPr>
        <w:t xml:space="preserve">White, H. (1980). A Heteroskedasticity-Consistent Covariance Matrix Estimator and a Direct Test for Heteroskedasticity. </w:t>
      </w:r>
      <w:proofErr w:type="spellStart"/>
      <w:r>
        <w:rPr>
          <w:i/>
          <w:color w:val="000000"/>
        </w:rPr>
        <w:t>Econometrica</w:t>
      </w:r>
      <w:proofErr w:type="spellEnd"/>
      <w:r>
        <w:rPr>
          <w:color w:val="000000"/>
        </w:rPr>
        <w:t xml:space="preserve">, </w:t>
      </w:r>
      <w:r>
        <w:rPr>
          <w:i/>
          <w:color w:val="000000"/>
        </w:rPr>
        <w:t>48</w:t>
      </w:r>
      <w:r>
        <w:rPr>
          <w:color w:val="000000"/>
        </w:rPr>
        <w:t>(4), 817–838. https://doi.org/10.2307/1912934</w:t>
      </w:r>
    </w:p>
    <w:p w14:paraId="1C4330CF" w14:textId="77777777" w:rsidR="00CF6824" w:rsidRDefault="00000000">
      <w:pPr>
        <w:pBdr>
          <w:top w:val="nil"/>
          <w:left w:val="nil"/>
          <w:bottom w:val="nil"/>
          <w:right w:val="nil"/>
          <w:between w:val="nil"/>
        </w:pBdr>
        <w:rPr>
          <w:color w:val="000000"/>
        </w:rPr>
      </w:pPr>
      <w:r>
        <w:rPr>
          <w:color w:val="000000"/>
        </w:rPr>
        <w:t xml:space="preserve">Yumna, A., </w:t>
      </w:r>
      <w:proofErr w:type="spellStart"/>
      <w:r>
        <w:rPr>
          <w:color w:val="000000"/>
        </w:rPr>
        <w:t>Rakhmadi</w:t>
      </w:r>
      <w:proofErr w:type="spellEnd"/>
      <w:r>
        <w:rPr>
          <w:color w:val="000000"/>
        </w:rPr>
        <w:t xml:space="preserve">, M. F., Hidayat, M. F., </w:t>
      </w:r>
      <w:proofErr w:type="spellStart"/>
      <w:r>
        <w:rPr>
          <w:color w:val="000000"/>
        </w:rPr>
        <w:t>Gultom</w:t>
      </w:r>
      <w:proofErr w:type="spellEnd"/>
      <w:r>
        <w:rPr>
          <w:color w:val="000000"/>
        </w:rPr>
        <w:t xml:space="preserve">, S. E., &amp; </w:t>
      </w:r>
      <w:proofErr w:type="spellStart"/>
      <w:r>
        <w:rPr>
          <w:color w:val="000000"/>
        </w:rPr>
        <w:t>Suryahadi</w:t>
      </w:r>
      <w:proofErr w:type="spellEnd"/>
      <w:r>
        <w:rPr>
          <w:color w:val="000000"/>
        </w:rPr>
        <w:t xml:space="preserve">, A. (2015). Estimating the impact of inequality on growth and unemployment in Indonesia. </w:t>
      </w:r>
      <w:r>
        <w:rPr>
          <w:i/>
          <w:color w:val="000000"/>
        </w:rPr>
        <w:t>SMERU Working Paper</w:t>
      </w:r>
      <w:r>
        <w:rPr>
          <w:color w:val="000000"/>
        </w:rPr>
        <w:t>.</w:t>
      </w:r>
    </w:p>
    <w:p w14:paraId="58B43ACE" w14:textId="77777777" w:rsidR="00CF6824" w:rsidRDefault="00CF6824"/>
    <w:p w14:paraId="1540E73A" w14:textId="467FEEEC" w:rsidR="00CF6824" w:rsidRDefault="00CF6824"/>
    <w:sectPr w:rsidR="00CF68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75BD4" w14:textId="77777777" w:rsidR="00DA569D" w:rsidRDefault="00DA569D">
      <w:pPr>
        <w:spacing w:before="0" w:after="0" w:line="240" w:lineRule="auto"/>
      </w:pPr>
      <w:r>
        <w:separator/>
      </w:r>
    </w:p>
  </w:endnote>
  <w:endnote w:type="continuationSeparator" w:id="0">
    <w:p w14:paraId="70C7CBF3" w14:textId="77777777" w:rsidR="00DA569D" w:rsidRDefault="00DA56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1A00482-03DF-473D-BE2C-50E32ABF922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5E4D4090-387B-454A-9D46-59E9A0BE733B}"/>
  </w:font>
  <w:font w:name="Cambria Math">
    <w:panose1 w:val="02040503050406030204"/>
    <w:charset w:val="00"/>
    <w:family w:val="roman"/>
    <w:pitch w:val="variable"/>
    <w:sig w:usb0="E00006FF" w:usb1="420024FF" w:usb2="02000000" w:usb3="00000000" w:csb0="0000019F" w:csb1="00000000"/>
    <w:embedRegular r:id="rId3" w:fontKey="{3E0DA740-0AA8-4E61-B34C-21E53E99F94B}"/>
    <w:embedItalic r:id="rId4" w:fontKey="{599D3FFE-14F2-448B-B710-B33B5E14E02F}"/>
  </w:font>
  <w:font w:name="Calibri">
    <w:panose1 w:val="020F0502020204030204"/>
    <w:charset w:val="00"/>
    <w:family w:val="swiss"/>
    <w:pitch w:val="variable"/>
    <w:sig w:usb0="E4002EFF" w:usb1="C000247B" w:usb2="00000009" w:usb3="00000000" w:csb0="000001FF" w:csb1="00000000"/>
    <w:embedRegular r:id="rId5" w:fontKey="{67A775C6-81BB-41F7-9FCA-40D090DA9D8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4A241" w14:textId="77777777" w:rsidR="00DA569D" w:rsidRDefault="00DA569D">
      <w:pPr>
        <w:spacing w:before="0" w:after="0" w:line="240" w:lineRule="auto"/>
      </w:pPr>
      <w:r>
        <w:separator/>
      </w:r>
    </w:p>
  </w:footnote>
  <w:footnote w:type="continuationSeparator" w:id="0">
    <w:p w14:paraId="7B528F8D" w14:textId="77777777" w:rsidR="00DA569D" w:rsidRDefault="00DA569D">
      <w:pPr>
        <w:spacing w:before="0" w:after="0" w:line="240" w:lineRule="auto"/>
      </w:pPr>
      <w:r>
        <w:continuationSeparator/>
      </w:r>
    </w:p>
  </w:footnote>
  <w:footnote w:id="1">
    <w:p w14:paraId="0240C3AE" w14:textId="77777777" w:rsidR="00CF6824" w:rsidRDefault="0000000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AEA RCT Registry Number: 15433</w:t>
      </w:r>
    </w:p>
  </w:footnote>
  <w:footnote w:id="2">
    <w:p w14:paraId="099FA735" w14:textId="77777777" w:rsidR="00CF6824" w:rsidRDefault="0000000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For example, suppose the prevailing narrative is “health comes from a visit to the doctor’s office” and that “health is the sole responsibility of the individual”. In that case, health policy discussions become limited to health care issues and strategies for improving health care services. But if the prevailing narrative is “we share a responsibility to create conditions in which everyone can be healthy” and “we are healthiest if we are all healthy together”, the policy discussions will focus on advancing health equity (</w:t>
      </w:r>
      <w:proofErr w:type="spellStart"/>
      <w:r>
        <w:rPr>
          <w:color w:val="000000"/>
          <w:sz w:val="20"/>
          <w:szCs w:val="20"/>
        </w:rPr>
        <w:t>Minnesotta</w:t>
      </w:r>
      <w:proofErr w:type="spellEnd"/>
      <w:r>
        <w:rPr>
          <w:color w:val="000000"/>
          <w:sz w:val="20"/>
          <w:szCs w:val="20"/>
        </w:rPr>
        <w:t xml:space="preserve"> Department of Health, 2024).</w:t>
      </w:r>
    </w:p>
  </w:footnote>
  <w:footnote w:id="3">
    <w:p w14:paraId="4CDE4A30" w14:textId="77777777" w:rsidR="00CF6824" w:rsidRDefault="0000000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In 2021, the Indonesian minister in charge of forestry and the environment proclaim that “</w:t>
      </w:r>
      <w:r>
        <w:rPr>
          <w:i/>
          <w:color w:val="000000"/>
          <w:sz w:val="20"/>
          <w:szCs w:val="20"/>
        </w:rPr>
        <w:t>massive development must not stop in the name of carbon emissions or deforestation</w:t>
      </w:r>
      <w:r>
        <w:rPr>
          <w:color w:val="000000"/>
          <w:sz w:val="20"/>
          <w:szCs w:val="20"/>
        </w:rPr>
        <w:t>” (Tempo,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12A1"/>
    <w:multiLevelType w:val="multilevel"/>
    <w:tmpl w:val="9E1AC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6127AF"/>
    <w:multiLevelType w:val="multilevel"/>
    <w:tmpl w:val="38CE8F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0714E32"/>
    <w:multiLevelType w:val="multilevel"/>
    <w:tmpl w:val="3B28F6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754119"/>
    <w:multiLevelType w:val="multilevel"/>
    <w:tmpl w:val="2070B0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FBF0C8A"/>
    <w:multiLevelType w:val="multilevel"/>
    <w:tmpl w:val="857C4E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CF853B2"/>
    <w:multiLevelType w:val="multilevel"/>
    <w:tmpl w:val="46E63392"/>
    <w:lvl w:ilvl="0">
      <w:start w:val="1"/>
      <w:numFmt w:val="upperLetter"/>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FB02B3A"/>
    <w:multiLevelType w:val="multilevel"/>
    <w:tmpl w:val="2D989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7574235"/>
    <w:multiLevelType w:val="multilevel"/>
    <w:tmpl w:val="538444B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72F90475"/>
    <w:multiLevelType w:val="multilevel"/>
    <w:tmpl w:val="6C743D5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756247507">
    <w:abstractNumId w:val="7"/>
  </w:num>
  <w:num w:numId="2" w16cid:durableId="419451834">
    <w:abstractNumId w:val="4"/>
  </w:num>
  <w:num w:numId="3" w16cid:durableId="958881234">
    <w:abstractNumId w:val="0"/>
  </w:num>
  <w:num w:numId="4" w16cid:durableId="1323310391">
    <w:abstractNumId w:val="6"/>
  </w:num>
  <w:num w:numId="5" w16cid:durableId="1895502826">
    <w:abstractNumId w:val="8"/>
  </w:num>
  <w:num w:numId="6" w16cid:durableId="1253589566">
    <w:abstractNumId w:val="3"/>
  </w:num>
  <w:num w:numId="7" w16cid:durableId="63528443">
    <w:abstractNumId w:val="1"/>
  </w:num>
  <w:num w:numId="8" w16cid:durableId="1238325458">
    <w:abstractNumId w:val="5"/>
  </w:num>
  <w:num w:numId="9" w16cid:durableId="144593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824"/>
    <w:rsid w:val="00124BDD"/>
    <w:rsid w:val="001B2214"/>
    <w:rsid w:val="00277B0F"/>
    <w:rsid w:val="00527044"/>
    <w:rsid w:val="0071789E"/>
    <w:rsid w:val="00876D88"/>
    <w:rsid w:val="00AD4CE3"/>
    <w:rsid w:val="00BA7131"/>
    <w:rsid w:val="00CF6824"/>
    <w:rsid w:val="00DA569D"/>
    <w:rsid w:val="00DE71E3"/>
    <w:rsid w:val="00DF1A1D"/>
    <w:rsid w:val="00E66C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7CE7E"/>
  <w15:docId w15:val="{E6969C69-0CC5-4262-BD40-6CE44E6F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D" w:eastAsia="en-ID"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183"/>
  </w:style>
  <w:style w:type="paragraph" w:styleId="Heading1">
    <w:name w:val="heading 1"/>
    <w:basedOn w:val="Normal"/>
    <w:next w:val="Normal"/>
    <w:link w:val="Heading1Char"/>
    <w:uiPriority w:val="9"/>
    <w:qFormat/>
    <w:rsid w:val="00326183"/>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26183"/>
    <w:pPr>
      <w:keepNext/>
      <w:keepLines/>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326183"/>
    <w:pPr>
      <w:keepNext/>
      <w:keepLines/>
      <w:outlineLvl w:val="2"/>
    </w:pPr>
    <w:rPr>
      <w:rFonts w:eastAsiaTheme="majorEastAsia" w:cstheme="majorBidi"/>
      <w:color w:val="000000" w:themeColor="text1"/>
      <w:szCs w:val="28"/>
    </w:rPr>
  </w:style>
  <w:style w:type="paragraph" w:styleId="Heading4">
    <w:name w:val="heading 4"/>
    <w:basedOn w:val="Normal"/>
    <w:next w:val="Normal"/>
    <w:link w:val="Heading4Char"/>
    <w:uiPriority w:val="9"/>
    <w:semiHidden/>
    <w:unhideWhenUsed/>
    <w:qFormat/>
    <w:rsid w:val="003261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61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6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6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2618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326183"/>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326183"/>
    <w:rPr>
      <w:rFonts w:ascii="Times New Roman" w:eastAsiaTheme="majorEastAsia" w:hAnsi="Times New Roman" w:cstheme="majorBidi"/>
      <w:color w:val="000000" w:themeColor="text1"/>
      <w:sz w:val="24"/>
      <w:szCs w:val="28"/>
    </w:rPr>
  </w:style>
  <w:style w:type="character" w:customStyle="1" w:styleId="Heading4Char">
    <w:name w:val="Heading 4 Char"/>
    <w:basedOn w:val="DefaultParagraphFont"/>
    <w:link w:val="Heading4"/>
    <w:uiPriority w:val="9"/>
    <w:semiHidden/>
    <w:rsid w:val="003261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61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6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183"/>
    <w:rPr>
      <w:rFonts w:eastAsiaTheme="majorEastAsia" w:cstheme="majorBidi"/>
      <w:color w:val="272727" w:themeColor="text1" w:themeTint="D8"/>
    </w:rPr>
  </w:style>
  <w:style w:type="character" w:customStyle="1" w:styleId="TitleChar">
    <w:name w:val="Title Char"/>
    <w:basedOn w:val="DefaultParagraphFont"/>
    <w:link w:val="Title"/>
    <w:uiPriority w:val="10"/>
    <w:rsid w:val="00326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326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183"/>
    <w:pPr>
      <w:spacing w:before="160"/>
      <w:jc w:val="center"/>
    </w:pPr>
    <w:rPr>
      <w:i/>
      <w:iCs/>
      <w:color w:val="404040" w:themeColor="text1" w:themeTint="BF"/>
    </w:rPr>
  </w:style>
  <w:style w:type="character" w:customStyle="1" w:styleId="QuoteChar">
    <w:name w:val="Quote Char"/>
    <w:basedOn w:val="DefaultParagraphFont"/>
    <w:link w:val="Quote"/>
    <w:uiPriority w:val="29"/>
    <w:rsid w:val="00326183"/>
    <w:rPr>
      <w:i/>
      <w:iCs/>
      <w:color w:val="404040" w:themeColor="text1" w:themeTint="BF"/>
    </w:rPr>
  </w:style>
  <w:style w:type="paragraph" w:styleId="ListParagraph">
    <w:name w:val="List Paragraph"/>
    <w:basedOn w:val="Normal"/>
    <w:uiPriority w:val="34"/>
    <w:qFormat/>
    <w:rsid w:val="00326183"/>
    <w:pPr>
      <w:ind w:left="720"/>
      <w:contextualSpacing/>
    </w:pPr>
  </w:style>
  <w:style w:type="character" w:styleId="IntenseEmphasis">
    <w:name w:val="Intense Emphasis"/>
    <w:basedOn w:val="DefaultParagraphFont"/>
    <w:uiPriority w:val="21"/>
    <w:qFormat/>
    <w:rsid w:val="00326183"/>
    <w:rPr>
      <w:i/>
      <w:iCs/>
      <w:color w:val="2F5496" w:themeColor="accent1" w:themeShade="BF"/>
    </w:rPr>
  </w:style>
  <w:style w:type="paragraph" w:styleId="IntenseQuote">
    <w:name w:val="Intense Quote"/>
    <w:basedOn w:val="Normal"/>
    <w:next w:val="Normal"/>
    <w:link w:val="IntenseQuoteChar"/>
    <w:uiPriority w:val="30"/>
    <w:qFormat/>
    <w:rsid w:val="003261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6183"/>
    <w:rPr>
      <w:i/>
      <w:iCs/>
      <w:color w:val="2F5496" w:themeColor="accent1" w:themeShade="BF"/>
    </w:rPr>
  </w:style>
  <w:style w:type="character" w:styleId="IntenseReference">
    <w:name w:val="Intense Reference"/>
    <w:basedOn w:val="DefaultParagraphFont"/>
    <w:uiPriority w:val="32"/>
    <w:qFormat/>
    <w:rsid w:val="00326183"/>
    <w:rPr>
      <w:b/>
      <w:bCs/>
      <w:smallCaps/>
      <w:color w:val="2F5496" w:themeColor="accent1" w:themeShade="BF"/>
      <w:spacing w:val="5"/>
    </w:rPr>
  </w:style>
  <w:style w:type="paragraph" w:styleId="FootnoteText">
    <w:name w:val="footnote text"/>
    <w:basedOn w:val="Normal"/>
    <w:link w:val="FootnoteTextChar"/>
    <w:uiPriority w:val="99"/>
    <w:semiHidden/>
    <w:unhideWhenUsed/>
    <w:rsid w:val="0027096C"/>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27096C"/>
    <w:rPr>
      <w:rFonts w:ascii="Times New Roman" w:hAnsi="Times New Roman"/>
      <w:sz w:val="20"/>
      <w:szCs w:val="20"/>
    </w:rPr>
  </w:style>
  <w:style w:type="character" w:styleId="FootnoteReference">
    <w:name w:val="footnote reference"/>
    <w:basedOn w:val="DefaultParagraphFont"/>
    <w:uiPriority w:val="99"/>
    <w:semiHidden/>
    <w:unhideWhenUsed/>
    <w:rsid w:val="0027096C"/>
    <w:rPr>
      <w:vertAlign w:val="superscript"/>
    </w:rPr>
  </w:style>
  <w:style w:type="table" w:styleId="TableGrid">
    <w:name w:val="Table Grid"/>
    <w:basedOn w:val="TableNormal"/>
    <w:uiPriority w:val="39"/>
    <w:rsid w:val="009E1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8605B"/>
    <w:pPr>
      <w:spacing w:before="0" w:after="200" w:line="240" w:lineRule="auto"/>
    </w:pPr>
    <w:rPr>
      <w:i/>
      <w:iCs/>
      <w:color w:val="44546A" w:themeColor="text2"/>
      <w:sz w:val="18"/>
      <w:szCs w:val="18"/>
    </w:rPr>
  </w:style>
  <w:style w:type="character" w:styleId="PlaceholderText">
    <w:name w:val="Placeholder Text"/>
    <w:basedOn w:val="DefaultParagraphFont"/>
    <w:uiPriority w:val="99"/>
    <w:semiHidden/>
    <w:rsid w:val="00B47484"/>
    <w:rPr>
      <w:color w:val="666666"/>
    </w:rPr>
  </w:style>
  <w:style w:type="paragraph" w:styleId="Bibliography">
    <w:name w:val="Bibliography"/>
    <w:basedOn w:val="Normal"/>
    <w:next w:val="Normal"/>
    <w:uiPriority w:val="37"/>
    <w:unhideWhenUsed/>
    <w:rsid w:val="005D0352"/>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QqlkCmShfWJeXYj8uaW+STQOA==">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4433</Words>
  <Characters>26159</Characters>
  <Application>Microsoft Office Word</Application>
  <DocSecurity>0</DocSecurity>
  <Lines>594</Lines>
  <Paragraphs>359</Paragraphs>
  <ScaleCrop>false</ScaleCrop>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Elghafiky Bimardhika</dc:creator>
  <cp:lastModifiedBy>Elghafiky Bimardhika</cp:lastModifiedBy>
  <cp:revision>9</cp:revision>
  <dcterms:created xsi:type="dcterms:W3CDTF">2025-02-24T12:54:00Z</dcterms:created>
  <dcterms:modified xsi:type="dcterms:W3CDTF">2025-02-26T03:25:00Z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a7bd4613-ca4e-4495-89f4-12c32fa71ae3</vt:lpwstr>
  </property>
  <property fmtid="{D5CDD505-2E9C-101B-9397-08002B2CF9AE}" pid="3" name="ZOTERO_PREF_1">
    <vt:lpwstr>&lt;data data-version="3" zotero-version="7.0.11"&gt;&lt;session id="KTOX86PO"/&gt;&lt;style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