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5AA9E" w14:textId="20B3F54F" w:rsidR="004769B3" w:rsidRPr="00B5156F" w:rsidRDefault="00546E00">
      <w:pPr>
        <w:rPr>
          <w:rFonts w:ascii="Times New Roman" w:hAnsi="Times New Roman" w:cs="Times New Roman"/>
          <w:b/>
          <w:bCs/>
        </w:rPr>
      </w:pPr>
      <w:r w:rsidRPr="00B5156F">
        <w:rPr>
          <w:rFonts w:ascii="Times New Roman" w:hAnsi="Times New Roman" w:cs="Times New Roman"/>
          <w:b/>
          <w:bCs/>
        </w:rPr>
        <w:t xml:space="preserve">Power </w:t>
      </w:r>
      <w:r w:rsidR="00335427">
        <w:rPr>
          <w:rFonts w:ascii="Times New Roman" w:hAnsi="Times New Roman" w:cs="Times New Roman"/>
          <w:b/>
          <w:bCs/>
        </w:rPr>
        <w:t>A</w:t>
      </w:r>
      <w:r w:rsidRPr="00B5156F">
        <w:rPr>
          <w:rFonts w:ascii="Times New Roman" w:hAnsi="Times New Roman" w:cs="Times New Roman"/>
          <w:b/>
          <w:bCs/>
        </w:rPr>
        <w:t>nalysis</w:t>
      </w:r>
      <w:r w:rsidR="00A741F7">
        <w:rPr>
          <w:rFonts w:ascii="Times New Roman" w:hAnsi="Times New Roman" w:cs="Times New Roman" w:hint="eastAsia"/>
          <w:b/>
          <w:bCs/>
        </w:rPr>
        <w:t xml:space="preserve">, Target </w:t>
      </w:r>
      <w:r w:rsidRPr="00B5156F">
        <w:rPr>
          <w:rFonts w:ascii="Times New Roman" w:hAnsi="Times New Roman" w:cs="Times New Roman"/>
          <w:b/>
          <w:bCs/>
        </w:rPr>
        <w:t>Effect Size</w:t>
      </w:r>
      <w:r w:rsidR="00A741F7">
        <w:rPr>
          <w:rFonts w:ascii="Times New Roman" w:hAnsi="Times New Roman" w:cs="Times New Roman" w:hint="eastAsia"/>
          <w:b/>
          <w:bCs/>
        </w:rPr>
        <w:t>, and Required Sample Size</w:t>
      </w:r>
      <w:r w:rsidRPr="00B5156F">
        <w:rPr>
          <w:rFonts w:ascii="Times New Roman" w:hAnsi="Times New Roman" w:cs="Times New Roman"/>
          <w:b/>
          <w:bCs/>
        </w:rPr>
        <w:t xml:space="preserve"> </w:t>
      </w:r>
    </w:p>
    <w:p w14:paraId="35F4F2DD" w14:textId="6EBB38DC" w:rsidR="00546E00" w:rsidRDefault="00AF681A">
      <w:pPr>
        <w:rPr>
          <w:rFonts w:ascii="Times New Roman" w:hAnsi="Times New Roman" w:cs="Times New Roman"/>
        </w:rPr>
      </w:pPr>
      <w:r w:rsidRPr="00AF681A">
        <w:rPr>
          <w:rFonts w:ascii="Times New Roman" w:hAnsi="Times New Roman" w:cs="Times New Roman"/>
        </w:rPr>
        <w:t xml:space="preserve">Our study primarily investigates how treatment information—covering aspects such as cell-cultivated salmon production, nutrition, ingredients, and safety—affects participants’ willingness to pay. To determine the sample size needed to detect a statistically significant </w:t>
      </w:r>
      <w:r>
        <w:rPr>
          <w:rFonts w:ascii="Times New Roman" w:hAnsi="Times New Roman" w:cs="Times New Roman"/>
        </w:rPr>
        <w:t xml:space="preserve">treatment </w:t>
      </w:r>
      <w:r w:rsidRPr="00AF681A">
        <w:rPr>
          <w:rFonts w:ascii="Times New Roman" w:hAnsi="Times New Roman" w:cs="Times New Roman"/>
        </w:rPr>
        <w:t xml:space="preserve">effect, we first </w:t>
      </w:r>
      <w:r w:rsidRPr="00AF681A">
        <w:rPr>
          <w:rFonts w:ascii="Times New Roman" w:hAnsi="Times New Roman" w:cs="Times New Roman"/>
        </w:rPr>
        <w:t>conducted</w:t>
      </w:r>
      <w:r w:rsidRPr="00AF681A">
        <w:rPr>
          <w:rFonts w:ascii="Times New Roman" w:hAnsi="Times New Roman" w:cs="Times New Roman"/>
        </w:rPr>
        <w:t xml:space="preserve"> a pilot study to estimate the relevant parameters</w:t>
      </w:r>
      <w:r>
        <w:rPr>
          <w:rFonts w:ascii="Times New Roman" w:hAnsi="Times New Roman" w:cs="Times New Roman"/>
        </w:rPr>
        <w:t xml:space="preserve"> to calculate the required sample size. </w:t>
      </w:r>
    </w:p>
    <w:p w14:paraId="2E3C1FCE" w14:textId="554DF13F" w:rsidR="00546E00" w:rsidRDefault="00DE2F42">
      <w:pPr>
        <w:rPr>
          <w:rFonts w:ascii="Times New Roman" w:hAnsi="Times New Roman" w:cs="Times New Roman"/>
        </w:rPr>
      </w:pPr>
      <w:r w:rsidRPr="00DE2F42">
        <w:rPr>
          <w:rFonts w:ascii="Times New Roman" w:hAnsi="Times New Roman" w:cs="Times New Roman"/>
        </w:rPr>
        <w:t>In our clock-proxy auction, we auctioned 1 Salmon Crudo (“dish1”), 1 Salmon Nigiri (“dish2”), 1 Salmon Saku (“dish3”), and 3 exclusive invitations (“vouchers”) in each session. Each participant could bid for at most one unit of each item. To be considered as a potential winner, a participant had to bid for a package that included a voucher (bidding for the voucher alone was also allowed).</w:t>
      </w:r>
      <w:r>
        <w:rPr>
          <w:rFonts w:ascii="Times New Roman" w:hAnsi="Times New Roman" w:cs="Times New Roman"/>
        </w:rPr>
        <w:t xml:space="preserve"> </w:t>
      </w:r>
    </w:p>
    <w:p w14:paraId="14F550E7" w14:textId="162D5244" w:rsidR="00DE2F42" w:rsidRDefault="00156AAA">
      <w:pPr>
        <w:rPr>
          <w:rFonts w:ascii="Times New Roman" w:hAnsi="Times New Roman" w:cs="Times New Roman"/>
        </w:rPr>
      </w:pPr>
      <w:r>
        <w:rPr>
          <w:rFonts w:ascii="Times New Roman" w:hAnsi="Times New Roman" w:cs="Times New Roman"/>
        </w:rPr>
        <w:t>Bids submitted for packages containing the voucher</w:t>
      </w:r>
      <w:r w:rsidR="00DE2F42">
        <w:rPr>
          <w:rFonts w:ascii="Times New Roman" w:hAnsi="Times New Roman" w:cs="Times New Roman"/>
        </w:rPr>
        <w:t xml:space="preserve"> in the pilot study are used for detecting effect size and sample size calculations</w:t>
      </w:r>
      <w:r>
        <w:rPr>
          <w:rFonts w:ascii="Times New Roman" w:hAnsi="Times New Roman" w:cs="Times New Roman"/>
        </w:rPr>
        <w:t xml:space="preserve">. </w:t>
      </w:r>
    </w:p>
    <w:p w14:paraId="303258AD" w14:textId="2CB52DB3" w:rsidR="005D752C" w:rsidRDefault="00495B06" w:rsidP="00156AAA">
      <w:pPr>
        <w:rPr>
          <w:rFonts w:ascii="Times New Roman" w:hAnsi="Times New Roman" w:cs="Times New Roman"/>
        </w:rPr>
      </w:pPr>
      <w:r w:rsidRPr="00156AAA">
        <w:rPr>
          <w:rFonts w:ascii="Times New Roman" w:hAnsi="Times New Roman" w:cs="Times New Roman"/>
        </w:rPr>
        <w:t xml:space="preserve">Package bids refer to those submitted for combinations that include the voucher and one or more dishes. These combinations include </w:t>
      </w:r>
      <w:r w:rsidR="00156AAA">
        <w:rPr>
          <w:rFonts w:ascii="Times New Roman" w:hAnsi="Times New Roman" w:cs="Times New Roman"/>
        </w:rPr>
        <w:t xml:space="preserve">[voucher], </w:t>
      </w:r>
      <w:r w:rsidRPr="00156AAA">
        <w:rPr>
          <w:rFonts w:ascii="Times New Roman" w:hAnsi="Times New Roman" w:cs="Times New Roman"/>
        </w:rPr>
        <w:t>[dish1, voucher], [dish2, voucher], [dish3, voucher], [dish1, dish2, voucher], [dish1, dish3, voucher], [dish2, dish3, voucher], and [dish1, dish2, dish3, voucher]. The package bids considered are the most recently updated ones, which ultimately enter the allocation process</w:t>
      </w:r>
      <w:r w:rsidR="00156AAA">
        <w:rPr>
          <w:rFonts w:ascii="Times New Roman" w:hAnsi="Times New Roman" w:cs="Times New Roman"/>
        </w:rPr>
        <w:t xml:space="preserve"> </w:t>
      </w:r>
      <w:r w:rsidRPr="00156AAA">
        <w:rPr>
          <w:rFonts w:ascii="Times New Roman" w:hAnsi="Times New Roman" w:cs="Times New Roman"/>
        </w:rPr>
        <w:t>that</w:t>
      </w:r>
      <w:r w:rsidRPr="00156AAA">
        <w:rPr>
          <w:rFonts w:ascii="Times New Roman" w:hAnsi="Times New Roman" w:cs="Times New Roman"/>
        </w:rPr>
        <w:t xml:space="preserve"> determines both item allocation and corresponding payments. These bids are subject to revealed preference activity rules imposed during both the clock and proxy phases.</w:t>
      </w:r>
    </w:p>
    <w:p w14:paraId="5B5176CC" w14:textId="07EF99BA" w:rsidR="006E2C5F" w:rsidRPr="00156AAA" w:rsidRDefault="006E2C5F" w:rsidP="006E2C5F">
      <w:pPr>
        <w:pStyle w:val="ListParagraph"/>
        <w:ind w:left="0"/>
        <w:jc w:val="center"/>
        <w:rPr>
          <w:rFonts w:ascii="Times New Roman" w:hAnsi="Times New Roman" w:cs="Times New Roman"/>
        </w:rPr>
      </w:pPr>
      <w:r w:rsidRPr="00F771C7">
        <w:rPr>
          <w:rFonts w:ascii="Times New Roman" w:hAnsi="Times New Roman" w:cs="Times New Roman"/>
        </w:rPr>
        <w:t>Table A-1. Means, standard deviations</w:t>
      </w:r>
      <w:r>
        <w:rPr>
          <w:rFonts w:ascii="Times New Roman" w:hAnsi="Times New Roman" w:cs="Times New Roman"/>
        </w:rPr>
        <w:t xml:space="preserve"> (SD)</w:t>
      </w:r>
      <w:r w:rsidRPr="00F771C7">
        <w:rPr>
          <w:rFonts w:ascii="Times New Roman" w:hAnsi="Times New Roman" w:cs="Times New Roman"/>
        </w:rPr>
        <w:t>, and number of observations</w:t>
      </w:r>
      <w:r>
        <w:rPr>
          <w:rFonts w:ascii="Times New Roman" w:hAnsi="Times New Roman" w:cs="Times New Roman"/>
        </w:rPr>
        <w:t xml:space="preserve"> (n)</w:t>
      </w:r>
      <w:r w:rsidRPr="00F771C7">
        <w:rPr>
          <w:rFonts w:ascii="Times New Roman" w:hAnsi="Times New Roman" w:cs="Times New Roman"/>
        </w:rPr>
        <w:t xml:space="preserve"> for bid types</w:t>
      </w:r>
      <w:r>
        <w:rPr>
          <w:rFonts w:ascii="Times New Roman" w:hAnsi="Times New Roman" w:cs="Times New Roman" w:hint="eastAsia"/>
        </w:rPr>
        <w:t xml:space="preserve"> from our pilot study </w:t>
      </w:r>
    </w:p>
    <w:tbl>
      <w:tblPr>
        <w:tblW w:w="0" w:type="auto"/>
        <w:tblInd w:w="108" w:type="dxa"/>
        <w:tblLook w:val="04A0" w:firstRow="1" w:lastRow="0" w:firstColumn="1" w:lastColumn="0" w:noHBand="0" w:noVBand="1"/>
      </w:tblPr>
      <w:tblGrid>
        <w:gridCol w:w="2685"/>
        <w:gridCol w:w="786"/>
        <w:gridCol w:w="546"/>
        <w:gridCol w:w="357"/>
        <w:gridCol w:w="717"/>
        <w:gridCol w:w="498"/>
        <w:gridCol w:w="326"/>
        <w:gridCol w:w="1713"/>
        <w:gridCol w:w="1817"/>
      </w:tblGrid>
      <w:tr w:rsidR="006E2C5F" w:rsidRPr="006E2C5F" w14:paraId="633FDCA0" w14:textId="77777777" w:rsidTr="006E2C5F">
        <w:trPr>
          <w:trHeight w:val="290"/>
        </w:trPr>
        <w:tc>
          <w:tcPr>
            <w:tcW w:w="0" w:type="auto"/>
            <w:vMerge w:val="restart"/>
            <w:tcBorders>
              <w:top w:val="single" w:sz="4" w:space="0" w:color="auto"/>
              <w:left w:val="nil"/>
              <w:bottom w:val="single" w:sz="4" w:space="0" w:color="000000"/>
              <w:right w:val="nil"/>
            </w:tcBorders>
            <w:shd w:val="clear" w:color="auto" w:fill="auto"/>
            <w:noWrap/>
            <w:vAlign w:val="center"/>
            <w:hideMark/>
          </w:tcPr>
          <w:p w14:paraId="6D49226F"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Type</w:t>
            </w:r>
          </w:p>
        </w:tc>
        <w:tc>
          <w:tcPr>
            <w:tcW w:w="0" w:type="auto"/>
            <w:gridSpan w:val="3"/>
            <w:tcBorders>
              <w:top w:val="single" w:sz="4" w:space="0" w:color="auto"/>
              <w:left w:val="nil"/>
              <w:bottom w:val="nil"/>
              <w:right w:val="nil"/>
            </w:tcBorders>
            <w:shd w:val="clear" w:color="auto" w:fill="auto"/>
            <w:noWrap/>
            <w:vAlign w:val="bottom"/>
            <w:hideMark/>
          </w:tcPr>
          <w:p w14:paraId="29BAF0D7"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Treatment group</w:t>
            </w:r>
          </w:p>
        </w:tc>
        <w:tc>
          <w:tcPr>
            <w:tcW w:w="0" w:type="auto"/>
            <w:gridSpan w:val="3"/>
            <w:tcBorders>
              <w:top w:val="single" w:sz="4" w:space="0" w:color="auto"/>
              <w:left w:val="nil"/>
              <w:bottom w:val="nil"/>
              <w:right w:val="nil"/>
            </w:tcBorders>
            <w:shd w:val="clear" w:color="auto" w:fill="auto"/>
            <w:noWrap/>
            <w:vAlign w:val="bottom"/>
            <w:hideMark/>
          </w:tcPr>
          <w:p w14:paraId="03B62CF8"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Control group</w:t>
            </w:r>
          </w:p>
        </w:tc>
        <w:tc>
          <w:tcPr>
            <w:tcW w:w="0" w:type="auto"/>
            <w:tcBorders>
              <w:top w:val="single" w:sz="4" w:space="0" w:color="auto"/>
              <w:left w:val="nil"/>
              <w:bottom w:val="nil"/>
              <w:right w:val="nil"/>
            </w:tcBorders>
            <w:shd w:val="clear" w:color="auto" w:fill="auto"/>
            <w:noWrap/>
            <w:vAlign w:val="bottom"/>
            <w:hideMark/>
          </w:tcPr>
          <w:p w14:paraId="7EE7D6CB"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 xml:space="preserve">Mean Difference </w:t>
            </w:r>
          </w:p>
        </w:tc>
        <w:tc>
          <w:tcPr>
            <w:tcW w:w="0" w:type="auto"/>
            <w:tcBorders>
              <w:top w:val="single" w:sz="4" w:space="0" w:color="auto"/>
              <w:left w:val="nil"/>
              <w:bottom w:val="nil"/>
              <w:right w:val="nil"/>
            </w:tcBorders>
            <w:shd w:val="clear" w:color="auto" w:fill="auto"/>
            <w:noWrap/>
            <w:vAlign w:val="bottom"/>
            <w:hideMark/>
          </w:tcPr>
          <w:p w14:paraId="1F282C80" w14:textId="2DCA2E85"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bookmarkStart w:id="0" w:name="OLE_LINK1"/>
            <w:r w:rsidRPr="006E2C5F">
              <w:rPr>
                <w:rFonts w:ascii="Times New Roman" w:eastAsia="Times New Roman" w:hAnsi="Times New Roman" w:cs="Times New Roman"/>
                <w:color w:val="000000"/>
                <w:kern w:val="0"/>
                <w:sz w:val="22"/>
                <w:szCs w:val="22"/>
                <w14:ligatures w14:val="none"/>
              </w:rPr>
              <w:t xml:space="preserve">Target </w:t>
            </w:r>
            <w:r w:rsidR="00476854">
              <w:rPr>
                <w:rFonts w:ascii="Times New Roman" w:hAnsi="Times New Roman" w:cs="Times New Roman" w:hint="eastAsia"/>
                <w:color w:val="000000"/>
                <w:kern w:val="0"/>
                <w:sz w:val="22"/>
                <w:szCs w:val="22"/>
                <w14:ligatures w14:val="none"/>
              </w:rPr>
              <w:t>E</w:t>
            </w:r>
            <w:r w:rsidRPr="006E2C5F">
              <w:rPr>
                <w:rFonts w:ascii="Times New Roman" w:eastAsia="Times New Roman" w:hAnsi="Times New Roman" w:cs="Times New Roman"/>
                <w:color w:val="000000"/>
                <w:kern w:val="0"/>
                <w:sz w:val="22"/>
                <w:szCs w:val="22"/>
                <w14:ligatures w14:val="none"/>
              </w:rPr>
              <w:t xml:space="preserve">ffect </w:t>
            </w:r>
            <w:r w:rsidR="00476854">
              <w:rPr>
                <w:rFonts w:ascii="Times New Roman" w:hAnsi="Times New Roman" w:cs="Times New Roman" w:hint="eastAsia"/>
                <w:color w:val="000000"/>
                <w:kern w:val="0"/>
                <w:sz w:val="22"/>
                <w:szCs w:val="22"/>
                <w14:ligatures w14:val="none"/>
              </w:rPr>
              <w:t>S</w:t>
            </w:r>
            <w:r w:rsidRPr="006E2C5F">
              <w:rPr>
                <w:rFonts w:ascii="Times New Roman" w:eastAsia="Times New Roman" w:hAnsi="Times New Roman" w:cs="Times New Roman"/>
                <w:color w:val="000000"/>
                <w:kern w:val="0"/>
                <w:sz w:val="22"/>
                <w:szCs w:val="22"/>
                <w14:ligatures w14:val="none"/>
              </w:rPr>
              <w:t>ize</w:t>
            </w:r>
            <w:bookmarkEnd w:id="0"/>
          </w:p>
        </w:tc>
      </w:tr>
      <w:tr w:rsidR="006E2C5F" w:rsidRPr="006E2C5F" w14:paraId="72604235" w14:textId="77777777" w:rsidTr="006E2C5F">
        <w:trPr>
          <w:trHeight w:val="290"/>
        </w:trPr>
        <w:tc>
          <w:tcPr>
            <w:tcW w:w="0" w:type="auto"/>
            <w:vMerge/>
            <w:tcBorders>
              <w:top w:val="single" w:sz="4" w:space="0" w:color="auto"/>
              <w:left w:val="nil"/>
              <w:bottom w:val="single" w:sz="4" w:space="0" w:color="000000"/>
              <w:right w:val="nil"/>
            </w:tcBorders>
            <w:vAlign w:val="center"/>
            <w:hideMark/>
          </w:tcPr>
          <w:p w14:paraId="23FFD3D2"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p>
        </w:tc>
        <w:tc>
          <w:tcPr>
            <w:tcW w:w="0" w:type="auto"/>
            <w:tcBorders>
              <w:top w:val="nil"/>
              <w:left w:val="nil"/>
              <w:bottom w:val="single" w:sz="4" w:space="0" w:color="auto"/>
              <w:right w:val="nil"/>
            </w:tcBorders>
            <w:shd w:val="clear" w:color="auto" w:fill="auto"/>
            <w:noWrap/>
            <w:vAlign w:val="bottom"/>
            <w:hideMark/>
          </w:tcPr>
          <w:p w14:paraId="286DF622"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Mean</w:t>
            </w:r>
          </w:p>
        </w:tc>
        <w:tc>
          <w:tcPr>
            <w:tcW w:w="0" w:type="auto"/>
            <w:tcBorders>
              <w:top w:val="nil"/>
              <w:left w:val="nil"/>
              <w:bottom w:val="single" w:sz="4" w:space="0" w:color="auto"/>
              <w:right w:val="nil"/>
            </w:tcBorders>
            <w:shd w:val="clear" w:color="auto" w:fill="auto"/>
            <w:noWrap/>
            <w:vAlign w:val="bottom"/>
            <w:hideMark/>
          </w:tcPr>
          <w:p w14:paraId="1D883DD6"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SD</w:t>
            </w:r>
          </w:p>
        </w:tc>
        <w:tc>
          <w:tcPr>
            <w:tcW w:w="0" w:type="auto"/>
            <w:tcBorders>
              <w:top w:val="nil"/>
              <w:left w:val="nil"/>
              <w:bottom w:val="single" w:sz="4" w:space="0" w:color="auto"/>
              <w:right w:val="nil"/>
            </w:tcBorders>
            <w:shd w:val="clear" w:color="auto" w:fill="auto"/>
            <w:noWrap/>
            <w:vAlign w:val="bottom"/>
            <w:hideMark/>
          </w:tcPr>
          <w:p w14:paraId="0EB8F929"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n</w:t>
            </w:r>
          </w:p>
        </w:tc>
        <w:tc>
          <w:tcPr>
            <w:tcW w:w="0" w:type="auto"/>
            <w:tcBorders>
              <w:top w:val="nil"/>
              <w:left w:val="nil"/>
              <w:bottom w:val="single" w:sz="4" w:space="0" w:color="auto"/>
              <w:right w:val="nil"/>
            </w:tcBorders>
            <w:shd w:val="clear" w:color="auto" w:fill="auto"/>
            <w:noWrap/>
            <w:vAlign w:val="bottom"/>
            <w:hideMark/>
          </w:tcPr>
          <w:p w14:paraId="693B5922"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Mean</w:t>
            </w:r>
          </w:p>
        </w:tc>
        <w:tc>
          <w:tcPr>
            <w:tcW w:w="0" w:type="auto"/>
            <w:tcBorders>
              <w:top w:val="nil"/>
              <w:left w:val="nil"/>
              <w:bottom w:val="single" w:sz="4" w:space="0" w:color="auto"/>
              <w:right w:val="nil"/>
            </w:tcBorders>
            <w:shd w:val="clear" w:color="auto" w:fill="auto"/>
            <w:noWrap/>
            <w:vAlign w:val="bottom"/>
            <w:hideMark/>
          </w:tcPr>
          <w:p w14:paraId="24D752E2"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SD</w:t>
            </w:r>
          </w:p>
        </w:tc>
        <w:tc>
          <w:tcPr>
            <w:tcW w:w="0" w:type="auto"/>
            <w:tcBorders>
              <w:top w:val="nil"/>
              <w:left w:val="nil"/>
              <w:bottom w:val="single" w:sz="4" w:space="0" w:color="auto"/>
              <w:right w:val="nil"/>
            </w:tcBorders>
            <w:shd w:val="clear" w:color="auto" w:fill="auto"/>
            <w:noWrap/>
            <w:vAlign w:val="bottom"/>
            <w:hideMark/>
          </w:tcPr>
          <w:p w14:paraId="7393604C"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n</w:t>
            </w:r>
          </w:p>
        </w:tc>
        <w:tc>
          <w:tcPr>
            <w:tcW w:w="0" w:type="auto"/>
            <w:tcBorders>
              <w:top w:val="nil"/>
              <w:left w:val="nil"/>
              <w:bottom w:val="single" w:sz="4" w:space="0" w:color="auto"/>
              <w:right w:val="nil"/>
            </w:tcBorders>
            <w:shd w:val="clear" w:color="auto" w:fill="auto"/>
            <w:noWrap/>
            <w:vAlign w:val="bottom"/>
            <w:hideMark/>
          </w:tcPr>
          <w:p w14:paraId="77E22649"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w:t>
            </w:r>
          </w:p>
        </w:tc>
        <w:tc>
          <w:tcPr>
            <w:tcW w:w="0" w:type="auto"/>
            <w:tcBorders>
              <w:top w:val="nil"/>
              <w:left w:val="nil"/>
              <w:bottom w:val="single" w:sz="4" w:space="0" w:color="auto"/>
              <w:right w:val="nil"/>
            </w:tcBorders>
            <w:shd w:val="clear" w:color="auto" w:fill="auto"/>
            <w:noWrap/>
            <w:vAlign w:val="bottom"/>
            <w:hideMark/>
          </w:tcPr>
          <w:p w14:paraId="39E3C744"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w:t>
            </w:r>
          </w:p>
        </w:tc>
      </w:tr>
      <w:tr w:rsidR="006E2C5F" w:rsidRPr="006E2C5F" w14:paraId="28314B43" w14:textId="77777777" w:rsidTr="006E2C5F">
        <w:trPr>
          <w:trHeight w:val="290"/>
        </w:trPr>
        <w:tc>
          <w:tcPr>
            <w:tcW w:w="0" w:type="auto"/>
            <w:tcBorders>
              <w:top w:val="nil"/>
              <w:left w:val="nil"/>
              <w:bottom w:val="nil"/>
              <w:right w:val="nil"/>
            </w:tcBorders>
            <w:shd w:val="clear" w:color="auto" w:fill="auto"/>
            <w:noWrap/>
            <w:vAlign w:val="bottom"/>
            <w:hideMark/>
          </w:tcPr>
          <w:p w14:paraId="71D8E888"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voucher</w:t>
            </w:r>
          </w:p>
        </w:tc>
        <w:tc>
          <w:tcPr>
            <w:tcW w:w="0" w:type="auto"/>
            <w:tcBorders>
              <w:top w:val="nil"/>
              <w:left w:val="nil"/>
              <w:bottom w:val="nil"/>
              <w:right w:val="nil"/>
            </w:tcBorders>
            <w:shd w:val="clear" w:color="auto" w:fill="auto"/>
            <w:noWrap/>
            <w:vAlign w:val="bottom"/>
            <w:hideMark/>
          </w:tcPr>
          <w:p w14:paraId="295D9E39"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36</w:t>
            </w:r>
          </w:p>
        </w:tc>
        <w:tc>
          <w:tcPr>
            <w:tcW w:w="0" w:type="auto"/>
            <w:tcBorders>
              <w:top w:val="nil"/>
              <w:left w:val="nil"/>
              <w:bottom w:val="nil"/>
              <w:right w:val="nil"/>
            </w:tcBorders>
            <w:shd w:val="clear" w:color="auto" w:fill="auto"/>
            <w:noWrap/>
            <w:vAlign w:val="bottom"/>
            <w:hideMark/>
          </w:tcPr>
          <w:p w14:paraId="078BAB14" w14:textId="1E715DD2" w:rsidR="006E2C5F" w:rsidRPr="006E2C5F" w:rsidRDefault="007B2CA3" w:rsidP="006E2C5F">
            <w:pPr>
              <w:spacing w:after="0" w:line="240" w:lineRule="auto"/>
              <w:jc w:val="center"/>
              <w:rPr>
                <w:rFonts w:ascii="Times New Roman" w:hAnsi="Times New Roman" w:cs="Times New Roman" w:hint="eastAsia"/>
                <w:color w:val="000000"/>
                <w:kern w:val="0"/>
                <w:sz w:val="22"/>
                <w:szCs w:val="22"/>
                <w14:ligatures w14:val="none"/>
              </w:rPr>
            </w:pPr>
            <w:r>
              <w:rPr>
                <w:rFonts w:ascii="Times New Roman" w:hAnsi="Times New Roman" w:cs="Times New Roman" w:hint="eastAsia"/>
                <w:color w:val="000000"/>
                <w:kern w:val="0"/>
                <w:sz w:val="22"/>
                <w:szCs w:val="22"/>
                <w14:ligatures w14:val="none"/>
              </w:rPr>
              <w:t>18</w:t>
            </w:r>
          </w:p>
        </w:tc>
        <w:tc>
          <w:tcPr>
            <w:tcW w:w="0" w:type="auto"/>
            <w:tcBorders>
              <w:top w:val="nil"/>
              <w:left w:val="nil"/>
              <w:bottom w:val="nil"/>
              <w:right w:val="nil"/>
            </w:tcBorders>
            <w:shd w:val="clear" w:color="auto" w:fill="auto"/>
            <w:noWrap/>
            <w:vAlign w:val="bottom"/>
            <w:hideMark/>
          </w:tcPr>
          <w:p w14:paraId="142EE4DA"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7</w:t>
            </w:r>
          </w:p>
        </w:tc>
        <w:tc>
          <w:tcPr>
            <w:tcW w:w="0" w:type="auto"/>
            <w:tcBorders>
              <w:top w:val="nil"/>
              <w:left w:val="nil"/>
              <w:bottom w:val="nil"/>
              <w:right w:val="nil"/>
            </w:tcBorders>
            <w:shd w:val="clear" w:color="auto" w:fill="auto"/>
            <w:noWrap/>
            <w:vAlign w:val="bottom"/>
            <w:hideMark/>
          </w:tcPr>
          <w:p w14:paraId="660E36B7"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34</w:t>
            </w:r>
          </w:p>
        </w:tc>
        <w:tc>
          <w:tcPr>
            <w:tcW w:w="0" w:type="auto"/>
            <w:tcBorders>
              <w:top w:val="nil"/>
              <w:left w:val="nil"/>
              <w:bottom w:val="nil"/>
              <w:right w:val="nil"/>
            </w:tcBorders>
            <w:shd w:val="clear" w:color="auto" w:fill="auto"/>
            <w:noWrap/>
            <w:vAlign w:val="bottom"/>
            <w:hideMark/>
          </w:tcPr>
          <w:p w14:paraId="4A55FB2C"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5</w:t>
            </w:r>
          </w:p>
        </w:tc>
        <w:tc>
          <w:tcPr>
            <w:tcW w:w="0" w:type="auto"/>
            <w:tcBorders>
              <w:top w:val="nil"/>
              <w:left w:val="nil"/>
              <w:bottom w:val="nil"/>
              <w:right w:val="nil"/>
            </w:tcBorders>
            <w:shd w:val="clear" w:color="auto" w:fill="auto"/>
            <w:noWrap/>
            <w:vAlign w:val="bottom"/>
            <w:hideMark/>
          </w:tcPr>
          <w:p w14:paraId="5F91A804"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4</w:t>
            </w:r>
          </w:p>
        </w:tc>
        <w:tc>
          <w:tcPr>
            <w:tcW w:w="0" w:type="auto"/>
            <w:tcBorders>
              <w:top w:val="nil"/>
              <w:left w:val="nil"/>
              <w:bottom w:val="nil"/>
              <w:right w:val="nil"/>
            </w:tcBorders>
            <w:shd w:val="clear" w:color="auto" w:fill="auto"/>
            <w:noWrap/>
            <w:vAlign w:val="bottom"/>
            <w:hideMark/>
          </w:tcPr>
          <w:p w14:paraId="71E783E8"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w:t>
            </w:r>
          </w:p>
        </w:tc>
        <w:tc>
          <w:tcPr>
            <w:tcW w:w="0" w:type="auto"/>
            <w:tcBorders>
              <w:top w:val="nil"/>
              <w:left w:val="nil"/>
              <w:bottom w:val="nil"/>
              <w:right w:val="nil"/>
            </w:tcBorders>
            <w:shd w:val="clear" w:color="auto" w:fill="auto"/>
            <w:noWrap/>
            <w:vAlign w:val="bottom"/>
            <w:hideMark/>
          </w:tcPr>
          <w:p w14:paraId="59BC4F0B"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10</w:t>
            </w:r>
          </w:p>
        </w:tc>
      </w:tr>
      <w:tr w:rsidR="006E2C5F" w:rsidRPr="006E2C5F" w14:paraId="1509CCDD" w14:textId="77777777" w:rsidTr="006E2C5F">
        <w:trPr>
          <w:trHeight w:val="290"/>
        </w:trPr>
        <w:tc>
          <w:tcPr>
            <w:tcW w:w="0" w:type="auto"/>
            <w:tcBorders>
              <w:top w:val="nil"/>
              <w:left w:val="nil"/>
              <w:bottom w:val="nil"/>
              <w:right w:val="nil"/>
            </w:tcBorders>
            <w:shd w:val="clear" w:color="auto" w:fill="auto"/>
            <w:noWrap/>
            <w:vAlign w:val="bottom"/>
            <w:hideMark/>
          </w:tcPr>
          <w:p w14:paraId="06212342"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dish1, voucher</w:t>
            </w:r>
          </w:p>
        </w:tc>
        <w:tc>
          <w:tcPr>
            <w:tcW w:w="0" w:type="auto"/>
            <w:tcBorders>
              <w:top w:val="nil"/>
              <w:left w:val="nil"/>
              <w:bottom w:val="nil"/>
              <w:right w:val="nil"/>
            </w:tcBorders>
            <w:shd w:val="clear" w:color="auto" w:fill="auto"/>
            <w:noWrap/>
            <w:vAlign w:val="bottom"/>
            <w:hideMark/>
          </w:tcPr>
          <w:p w14:paraId="40524D41"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54</w:t>
            </w:r>
          </w:p>
        </w:tc>
        <w:tc>
          <w:tcPr>
            <w:tcW w:w="0" w:type="auto"/>
            <w:tcBorders>
              <w:top w:val="nil"/>
              <w:left w:val="nil"/>
              <w:bottom w:val="nil"/>
              <w:right w:val="nil"/>
            </w:tcBorders>
            <w:shd w:val="clear" w:color="auto" w:fill="auto"/>
            <w:noWrap/>
            <w:vAlign w:val="bottom"/>
            <w:hideMark/>
          </w:tcPr>
          <w:p w14:paraId="306A8BE2"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30</w:t>
            </w:r>
          </w:p>
        </w:tc>
        <w:tc>
          <w:tcPr>
            <w:tcW w:w="0" w:type="auto"/>
            <w:tcBorders>
              <w:top w:val="nil"/>
              <w:left w:val="nil"/>
              <w:bottom w:val="nil"/>
              <w:right w:val="nil"/>
            </w:tcBorders>
            <w:shd w:val="clear" w:color="auto" w:fill="auto"/>
            <w:noWrap/>
            <w:vAlign w:val="bottom"/>
            <w:hideMark/>
          </w:tcPr>
          <w:p w14:paraId="02852BB5"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9</w:t>
            </w:r>
          </w:p>
        </w:tc>
        <w:tc>
          <w:tcPr>
            <w:tcW w:w="0" w:type="auto"/>
            <w:tcBorders>
              <w:top w:val="nil"/>
              <w:left w:val="nil"/>
              <w:bottom w:val="nil"/>
              <w:right w:val="nil"/>
            </w:tcBorders>
            <w:shd w:val="clear" w:color="auto" w:fill="auto"/>
            <w:noWrap/>
            <w:vAlign w:val="bottom"/>
            <w:hideMark/>
          </w:tcPr>
          <w:p w14:paraId="49EA609F"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30</w:t>
            </w:r>
          </w:p>
        </w:tc>
        <w:tc>
          <w:tcPr>
            <w:tcW w:w="0" w:type="auto"/>
            <w:tcBorders>
              <w:top w:val="nil"/>
              <w:left w:val="nil"/>
              <w:bottom w:val="nil"/>
              <w:right w:val="nil"/>
            </w:tcBorders>
            <w:shd w:val="clear" w:color="auto" w:fill="auto"/>
            <w:noWrap/>
            <w:vAlign w:val="bottom"/>
            <w:hideMark/>
          </w:tcPr>
          <w:p w14:paraId="3F899180"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11</w:t>
            </w:r>
          </w:p>
        </w:tc>
        <w:tc>
          <w:tcPr>
            <w:tcW w:w="0" w:type="auto"/>
            <w:tcBorders>
              <w:top w:val="nil"/>
              <w:left w:val="nil"/>
              <w:bottom w:val="nil"/>
              <w:right w:val="nil"/>
            </w:tcBorders>
            <w:shd w:val="clear" w:color="auto" w:fill="auto"/>
            <w:noWrap/>
            <w:vAlign w:val="bottom"/>
            <w:hideMark/>
          </w:tcPr>
          <w:p w14:paraId="1B9FAEE6"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6</w:t>
            </w:r>
          </w:p>
        </w:tc>
        <w:tc>
          <w:tcPr>
            <w:tcW w:w="0" w:type="auto"/>
            <w:tcBorders>
              <w:top w:val="nil"/>
              <w:left w:val="nil"/>
              <w:bottom w:val="nil"/>
              <w:right w:val="nil"/>
            </w:tcBorders>
            <w:shd w:val="clear" w:color="auto" w:fill="auto"/>
            <w:noWrap/>
            <w:vAlign w:val="bottom"/>
            <w:hideMark/>
          </w:tcPr>
          <w:p w14:paraId="58056766"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24</w:t>
            </w:r>
          </w:p>
        </w:tc>
        <w:tc>
          <w:tcPr>
            <w:tcW w:w="0" w:type="auto"/>
            <w:tcBorders>
              <w:top w:val="nil"/>
              <w:left w:val="nil"/>
              <w:bottom w:val="nil"/>
              <w:right w:val="nil"/>
            </w:tcBorders>
            <w:shd w:val="clear" w:color="auto" w:fill="auto"/>
            <w:noWrap/>
            <w:vAlign w:val="bottom"/>
            <w:hideMark/>
          </w:tcPr>
          <w:p w14:paraId="625C9695"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15</w:t>
            </w:r>
          </w:p>
        </w:tc>
      </w:tr>
      <w:tr w:rsidR="006E2C5F" w:rsidRPr="006E2C5F" w14:paraId="482A9CFE" w14:textId="77777777" w:rsidTr="006E2C5F">
        <w:trPr>
          <w:trHeight w:val="290"/>
        </w:trPr>
        <w:tc>
          <w:tcPr>
            <w:tcW w:w="0" w:type="auto"/>
            <w:tcBorders>
              <w:top w:val="nil"/>
              <w:left w:val="nil"/>
              <w:bottom w:val="nil"/>
              <w:right w:val="nil"/>
            </w:tcBorders>
            <w:shd w:val="clear" w:color="auto" w:fill="auto"/>
            <w:noWrap/>
            <w:vAlign w:val="bottom"/>
            <w:hideMark/>
          </w:tcPr>
          <w:p w14:paraId="340501FE"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dish2, voucher</w:t>
            </w:r>
          </w:p>
        </w:tc>
        <w:tc>
          <w:tcPr>
            <w:tcW w:w="0" w:type="auto"/>
            <w:tcBorders>
              <w:top w:val="nil"/>
              <w:left w:val="nil"/>
              <w:bottom w:val="nil"/>
              <w:right w:val="nil"/>
            </w:tcBorders>
            <w:shd w:val="clear" w:color="auto" w:fill="auto"/>
            <w:noWrap/>
            <w:vAlign w:val="bottom"/>
            <w:hideMark/>
          </w:tcPr>
          <w:p w14:paraId="3F2A4098"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44</w:t>
            </w:r>
          </w:p>
        </w:tc>
        <w:tc>
          <w:tcPr>
            <w:tcW w:w="0" w:type="auto"/>
            <w:tcBorders>
              <w:top w:val="nil"/>
              <w:left w:val="nil"/>
              <w:bottom w:val="nil"/>
              <w:right w:val="nil"/>
            </w:tcBorders>
            <w:shd w:val="clear" w:color="auto" w:fill="auto"/>
            <w:noWrap/>
            <w:vAlign w:val="bottom"/>
            <w:hideMark/>
          </w:tcPr>
          <w:p w14:paraId="52FCE075"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21</w:t>
            </w:r>
          </w:p>
        </w:tc>
        <w:tc>
          <w:tcPr>
            <w:tcW w:w="0" w:type="auto"/>
            <w:tcBorders>
              <w:top w:val="nil"/>
              <w:left w:val="nil"/>
              <w:bottom w:val="nil"/>
              <w:right w:val="nil"/>
            </w:tcBorders>
            <w:shd w:val="clear" w:color="auto" w:fill="auto"/>
            <w:noWrap/>
            <w:vAlign w:val="bottom"/>
            <w:hideMark/>
          </w:tcPr>
          <w:p w14:paraId="4A3BCF28"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6</w:t>
            </w:r>
          </w:p>
        </w:tc>
        <w:tc>
          <w:tcPr>
            <w:tcW w:w="0" w:type="auto"/>
            <w:tcBorders>
              <w:top w:val="nil"/>
              <w:left w:val="nil"/>
              <w:bottom w:val="nil"/>
              <w:right w:val="nil"/>
            </w:tcBorders>
            <w:shd w:val="clear" w:color="auto" w:fill="auto"/>
            <w:noWrap/>
            <w:vAlign w:val="bottom"/>
            <w:hideMark/>
          </w:tcPr>
          <w:p w14:paraId="73870586"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26</w:t>
            </w:r>
          </w:p>
        </w:tc>
        <w:tc>
          <w:tcPr>
            <w:tcW w:w="0" w:type="auto"/>
            <w:tcBorders>
              <w:top w:val="nil"/>
              <w:left w:val="nil"/>
              <w:bottom w:val="nil"/>
              <w:right w:val="nil"/>
            </w:tcBorders>
            <w:shd w:val="clear" w:color="auto" w:fill="auto"/>
            <w:noWrap/>
            <w:vAlign w:val="bottom"/>
            <w:hideMark/>
          </w:tcPr>
          <w:p w14:paraId="1DEBD746"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10</w:t>
            </w:r>
          </w:p>
        </w:tc>
        <w:tc>
          <w:tcPr>
            <w:tcW w:w="0" w:type="auto"/>
            <w:tcBorders>
              <w:top w:val="nil"/>
              <w:left w:val="nil"/>
              <w:bottom w:val="nil"/>
              <w:right w:val="nil"/>
            </w:tcBorders>
            <w:shd w:val="clear" w:color="auto" w:fill="auto"/>
            <w:noWrap/>
            <w:vAlign w:val="bottom"/>
            <w:hideMark/>
          </w:tcPr>
          <w:p w14:paraId="7BAE59FD"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6</w:t>
            </w:r>
          </w:p>
        </w:tc>
        <w:tc>
          <w:tcPr>
            <w:tcW w:w="0" w:type="auto"/>
            <w:tcBorders>
              <w:top w:val="nil"/>
              <w:left w:val="nil"/>
              <w:bottom w:val="nil"/>
              <w:right w:val="nil"/>
            </w:tcBorders>
            <w:shd w:val="clear" w:color="auto" w:fill="auto"/>
            <w:noWrap/>
            <w:vAlign w:val="bottom"/>
            <w:hideMark/>
          </w:tcPr>
          <w:p w14:paraId="6ABF3CA3"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18</w:t>
            </w:r>
          </w:p>
        </w:tc>
        <w:tc>
          <w:tcPr>
            <w:tcW w:w="0" w:type="auto"/>
            <w:tcBorders>
              <w:top w:val="nil"/>
              <w:left w:val="nil"/>
              <w:bottom w:val="nil"/>
              <w:right w:val="nil"/>
            </w:tcBorders>
            <w:shd w:val="clear" w:color="auto" w:fill="auto"/>
            <w:noWrap/>
            <w:vAlign w:val="bottom"/>
            <w:hideMark/>
          </w:tcPr>
          <w:p w14:paraId="458631A0"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15</w:t>
            </w:r>
          </w:p>
        </w:tc>
      </w:tr>
      <w:tr w:rsidR="006E2C5F" w:rsidRPr="006E2C5F" w14:paraId="72F6178F" w14:textId="77777777" w:rsidTr="006E2C5F">
        <w:trPr>
          <w:trHeight w:val="290"/>
        </w:trPr>
        <w:tc>
          <w:tcPr>
            <w:tcW w:w="0" w:type="auto"/>
            <w:tcBorders>
              <w:top w:val="nil"/>
              <w:left w:val="nil"/>
              <w:bottom w:val="nil"/>
              <w:right w:val="nil"/>
            </w:tcBorders>
            <w:shd w:val="clear" w:color="auto" w:fill="auto"/>
            <w:noWrap/>
            <w:vAlign w:val="bottom"/>
            <w:hideMark/>
          </w:tcPr>
          <w:p w14:paraId="25D59C42"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dish3, voucher</w:t>
            </w:r>
          </w:p>
        </w:tc>
        <w:tc>
          <w:tcPr>
            <w:tcW w:w="0" w:type="auto"/>
            <w:tcBorders>
              <w:top w:val="nil"/>
              <w:left w:val="nil"/>
              <w:bottom w:val="nil"/>
              <w:right w:val="nil"/>
            </w:tcBorders>
            <w:shd w:val="clear" w:color="auto" w:fill="auto"/>
            <w:noWrap/>
            <w:vAlign w:val="bottom"/>
            <w:hideMark/>
          </w:tcPr>
          <w:p w14:paraId="0ED85D9B"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50</w:t>
            </w:r>
          </w:p>
        </w:tc>
        <w:tc>
          <w:tcPr>
            <w:tcW w:w="0" w:type="auto"/>
            <w:tcBorders>
              <w:top w:val="nil"/>
              <w:left w:val="nil"/>
              <w:bottom w:val="nil"/>
              <w:right w:val="nil"/>
            </w:tcBorders>
            <w:shd w:val="clear" w:color="auto" w:fill="auto"/>
            <w:noWrap/>
            <w:vAlign w:val="bottom"/>
            <w:hideMark/>
          </w:tcPr>
          <w:p w14:paraId="1D8BBDAE" w14:textId="03AD5B9B" w:rsidR="006E2C5F" w:rsidRPr="006E2C5F" w:rsidRDefault="006E2C5F" w:rsidP="006E2C5F">
            <w:pPr>
              <w:spacing w:after="0" w:line="240" w:lineRule="auto"/>
              <w:jc w:val="center"/>
              <w:rPr>
                <w:rFonts w:ascii="Times New Roman" w:hAnsi="Times New Roman" w:cs="Times New Roman" w:hint="eastAsia"/>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w:t>
            </w:r>
            <w:r w:rsidR="007B2CA3">
              <w:rPr>
                <w:rFonts w:ascii="Times New Roman" w:hAnsi="Times New Roman" w:cs="Times New Roman" w:hint="eastAsia"/>
                <w:color w:val="000000"/>
                <w:kern w:val="0"/>
                <w:sz w:val="22"/>
                <w:szCs w:val="22"/>
                <w14:ligatures w14:val="none"/>
              </w:rPr>
              <w:t>5</w:t>
            </w:r>
          </w:p>
        </w:tc>
        <w:tc>
          <w:tcPr>
            <w:tcW w:w="0" w:type="auto"/>
            <w:tcBorders>
              <w:top w:val="nil"/>
              <w:left w:val="nil"/>
              <w:bottom w:val="nil"/>
              <w:right w:val="nil"/>
            </w:tcBorders>
            <w:shd w:val="clear" w:color="auto" w:fill="auto"/>
            <w:noWrap/>
            <w:vAlign w:val="bottom"/>
            <w:hideMark/>
          </w:tcPr>
          <w:p w14:paraId="14F882CC"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7</w:t>
            </w:r>
          </w:p>
        </w:tc>
        <w:tc>
          <w:tcPr>
            <w:tcW w:w="0" w:type="auto"/>
            <w:tcBorders>
              <w:top w:val="nil"/>
              <w:left w:val="nil"/>
              <w:bottom w:val="nil"/>
              <w:right w:val="nil"/>
            </w:tcBorders>
            <w:shd w:val="clear" w:color="auto" w:fill="auto"/>
            <w:noWrap/>
            <w:vAlign w:val="bottom"/>
            <w:hideMark/>
          </w:tcPr>
          <w:p w14:paraId="1CBE83A2"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23</w:t>
            </w:r>
          </w:p>
        </w:tc>
        <w:tc>
          <w:tcPr>
            <w:tcW w:w="0" w:type="auto"/>
            <w:tcBorders>
              <w:top w:val="nil"/>
              <w:left w:val="nil"/>
              <w:bottom w:val="nil"/>
              <w:right w:val="nil"/>
            </w:tcBorders>
            <w:shd w:val="clear" w:color="auto" w:fill="auto"/>
            <w:noWrap/>
            <w:vAlign w:val="bottom"/>
            <w:hideMark/>
          </w:tcPr>
          <w:p w14:paraId="53CCA82E"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12</w:t>
            </w:r>
          </w:p>
        </w:tc>
        <w:tc>
          <w:tcPr>
            <w:tcW w:w="0" w:type="auto"/>
            <w:tcBorders>
              <w:top w:val="nil"/>
              <w:left w:val="nil"/>
              <w:bottom w:val="nil"/>
              <w:right w:val="nil"/>
            </w:tcBorders>
            <w:shd w:val="clear" w:color="auto" w:fill="auto"/>
            <w:noWrap/>
            <w:vAlign w:val="bottom"/>
            <w:hideMark/>
          </w:tcPr>
          <w:p w14:paraId="6D5CCDBE"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w:t>
            </w:r>
          </w:p>
        </w:tc>
        <w:tc>
          <w:tcPr>
            <w:tcW w:w="0" w:type="auto"/>
            <w:tcBorders>
              <w:top w:val="nil"/>
              <w:left w:val="nil"/>
              <w:bottom w:val="nil"/>
              <w:right w:val="nil"/>
            </w:tcBorders>
            <w:shd w:val="clear" w:color="auto" w:fill="auto"/>
            <w:noWrap/>
            <w:vAlign w:val="bottom"/>
            <w:hideMark/>
          </w:tcPr>
          <w:p w14:paraId="1C4DD47B"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27</w:t>
            </w:r>
          </w:p>
        </w:tc>
        <w:tc>
          <w:tcPr>
            <w:tcW w:w="0" w:type="auto"/>
            <w:tcBorders>
              <w:top w:val="nil"/>
              <w:left w:val="nil"/>
              <w:bottom w:val="nil"/>
              <w:right w:val="nil"/>
            </w:tcBorders>
            <w:shd w:val="clear" w:color="auto" w:fill="auto"/>
            <w:noWrap/>
            <w:vAlign w:val="bottom"/>
            <w:hideMark/>
          </w:tcPr>
          <w:p w14:paraId="70DD403B"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15</w:t>
            </w:r>
          </w:p>
        </w:tc>
      </w:tr>
      <w:tr w:rsidR="006E2C5F" w:rsidRPr="006E2C5F" w14:paraId="62ABDB6F" w14:textId="77777777" w:rsidTr="006E2C5F">
        <w:trPr>
          <w:trHeight w:val="290"/>
        </w:trPr>
        <w:tc>
          <w:tcPr>
            <w:tcW w:w="0" w:type="auto"/>
            <w:tcBorders>
              <w:top w:val="nil"/>
              <w:left w:val="nil"/>
              <w:bottom w:val="nil"/>
              <w:right w:val="nil"/>
            </w:tcBorders>
            <w:shd w:val="clear" w:color="auto" w:fill="auto"/>
            <w:noWrap/>
            <w:vAlign w:val="bottom"/>
            <w:hideMark/>
          </w:tcPr>
          <w:p w14:paraId="65F2BA2A"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dish1, dish2, voucher</w:t>
            </w:r>
          </w:p>
        </w:tc>
        <w:tc>
          <w:tcPr>
            <w:tcW w:w="0" w:type="auto"/>
            <w:tcBorders>
              <w:top w:val="nil"/>
              <w:left w:val="nil"/>
              <w:bottom w:val="nil"/>
              <w:right w:val="nil"/>
            </w:tcBorders>
            <w:shd w:val="clear" w:color="auto" w:fill="auto"/>
            <w:noWrap/>
            <w:vAlign w:val="bottom"/>
            <w:hideMark/>
          </w:tcPr>
          <w:p w14:paraId="2BDCC8C8"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63</w:t>
            </w:r>
          </w:p>
        </w:tc>
        <w:tc>
          <w:tcPr>
            <w:tcW w:w="0" w:type="auto"/>
            <w:tcBorders>
              <w:top w:val="nil"/>
              <w:left w:val="nil"/>
              <w:bottom w:val="nil"/>
              <w:right w:val="nil"/>
            </w:tcBorders>
            <w:shd w:val="clear" w:color="auto" w:fill="auto"/>
            <w:noWrap/>
            <w:vAlign w:val="bottom"/>
            <w:hideMark/>
          </w:tcPr>
          <w:p w14:paraId="500F6D3B"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36</w:t>
            </w:r>
          </w:p>
        </w:tc>
        <w:tc>
          <w:tcPr>
            <w:tcW w:w="0" w:type="auto"/>
            <w:tcBorders>
              <w:top w:val="nil"/>
              <w:left w:val="nil"/>
              <w:bottom w:val="nil"/>
              <w:right w:val="nil"/>
            </w:tcBorders>
            <w:shd w:val="clear" w:color="auto" w:fill="auto"/>
            <w:noWrap/>
            <w:vAlign w:val="bottom"/>
            <w:hideMark/>
          </w:tcPr>
          <w:p w14:paraId="7ADE62B2"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8</w:t>
            </w:r>
          </w:p>
        </w:tc>
        <w:tc>
          <w:tcPr>
            <w:tcW w:w="0" w:type="auto"/>
            <w:tcBorders>
              <w:top w:val="nil"/>
              <w:left w:val="nil"/>
              <w:bottom w:val="nil"/>
              <w:right w:val="nil"/>
            </w:tcBorders>
            <w:shd w:val="clear" w:color="auto" w:fill="auto"/>
            <w:noWrap/>
            <w:vAlign w:val="bottom"/>
            <w:hideMark/>
          </w:tcPr>
          <w:p w14:paraId="407D46F1"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32</w:t>
            </w:r>
          </w:p>
        </w:tc>
        <w:tc>
          <w:tcPr>
            <w:tcW w:w="0" w:type="auto"/>
            <w:tcBorders>
              <w:top w:val="nil"/>
              <w:left w:val="nil"/>
              <w:bottom w:val="nil"/>
              <w:right w:val="nil"/>
            </w:tcBorders>
            <w:shd w:val="clear" w:color="auto" w:fill="auto"/>
            <w:noWrap/>
            <w:vAlign w:val="bottom"/>
            <w:hideMark/>
          </w:tcPr>
          <w:p w14:paraId="21176431"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13</w:t>
            </w:r>
          </w:p>
        </w:tc>
        <w:tc>
          <w:tcPr>
            <w:tcW w:w="0" w:type="auto"/>
            <w:tcBorders>
              <w:top w:val="nil"/>
              <w:left w:val="nil"/>
              <w:bottom w:val="nil"/>
              <w:right w:val="nil"/>
            </w:tcBorders>
            <w:shd w:val="clear" w:color="auto" w:fill="auto"/>
            <w:noWrap/>
            <w:vAlign w:val="bottom"/>
            <w:hideMark/>
          </w:tcPr>
          <w:p w14:paraId="196B8112"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5</w:t>
            </w:r>
          </w:p>
        </w:tc>
        <w:tc>
          <w:tcPr>
            <w:tcW w:w="0" w:type="auto"/>
            <w:tcBorders>
              <w:top w:val="nil"/>
              <w:left w:val="nil"/>
              <w:bottom w:val="nil"/>
              <w:right w:val="nil"/>
            </w:tcBorders>
            <w:shd w:val="clear" w:color="auto" w:fill="auto"/>
            <w:noWrap/>
            <w:vAlign w:val="bottom"/>
            <w:hideMark/>
          </w:tcPr>
          <w:p w14:paraId="4C435E23"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32</w:t>
            </w:r>
          </w:p>
        </w:tc>
        <w:tc>
          <w:tcPr>
            <w:tcW w:w="0" w:type="auto"/>
            <w:tcBorders>
              <w:top w:val="nil"/>
              <w:left w:val="nil"/>
              <w:bottom w:val="nil"/>
              <w:right w:val="nil"/>
            </w:tcBorders>
            <w:shd w:val="clear" w:color="auto" w:fill="auto"/>
            <w:noWrap/>
            <w:vAlign w:val="bottom"/>
            <w:hideMark/>
          </w:tcPr>
          <w:p w14:paraId="4F7F534F"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20</w:t>
            </w:r>
          </w:p>
        </w:tc>
      </w:tr>
      <w:tr w:rsidR="006E2C5F" w:rsidRPr="006E2C5F" w14:paraId="542471AE" w14:textId="77777777" w:rsidTr="006E2C5F">
        <w:trPr>
          <w:trHeight w:val="290"/>
        </w:trPr>
        <w:tc>
          <w:tcPr>
            <w:tcW w:w="0" w:type="auto"/>
            <w:tcBorders>
              <w:top w:val="nil"/>
              <w:left w:val="nil"/>
              <w:bottom w:val="nil"/>
              <w:right w:val="nil"/>
            </w:tcBorders>
            <w:shd w:val="clear" w:color="auto" w:fill="auto"/>
            <w:noWrap/>
            <w:vAlign w:val="bottom"/>
            <w:hideMark/>
          </w:tcPr>
          <w:p w14:paraId="760E1414"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dish1, dish3, voucher</w:t>
            </w:r>
          </w:p>
        </w:tc>
        <w:tc>
          <w:tcPr>
            <w:tcW w:w="0" w:type="auto"/>
            <w:tcBorders>
              <w:top w:val="nil"/>
              <w:left w:val="nil"/>
              <w:bottom w:val="nil"/>
              <w:right w:val="nil"/>
            </w:tcBorders>
            <w:shd w:val="clear" w:color="auto" w:fill="auto"/>
            <w:noWrap/>
            <w:vAlign w:val="bottom"/>
            <w:hideMark/>
          </w:tcPr>
          <w:p w14:paraId="15252C8B"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68</w:t>
            </w:r>
          </w:p>
        </w:tc>
        <w:tc>
          <w:tcPr>
            <w:tcW w:w="0" w:type="auto"/>
            <w:tcBorders>
              <w:top w:val="nil"/>
              <w:left w:val="nil"/>
              <w:bottom w:val="nil"/>
              <w:right w:val="nil"/>
            </w:tcBorders>
            <w:shd w:val="clear" w:color="auto" w:fill="auto"/>
            <w:noWrap/>
            <w:vAlign w:val="bottom"/>
            <w:hideMark/>
          </w:tcPr>
          <w:p w14:paraId="4E2A8BEA" w14:textId="0E4498A1" w:rsidR="006E2C5F" w:rsidRPr="006E2C5F" w:rsidRDefault="006E2C5F" w:rsidP="006E2C5F">
            <w:pPr>
              <w:spacing w:after="0" w:line="240" w:lineRule="auto"/>
              <w:jc w:val="center"/>
              <w:rPr>
                <w:rFonts w:ascii="Times New Roman" w:hAnsi="Times New Roman" w:cs="Times New Roman" w:hint="eastAsia"/>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w:t>
            </w:r>
            <w:r w:rsidR="007B2CA3">
              <w:rPr>
                <w:rFonts w:ascii="Times New Roman" w:hAnsi="Times New Roman" w:cs="Times New Roman" w:hint="eastAsia"/>
                <w:color w:val="000000"/>
                <w:kern w:val="0"/>
                <w:sz w:val="22"/>
                <w:szCs w:val="22"/>
                <w14:ligatures w14:val="none"/>
              </w:rPr>
              <w:t>6</w:t>
            </w:r>
          </w:p>
        </w:tc>
        <w:tc>
          <w:tcPr>
            <w:tcW w:w="0" w:type="auto"/>
            <w:tcBorders>
              <w:top w:val="nil"/>
              <w:left w:val="nil"/>
              <w:bottom w:val="nil"/>
              <w:right w:val="nil"/>
            </w:tcBorders>
            <w:shd w:val="clear" w:color="auto" w:fill="auto"/>
            <w:noWrap/>
            <w:vAlign w:val="bottom"/>
            <w:hideMark/>
          </w:tcPr>
          <w:p w14:paraId="51466B6B"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8</w:t>
            </w:r>
          </w:p>
        </w:tc>
        <w:tc>
          <w:tcPr>
            <w:tcW w:w="0" w:type="auto"/>
            <w:tcBorders>
              <w:top w:val="nil"/>
              <w:left w:val="nil"/>
              <w:bottom w:val="nil"/>
              <w:right w:val="nil"/>
            </w:tcBorders>
            <w:shd w:val="clear" w:color="auto" w:fill="auto"/>
            <w:noWrap/>
            <w:vAlign w:val="bottom"/>
            <w:hideMark/>
          </w:tcPr>
          <w:p w14:paraId="1593D8CA"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40</w:t>
            </w:r>
          </w:p>
        </w:tc>
        <w:tc>
          <w:tcPr>
            <w:tcW w:w="0" w:type="auto"/>
            <w:tcBorders>
              <w:top w:val="nil"/>
              <w:left w:val="nil"/>
              <w:bottom w:val="nil"/>
              <w:right w:val="nil"/>
            </w:tcBorders>
            <w:shd w:val="clear" w:color="auto" w:fill="auto"/>
            <w:noWrap/>
            <w:vAlign w:val="bottom"/>
            <w:hideMark/>
          </w:tcPr>
          <w:p w14:paraId="63F08CF4"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8</w:t>
            </w:r>
          </w:p>
        </w:tc>
        <w:tc>
          <w:tcPr>
            <w:tcW w:w="0" w:type="auto"/>
            <w:tcBorders>
              <w:top w:val="nil"/>
              <w:left w:val="nil"/>
              <w:bottom w:val="nil"/>
              <w:right w:val="nil"/>
            </w:tcBorders>
            <w:shd w:val="clear" w:color="auto" w:fill="auto"/>
            <w:noWrap/>
            <w:vAlign w:val="bottom"/>
            <w:hideMark/>
          </w:tcPr>
          <w:p w14:paraId="1E5C6919"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w:t>
            </w:r>
          </w:p>
        </w:tc>
        <w:tc>
          <w:tcPr>
            <w:tcW w:w="0" w:type="auto"/>
            <w:tcBorders>
              <w:top w:val="nil"/>
              <w:left w:val="nil"/>
              <w:bottom w:val="nil"/>
              <w:right w:val="nil"/>
            </w:tcBorders>
            <w:shd w:val="clear" w:color="auto" w:fill="auto"/>
            <w:noWrap/>
            <w:vAlign w:val="bottom"/>
            <w:hideMark/>
          </w:tcPr>
          <w:p w14:paraId="5A38B29B"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28</w:t>
            </w:r>
          </w:p>
        </w:tc>
        <w:tc>
          <w:tcPr>
            <w:tcW w:w="0" w:type="auto"/>
            <w:tcBorders>
              <w:top w:val="nil"/>
              <w:left w:val="nil"/>
              <w:bottom w:val="nil"/>
              <w:right w:val="nil"/>
            </w:tcBorders>
            <w:shd w:val="clear" w:color="auto" w:fill="auto"/>
            <w:noWrap/>
            <w:vAlign w:val="bottom"/>
            <w:hideMark/>
          </w:tcPr>
          <w:p w14:paraId="4C28CBEF"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20</w:t>
            </w:r>
          </w:p>
        </w:tc>
      </w:tr>
      <w:tr w:rsidR="006E2C5F" w:rsidRPr="006E2C5F" w14:paraId="154AF2F7" w14:textId="77777777" w:rsidTr="006E2C5F">
        <w:trPr>
          <w:trHeight w:val="290"/>
        </w:trPr>
        <w:tc>
          <w:tcPr>
            <w:tcW w:w="0" w:type="auto"/>
            <w:tcBorders>
              <w:top w:val="nil"/>
              <w:left w:val="nil"/>
              <w:bottom w:val="nil"/>
              <w:right w:val="nil"/>
            </w:tcBorders>
            <w:shd w:val="clear" w:color="auto" w:fill="auto"/>
            <w:noWrap/>
            <w:vAlign w:val="bottom"/>
            <w:hideMark/>
          </w:tcPr>
          <w:p w14:paraId="152A0298"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dish2, dish3, voucher</w:t>
            </w:r>
          </w:p>
        </w:tc>
        <w:tc>
          <w:tcPr>
            <w:tcW w:w="0" w:type="auto"/>
            <w:tcBorders>
              <w:top w:val="nil"/>
              <w:left w:val="nil"/>
              <w:bottom w:val="nil"/>
              <w:right w:val="nil"/>
            </w:tcBorders>
            <w:shd w:val="clear" w:color="auto" w:fill="auto"/>
            <w:noWrap/>
            <w:vAlign w:val="bottom"/>
            <w:hideMark/>
          </w:tcPr>
          <w:p w14:paraId="07B247A8"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56</w:t>
            </w:r>
          </w:p>
        </w:tc>
        <w:tc>
          <w:tcPr>
            <w:tcW w:w="0" w:type="auto"/>
            <w:tcBorders>
              <w:top w:val="nil"/>
              <w:left w:val="nil"/>
              <w:bottom w:val="nil"/>
              <w:right w:val="nil"/>
            </w:tcBorders>
            <w:shd w:val="clear" w:color="auto" w:fill="auto"/>
            <w:noWrap/>
            <w:vAlign w:val="bottom"/>
            <w:hideMark/>
          </w:tcPr>
          <w:p w14:paraId="5D73A19D" w14:textId="301187BB" w:rsidR="006E2C5F" w:rsidRPr="006E2C5F" w:rsidRDefault="006E2C5F" w:rsidP="006E2C5F">
            <w:pPr>
              <w:spacing w:after="0" w:line="240" w:lineRule="auto"/>
              <w:jc w:val="center"/>
              <w:rPr>
                <w:rFonts w:ascii="Times New Roman" w:hAnsi="Times New Roman" w:cs="Times New Roman" w:hint="eastAsia"/>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w:t>
            </w:r>
            <w:r w:rsidR="007B2CA3">
              <w:rPr>
                <w:rFonts w:ascii="Times New Roman" w:hAnsi="Times New Roman" w:cs="Times New Roman" w:hint="eastAsia"/>
                <w:color w:val="000000"/>
                <w:kern w:val="0"/>
                <w:sz w:val="22"/>
                <w:szCs w:val="22"/>
                <w14:ligatures w14:val="none"/>
              </w:rPr>
              <w:t>4</w:t>
            </w:r>
          </w:p>
        </w:tc>
        <w:tc>
          <w:tcPr>
            <w:tcW w:w="0" w:type="auto"/>
            <w:tcBorders>
              <w:top w:val="nil"/>
              <w:left w:val="nil"/>
              <w:bottom w:val="nil"/>
              <w:right w:val="nil"/>
            </w:tcBorders>
            <w:shd w:val="clear" w:color="auto" w:fill="auto"/>
            <w:noWrap/>
            <w:vAlign w:val="bottom"/>
            <w:hideMark/>
          </w:tcPr>
          <w:p w14:paraId="380BFCF8"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6</w:t>
            </w:r>
          </w:p>
        </w:tc>
        <w:tc>
          <w:tcPr>
            <w:tcW w:w="0" w:type="auto"/>
            <w:tcBorders>
              <w:top w:val="nil"/>
              <w:left w:val="nil"/>
              <w:bottom w:val="nil"/>
              <w:right w:val="nil"/>
            </w:tcBorders>
            <w:shd w:val="clear" w:color="auto" w:fill="auto"/>
            <w:noWrap/>
            <w:vAlign w:val="bottom"/>
            <w:hideMark/>
          </w:tcPr>
          <w:p w14:paraId="3EF49661"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31</w:t>
            </w:r>
          </w:p>
        </w:tc>
        <w:tc>
          <w:tcPr>
            <w:tcW w:w="0" w:type="auto"/>
            <w:tcBorders>
              <w:top w:val="nil"/>
              <w:left w:val="nil"/>
              <w:bottom w:val="nil"/>
              <w:right w:val="nil"/>
            </w:tcBorders>
            <w:shd w:val="clear" w:color="auto" w:fill="auto"/>
            <w:noWrap/>
            <w:vAlign w:val="bottom"/>
            <w:hideMark/>
          </w:tcPr>
          <w:p w14:paraId="4839CA60"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w:t>
            </w:r>
          </w:p>
        </w:tc>
        <w:tc>
          <w:tcPr>
            <w:tcW w:w="0" w:type="auto"/>
            <w:tcBorders>
              <w:top w:val="nil"/>
              <w:left w:val="nil"/>
              <w:bottom w:val="nil"/>
              <w:right w:val="nil"/>
            </w:tcBorders>
            <w:shd w:val="clear" w:color="auto" w:fill="auto"/>
            <w:noWrap/>
            <w:vAlign w:val="bottom"/>
            <w:hideMark/>
          </w:tcPr>
          <w:p w14:paraId="6C15951F"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w:t>
            </w:r>
          </w:p>
        </w:tc>
        <w:tc>
          <w:tcPr>
            <w:tcW w:w="0" w:type="auto"/>
            <w:tcBorders>
              <w:top w:val="nil"/>
              <w:left w:val="nil"/>
              <w:bottom w:val="nil"/>
              <w:right w:val="nil"/>
            </w:tcBorders>
            <w:shd w:val="clear" w:color="auto" w:fill="auto"/>
            <w:noWrap/>
            <w:vAlign w:val="bottom"/>
            <w:hideMark/>
          </w:tcPr>
          <w:p w14:paraId="1306B4B6"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25</w:t>
            </w:r>
          </w:p>
        </w:tc>
        <w:tc>
          <w:tcPr>
            <w:tcW w:w="0" w:type="auto"/>
            <w:tcBorders>
              <w:top w:val="nil"/>
              <w:left w:val="nil"/>
              <w:bottom w:val="nil"/>
              <w:right w:val="nil"/>
            </w:tcBorders>
            <w:shd w:val="clear" w:color="auto" w:fill="auto"/>
            <w:noWrap/>
            <w:vAlign w:val="bottom"/>
            <w:hideMark/>
          </w:tcPr>
          <w:p w14:paraId="034F53B5"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20</w:t>
            </w:r>
          </w:p>
        </w:tc>
      </w:tr>
      <w:tr w:rsidR="006E2C5F" w:rsidRPr="006E2C5F" w14:paraId="27093574" w14:textId="77777777" w:rsidTr="006E2C5F">
        <w:trPr>
          <w:trHeight w:val="290"/>
        </w:trPr>
        <w:tc>
          <w:tcPr>
            <w:tcW w:w="0" w:type="auto"/>
            <w:tcBorders>
              <w:top w:val="nil"/>
              <w:left w:val="nil"/>
              <w:bottom w:val="single" w:sz="4" w:space="0" w:color="auto"/>
              <w:right w:val="nil"/>
            </w:tcBorders>
            <w:shd w:val="clear" w:color="auto" w:fill="auto"/>
            <w:noWrap/>
            <w:vAlign w:val="bottom"/>
            <w:hideMark/>
          </w:tcPr>
          <w:p w14:paraId="7757A7A6" w14:textId="77777777" w:rsidR="006E2C5F" w:rsidRPr="006E2C5F" w:rsidRDefault="006E2C5F" w:rsidP="006E2C5F">
            <w:pPr>
              <w:spacing w:after="0" w:line="240" w:lineRule="auto"/>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dish1, dish2, dish3, voucher</w:t>
            </w:r>
          </w:p>
        </w:tc>
        <w:tc>
          <w:tcPr>
            <w:tcW w:w="0" w:type="auto"/>
            <w:tcBorders>
              <w:top w:val="nil"/>
              <w:left w:val="nil"/>
              <w:bottom w:val="single" w:sz="4" w:space="0" w:color="auto"/>
              <w:right w:val="nil"/>
            </w:tcBorders>
            <w:shd w:val="clear" w:color="auto" w:fill="auto"/>
            <w:noWrap/>
            <w:vAlign w:val="bottom"/>
            <w:hideMark/>
          </w:tcPr>
          <w:p w14:paraId="78C78BCE"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88</w:t>
            </w:r>
          </w:p>
        </w:tc>
        <w:tc>
          <w:tcPr>
            <w:tcW w:w="0" w:type="auto"/>
            <w:tcBorders>
              <w:top w:val="nil"/>
              <w:left w:val="nil"/>
              <w:bottom w:val="single" w:sz="4" w:space="0" w:color="auto"/>
              <w:right w:val="nil"/>
            </w:tcBorders>
            <w:shd w:val="clear" w:color="auto" w:fill="auto"/>
            <w:noWrap/>
            <w:vAlign w:val="bottom"/>
            <w:hideMark/>
          </w:tcPr>
          <w:p w14:paraId="1A4B4B75"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43</w:t>
            </w:r>
          </w:p>
        </w:tc>
        <w:tc>
          <w:tcPr>
            <w:tcW w:w="0" w:type="auto"/>
            <w:tcBorders>
              <w:top w:val="nil"/>
              <w:left w:val="nil"/>
              <w:bottom w:val="single" w:sz="4" w:space="0" w:color="auto"/>
              <w:right w:val="nil"/>
            </w:tcBorders>
            <w:shd w:val="clear" w:color="auto" w:fill="auto"/>
            <w:noWrap/>
            <w:vAlign w:val="bottom"/>
            <w:hideMark/>
          </w:tcPr>
          <w:p w14:paraId="559A9774"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8</w:t>
            </w:r>
          </w:p>
        </w:tc>
        <w:tc>
          <w:tcPr>
            <w:tcW w:w="0" w:type="auto"/>
            <w:tcBorders>
              <w:top w:val="nil"/>
              <w:left w:val="nil"/>
              <w:bottom w:val="single" w:sz="4" w:space="0" w:color="auto"/>
              <w:right w:val="nil"/>
            </w:tcBorders>
            <w:shd w:val="clear" w:color="auto" w:fill="auto"/>
            <w:noWrap/>
            <w:vAlign w:val="bottom"/>
            <w:hideMark/>
          </w:tcPr>
          <w:p w14:paraId="26B10FB7"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31</w:t>
            </w:r>
          </w:p>
        </w:tc>
        <w:tc>
          <w:tcPr>
            <w:tcW w:w="0" w:type="auto"/>
            <w:tcBorders>
              <w:top w:val="nil"/>
              <w:left w:val="nil"/>
              <w:bottom w:val="single" w:sz="4" w:space="0" w:color="auto"/>
              <w:right w:val="nil"/>
            </w:tcBorders>
            <w:shd w:val="clear" w:color="auto" w:fill="auto"/>
            <w:noWrap/>
            <w:vAlign w:val="bottom"/>
            <w:hideMark/>
          </w:tcPr>
          <w:p w14:paraId="71B49966"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16</w:t>
            </w:r>
          </w:p>
        </w:tc>
        <w:tc>
          <w:tcPr>
            <w:tcW w:w="0" w:type="auto"/>
            <w:tcBorders>
              <w:top w:val="nil"/>
              <w:left w:val="nil"/>
              <w:bottom w:val="single" w:sz="4" w:space="0" w:color="auto"/>
              <w:right w:val="nil"/>
            </w:tcBorders>
            <w:shd w:val="clear" w:color="auto" w:fill="auto"/>
            <w:noWrap/>
            <w:vAlign w:val="bottom"/>
            <w:hideMark/>
          </w:tcPr>
          <w:p w14:paraId="386DC78E"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3</w:t>
            </w:r>
          </w:p>
        </w:tc>
        <w:tc>
          <w:tcPr>
            <w:tcW w:w="0" w:type="auto"/>
            <w:tcBorders>
              <w:top w:val="nil"/>
              <w:left w:val="nil"/>
              <w:bottom w:val="single" w:sz="4" w:space="0" w:color="auto"/>
              <w:right w:val="nil"/>
            </w:tcBorders>
            <w:shd w:val="clear" w:color="auto" w:fill="auto"/>
            <w:noWrap/>
            <w:vAlign w:val="bottom"/>
            <w:hideMark/>
          </w:tcPr>
          <w:p w14:paraId="668D62D5"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57</w:t>
            </w:r>
          </w:p>
        </w:tc>
        <w:tc>
          <w:tcPr>
            <w:tcW w:w="0" w:type="auto"/>
            <w:tcBorders>
              <w:top w:val="nil"/>
              <w:left w:val="nil"/>
              <w:bottom w:val="single" w:sz="4" w:space="0" w:color="auto"/>
              <w:right w:val="nil"/>
            </w:tcBorders>
            <w:shd w:val="clear" w:color="auto" w:fill="auto"/>
            <w:noWrap/>
            <w:vAlign w:val="bottom"/>
            <w:hideMark/>
          </w:tcPr>
          <w:p w14:paraId="591573D2" w14:textId="77777777" w:rsidR="006E2C5F" w:rsidRPr="006E2C5F" w:rsidRDefault="006E2C5F" w:rsidP="006E2C5F">
            <w:pPr>
              <w:spacing w:after="0" w:line="240" w:lineRule="auto"/>
              <w:jc w:val="center"/>
              <w:rPr>
                <w:rFonts w:ascii="Times New Roman" w:eastAsia="Times New Roman" w:hAnsi="Times New Roman" w:cs="Times New Roman"/>
                <w:color w:val="000000"/>
                <w:kern w:val="0"/>
                <w:sz w:val="22"/>
                <w:szCs w:val="22"/>
                <w14:ligatures w14:val="none"/>
              </w:rPr>
            </w:pPr>
            <w:r w:rsidRPr="006E2C5F">
              <w:rPr>
                <w:rFonts w:ascii="Times New Roman" w:eastAsia="Times New Roman" w:hAnsi="Times New Roman" w:cs="Times New Roman"/>
                <w:color w:val="000000"/>
                <w:kern w:val="0"/>
                <w:sz w:val="22"/>
                <w:szCs w:val="22"/>
                <w14:ligatures w14:val="none"/>
              </w:rPr>
              <w:t>25</w:t>
            </w:r>
          </w:p>
        </w:tc>
      </w:tr>
    </w:tbl>
    <w:p w14:paraId="3B5055D5" w14:textId="4F6244A0" w:rsidR="00F771C7" w:rsidRPr="006E2C5F" w:rsidRDefault="006E2C5F" w:rsidP="00B013A3">
      <w:pPr>
        <w:pStyle w:val="ListParagraph"/>
        <w:ind w:left="0"/>
        <w:rPr>
          <w:rFonts w:ascii="Times New Roman" w:hAnsi="Times New Roman" w:cs="Times New Roman"/>
          <w:sz w:val="22"/>
          <w:szCs w:val="22"/>
        </w:rPr>
      </w:pPr>
      <w:r w:rsidRPr="006E2C5F">
        <w:rPr>
          <w:rFonts w:ascii="Times New Roman" w:hAnsi="Times New Roman" w:cs="Times New Roman"/>
          <w:sz w:val="22"/>
          <w:szCs w:val="22"/>
        </w:rPr>
        <w:t xml:space="preserve"> </w:t>
      </w:r>
      <w:r w:rsidR="00F771C7" w:rsidRPr="006E2C5F">
        <w:rPr>
          <w:rFonts w:ascii="Times New Roman" w:hAnsi="Times New Roman" w:cs="Times New Roman"/>
          <w:sz w:val="22"/>
          <w:szCs w:val="22"/>
        </w:rPr>
        <w:t xml:space="preserve">Note: </w:t>
      </w:r>
      <w:r w:rsidR="00F771C7" w:rsidRPr="006E2C5F">
        <w:rPr>
          <w:rFonts w:ascii="Times New Roman" w:hAnsi="Times New Roman" w:cs="Times New Roman"/>
          <w:sz w:val="22"/>
          <w:szCs w:val="22"/>
        </w:rPr>
        <w:t>Our pilot study includes one treatment group with 1</w:t>
      </w:r>
      <w:r w:rsidR="00156AAA" w:rsidRPr="006E2C5F">
        <w:rPr>
          <w:rFonts w:ascii="Times New Roman" w:hAnsi="Times New Roman" w:cs="Times New Roman"/>
          <w:sz w:val="22"/>
          <w:szCs w:val="22"/>
        </w:rPr>
        <w:t>2</w:t>
      </w:r>
      <w:r w:rsidR="00F771C7" w:rsidRPr="006E2C5F">
        <w:rPr>
          <w:rFonts w:ascii="Times New Roman" w:hAnsi="Times New Roman" w:cs="Times New Roman"/>
          <w:sz w:val="22"/>
          <w:szCs w:val="22"/>
        </w:rPr>
        <w:t xml:space="preserve"> participants and one control group with 11 participants.</w:t>
      </w:r>
      <w:r w:rsidR="00156AAA" w:rsidRPr="006E2C5F">
        <w:rPr>
          <w:rFonts w:ascii="Times New Roman" w:hAnsi="Times New Roman" w:cs="Times New Roman"/>
          <w:sz w:val="22"/>
          <w:szCs w:val="22"/>
        </w:rPr>
        <w:t xml:space="preserve"> </w:t>
      </w:r>
    </w:p>
    <w:p w14:paraId="6FF243CA" w14:textId="1BBC7129" w:rsidR="00F01634" w:rsidRDefault="009953B3">
      <w:pPr>
        <w:divId w:val="2065718066"/>
        <w:rPr>
          <w:rFonts w:ascii="Times New Roman" w:hAnsi="Times New Roman" w:cs="Times New Roman"/>
        </w:rPr>
      </w:pPr>
      <w:r>
        <w:rPr>
          <w:rFonts w:ascii="Times New Roman" w:hAnsi="Times New Roman" w:cs="Times New Roman"/>
        </w:rPr>
        <w:t xml:space="preserve">While </w:t>
      </w:r>
      <w:sdt>
        <w:sdtPr>
          <w:rPr>
            <w:rFonts w:ascii="Times New Roman" w:hAnsi="Times New Roman" w:cs="Times New Roman"/>
          </w:rPr>
          <w:alias w:val="SmartCite Citation"/>
          <w:tag w:val="feef877d-878a-49b7-8c0b-77e1743f2afa:39eb9441-e7b8-4edf-afc6-99b212a3f6db+{&quot;manual_text_override&quot;:&quot;Canavari et al. (2019)&quot;,&quot;mode&quot;:null}"/>
          <w:id w:val="2074769406"/>
          <w:placeholder>
            <w:docPart w:val="DefaultPlaceholder_-1854013440"/>
          </w:placeholder>
        </w:sdtPr>
        <w:sdtContent>
          <w:proofErr w:type="spellStart"/>
          <w:r w:rsidR="00CA07A1" w:rsidRPr="00CA07A1">
            <w:rPr>
              <w:rFonts w:ascii="Times New Roman" w:eastAsia="Times New Roman" w:hAnsi="Times New Roman" w:cs="Times New Roman"/>
            </w:rPr>
            <w:t>Canavari</w:t>
          </w:r>
          <w:proofErr w:type="spellEnd"/>
          <w:r w:rsidR="00CA07A1" w:rsidRPr="00CA07A1">
            <w:rPr>
              <w:rFonts w:ascii="Times New Roman" w:eastAsia="Times New Roman" w:hAnsi="Times New Roman" w:cs="Times New Roman"/>
            </w:rPr>
            <w:t xml:space="preserve"> et al. (2019)</w:t>
          </w:r>
        </w:sdtContent>
      </w:sdt>
      <w:r>
        <w:rPr>
          <w:rFonts w:ascii="Times New Roman" w:hAnsi="Times New Roman" w:cs="Times New Roman"/>
        </w:rPr>
        <w:t> </w:t>
      </w:r>
      <w:r w:rsidR="00CA07A1">
        <w:rPr>
          <w:rFonts w:ascii="Times New Roman" w:hAnsi="Times New Roman" w:cs="Times New Roman"/>
        </w:rPr>
        <w:t xml:space="preserve">provide guidance on conducting power analysis and calculating sample sizes in experimental auction design assuming equal sample size and variances,  </w:t>
      </w:r>
      <w:sdt>
        <w:sdtPr>
          <w:rPr>
            <w:rFonts w:ascii="Times New Roman" w:hAnsi="Times New Roman" w:cs="Times New Roman"/>
          </w:rPr>
          <w:alias w:val="SmartCite Citation"/>
          <w:tag w:val="feef877d-878a-49b7-8c0b-77e1743f2afa:12242c6d-1e0f-4a76-ac1c-bcb12da3c2c4+{&quot;manual_text_override&quot;:&quot;Ahles et al. (2024)&quot;,&quot;mode&quot;:null}"/>
          <w:id w:val="-705640458"/>
          <w:placeholder>
            <w:docPart w:val="DefaultPlaceholder_-1854013440"/>
          </w:placeholder>
        </w:sdtPr>
        <w:sdtContent>
          <w:r w:rsidR="00CA07A1" w:rsidRPr="00CA07A1">
            <w:rPr>
              <w:rFonts w:ascii="Times New Roman" w:eastAsia="Times New Roman" w:hAnsi="Times New Roman" w:cs="Times New Roman"/>
            </w:rPr>
            <w:t>Ahles et al. (2024)</w:t>
          </w:r>
        </w:sdtContent>
      </w:sdt>
      <w:r w:rsidR="00CA07A1">
        <w:rPr>
          <w:rFonts w:ascii="Times New Roman" w:hAnsi="Times New Roman" w:cs="Times New Roman"/>
        </w:rPr>
        <w:t xml:space="preserve"> have presented a formula that accommodates unequal variances. </w:t>
      </w:r>
      <w:r w:rsidR="00F01634" w:rsidRPr="00F01634">
        <w:rPr>
          <w:rFonts w:ascii="Times New Roman" w:hAnsi="Times New Roman" w:cs="Times New Roman"/>
        </w:rPr>
        <w:t xml:space="preserve">Table A-1 indicates </w:t>
      </w:r>
      <w:r w:rsidR="00F01634" w:rsidRPr="00F01634">
        <w:rPr>
          <w:rFonts w:ascii="Times New Roman" w:hAnsi="Times New Roman" w:cs="Times New Roman"/>
        </w:rPr>
        <w:lastRenderedPageBreak/>
        <w:t>that unequal variances need to be considered. To familiarize readers with the derivation, we provide the following details.</w:t>
      </w:r>
    </w:p>
    <w:p w14:paraId="3BADC6B1" w14:textId="49B46988" w:rsidR="00F01634" w:rsidRDefault="00CA07A1">
      <w:pPr>
        <w:divId w:val="2065718066"/>
        <w:rPr>
          <w:rFonts w:ascii="Times New Roman" w:hAnsi="Times New Roman" w:cs="Times New Roman"/>
        </w:rPr>
      </w:pPr>
      <w:r>
        <w:rPr>
          <w:rFonts w:ascii="Times New Roman" w:hAnsi="Times New Roman" w:cs="Times New Roman"/>
        </w:rPr>
        <w:t xml:space="preserve">It implicitly assumes that </w:t>
      </w:r>
      <w:r w:rsidR="00CF2A75">
        <w:rPr>
          <w:rFonts w:ascii="Times New Roman" w:hAnsi="Times New Roman" w:cs="Times New Roman"/>
        </w:rPr>
        <w:t>two</w:t>
      </w:r>
      <w:r>
        <w:rPr>
          <w:rFonts w:ascii="Times New Roman" w:hAnsi="Times New Roman" w:cs="Times New Roman"/>
        </w:rPr>
        <w:t xml:space="preserve"> sample</w:t>
      </w:r>
      <w:r w:rsidR="00F01634">
        <w:rPr>
          <w:rFonts w:ascii="Times New Roman" w:hAnsi="Times New Roman" w:cs="Times New Roman"/>
        </w:rPr>
        <w:t>s</w:t>
      </w:r>
      <w:r w:rsidR="00B013A3">
        <w:rPr>
          <w:rFonts w:ascii="Times New Roman" w:hAnsi="Times New Roman" w:cs="Times New Roman"/>
        </w:rPr>
        <w:t xml:space="preserve"> with known standard deviations</w:t>
      </w:r>
      <w:r w:rsidR="00F01634">
        <w:rPr>
          <w:rFonts w:ascii="Times New Roman" w:hAnsi="Times New Roman" w:cs="Times New Roman"/>
        </w:rPr>
        <w:t xml:space="preserve"> are independen</w:t>
      </w:r>
      <w:r w:rsidR="00606880">
        <w:rPr>
          <w:rFonts w:ascii="Times New Roman" w:hAnsi="Times New Roman" w:cs="Times New Roman"/>
        </w:rPr>
        <w:t>t</w:t>
      </w:r>
      <w:r w:rsidR="00F01634">
        <w:rPr>
          <w:rFonts w:ascii="Times New Roman" w:hAnsi="Times New Roman" w:cs="Times New Roman"/>
        </w:rPr>
        <w:t>, and</w:t>
      </w:r>
      <w:r w:rsidR="00C35662">
        <w:rPr>
          <w:rFonts w:ascii="Times New Roman" w:hAnsi="Times New Roman" w:cs="Times New Roman"/>
        </w:rPr>
        <w:t xml:space="preserve"> that each</w:t>
      </w:r>
      <w:r w:rsidR="00F01634">
        <w:rPr>
          <w:rFonts w:ascii="Times New Roman" w:hAnsi="Times New Roman" w:cs="Times New Roman"/>
        </w:rPr>
        <w:t xml:space="preserve"> sample</w:t>
      </w:r>
      <w:r>
        <w:rPr>
          <w:rFonts w:ascii="Times New Roman" w:hAnsi="Times New Roman" w:cs="Times New Roman"/>
        </w:rPr>
        <w:t xml:space="preserve"> </w:t>
      </w:r>
      <w:proofErr w:type="gramStart"/>
      <w:r>
        <w:rPr>
          <w:rFonts w:ascii="Times New Roman" w:hAnsi="Times New Roman" w:cs="Times New Roman"/>
        </w:rPr>
        <w:t>mean</w:t>
      </w:r>
      <w:proofErr w:type="gramEnd"/>
      <w:r>
        <w:rPr>
          <w:rFonts w:ascii="Times New Roman" w:hAnsi="Times New Roman" w:cs="Times New Roman"/>
        </w:rPr>
        <w:t xml:space="preserve"> </w:t>
      </w:r>
      <w:r w:rsidR="00F01634">
        <w:rPr>
          <w:rFonts w:ascii="Times New Roman" w:hAnsi="Times New Roman" w:cs="Times New Roman"/>
        </w:rPr>
        <w:t>ha</w:t>
      </w:r>
      <w:r w:rsidR="00C35662">
        <w:rPr>
          <w:rFonts w:ascii="Times New Roman" w:hAnsi="Times New Roman" w:cs="Times New Roman"/>
        </w:rPr>
        <w:t>s</w:t>
      </w:r>
      <w:r>
        <w:rPr>
          <w:rFonts w:ascii="Times New Roman" w:hAnsi="Times New Roman" w:cs="Times New Roman"/>
        </w:rPr>
        <w:t xml:space="preserve"> </w:t>
      </w:r>
      <w:r w:rsidR="00C35662">
        <w:rPr>
          <w:rFonts w:ascii="Times New Roman" w:hAnsi="Times New Roman" w:cs="Times New Roman"/>
        </w:rPr>
        <w:t>its</w:t>
      </w:r>
      <w:r>
        <w:rPr>
          <w:rFonts w:ascii="Times New Roman" w:hAnsi="Times New Roman" w:cs="Times New Roman"/>
        </w:rPr>
        <w:t xml:space="preserve"> own variability: </w:t>
      </w:r>
    </w:p>
    <w:p w14:paraId="329D3CF9" w14:textId="3397391B" w:rsidR="00F01634" w:rsidRDefault="00CA07A1" w:rsidP="00F01634">
      <w:pPr>
        <w:jc w:val="center"/>
        <w:divId w:val="2065718066"/>
        <w:rPr>
          <w:rFonts w:ascii="Times New Roman" w:hAnsi="Times New Roman" w:cs="Times New Roman"/>
        </w:rPr>
      </w:pPr>
      <m:oMath>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e>
        </m:acc>
        <m:r>
          <w:rPr>
            <w:rFonts w:ascii="Cambria Math" w:hAnsi="Cambria Math" w:cs="Times New Roman"/>
          </w:rPr>
          <m:t>~N(</m:t>
        </m:r>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1</m:t>
            </m:r>
          </m:sub>
        </m:sSub>
        <m:r>
          <w:rPr>
            <w:rFonts w:ascii="Cambria Math" w:hAnsi="Cambria Math" w:cs="Times New Roman"/>
          </w:rPr>
          <m:t xml:space="preserve">, </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den>
        </m:f>
        <m:r>
          <w:rPr>
            <w:rFonts w:ascii="Cambria Math" w:hAnsi="Cambria Math" w:cs="Times New Roman"/>
          </w:rPr>
          <m:t>)</m:t>
        </m:r>
      </m:oMath>
      <w:r>
        <w:rPr>
          <w:rFonts w:ascii="Times New Roman" w:hAnsi="Times New Roman" w:cs="Times New Roman"/>
        </w:rPr>
        <w:t xml:space="preserve">, </w:t>
      </w:r>
      <m:oMath>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e>
        </m:acc>
        <m:r>
          <w:rPr>
            <w:rFonts w:ascii="Cambria Math" w:hAnsi="Cambria Math" w:cs="Times New Roman"/>
          </w:rPr>
          <m:t>~N(</m:t>
        </m:r>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2</m:t>
            </m:r>
          </m:sub>
        </m:sSub>
        <m:r>
          <w:rPr>
            <w:rFonts w:ascii="Cambria Math" w:hAnsi="Cambria Math" w:cs="Times New Roman"/>
          </w:rPr>
          <m:t xml:space="preserve">, </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den>
        </m:f>
        <m:r>
          <w:rPr>
            <w:rFonts w:ascii="Cambria Math" w:hAnsi="Cambria Math" w:cs="Times New Roman"/>
          </w:rPr>
          <m:t>)</m:t>
        </m:r>
      </m:oMath>
      <w:r w:rsidR="0079130E">
        <w:rPr>
          <w:rFonts w:ascii="Times New Roman" w:hAnsi="Times New Roman" w:cs="Times New Roman"/>
        </w:rPr>
        <w:t>.</w:t>
      </w:r>
    </w:p>
    <w:p w14:paraId="4D6712F9" w14:textId="42A186E4" w:rsidR="002E613F" w:rsidRDefault="00606880">
      <w:pPr>
        <w:divId w:val="2065718066"/>
        <w:rPr>
          <w:rFonts w:ascii="Times New Roman" w:hAnsi="Times New Roman" w:cs="Times New Roman"/>
        </w:rPr>
      </w:pPr>
      <w:r>
        <w:rPr>
          <w:rFonts w:ascii="Times New Roman" w:hAnsi="Times New Roman" w:cs="Times New Roman"/>
        </w:rPr>
        <w:t>w</w:t>
      </w:r>
      <w:r w:rsidR="002E613F">
        <w:rPr>
          <w:rFonts w:ascii="Times New Roman" w:hAnsi="Times New Roman" w:cs="Times New Roman"/>
        </w:rPr>
        <w:t xml:space="preserve">here </w:t>
      </w:r>
      <m:oMath>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oMath>
      <w:r w:rsidR="002E613F">
        <w:rPr>
          <w:rFonts w:ascii="Times New Roman" w:hAnsi="Times New Roman" w:cs="Times New Roman"/>
        </w:rPr>
        <w:t xml:space="preserve"> and </w:t>
      </w:r>
      <m:oMath>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oMath>
      <w:r w:rsidR="002E613F">
        <w:rPr>
          <w:rFonts w:ascii="Times New Roman" w:hAnsi="Times New Roman" w:cs="Times New Roman"/>
        </w:rPr>
        <w:t xml:space="preserve"> are</w:t>
      </w:r>
      <w:r>
        <w:rPr>
          <w:rFonts w:ascii="Times New Roman" w:hAnsi="Times New Roman" w:cs="Times New Roman"/>
        </w:rPr>
        <w:t xml:space="preserve"> known population variances</w:t>
      </w:r>
      <w:r w:rsidR="00BC4038">
        <w:rPr>
          <w:rFonts w:ascii="Times New Roman" w:hAnsi="Times New Roman" w:cs="Times New Roman"/>
        </w:rPr>
        <w:t xml:space="preserve"> (</w:t>
      </w:r>
      <w:r w:rsidR="00B013A3">
        <w:rPr>
          <w:rFonts w:ascii="Times New Roman" w:hAnsi="Times New Roman" w:cs="Times New Roman"/>
        </w:rPr>
        <w:t>inferred</w:t>
      </w:r>
      <w:r w:rsidR="00BC4038">
        <w:rPr>
          <w:rFonts w:ascii="Times New Roman" w:hAnsi="Times New Roman" w:cs="Times New Roman"/>
        </w:rPr>
        <w:t xml:space="preserve"> from our pilot study)</w:t>
      </w:r>
      <w:r>
        <w:rPr>
          <w:rFonts w:ascii="Times New Roman" w:hAnsi="Times New Roman" w:cs="Times New Roman"/>
        </w:rPr>
        <w:t xml:space="preserve">, </w:t>
      </w:r>
      <w:r w:rsidR="002E613F">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1</m:t>
            </m:r>
          </m:sub>
        </m:sSub>
      </m:oMath>
      <w:r>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2</m:t>
            </m:r>
          </m:sub>
        </m:sSub>
      </m:oMath>
      <w:r>
        <w:rPr>
          <w:rFonts w:ascii="Times New Roman" w:hAnsi="Times New Roman" w:cs="Times New Roman"/>
        </w:rPr>
        <w:t xml:space="preserve"> are unknown population means,  </w:t>
      </w:r>
      <m:oMath>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oMath>
      <w:r>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oMath>
      <w:r>
        <w:rPr>
          <w:rFonts w:ascii="Times New Roman" w:hAnsi="Times New Roman" w:cs="Times New Roman"/>
        </w:rPr>
        <w:t xml:space="preserve"> are </w:t>
      </w:r>
      <w:r w:rsidR="00C35662">
        <w:rPr>
          <w:rFonts w:ascii="Times New Roman" w:hAnsi="Times New Roman" w:cs="Times New Roman"/>
        </w:rPr>
        <w:t xml:space="preserve">the </w:t>
      </w:r>
      <w:r w:rsidR="00EE0C5E">
        <w:rPr>
          <w:rFonts w:ascii="Times New Roman" w:hAnsi="Times New Roman" w:cs="Times New Roman" w:hint="eastAsia"/>
        </w:rPr>
        <w:t>observations required</w:t>
      </w:r>
      <w:r>
        <w:rPr>
          <w:rFonts w:ascii="Times New Roman" w:hAnsi="Times New Roman" w:cs="Times New Roman"/>
        </w:rPr>
        <w:t xml:space="preserve"> </w:t>
      </w:r>
      <w:r w:rsidR="00EE0C5E">
        <w:rPr>
          <w:rFonts w:ascii="Times New Roman" w:hAnsi="Times New Roman" w:cs="Times New Roman" w:hint="eastAsia"/>
        </w:rPr>
        <w:t>under</w:t>
      </w:r>
      <w:r w:rsidR="00C35662">
        <w:rPr>
          <w:rFonts w:ascii="Times New Roman" w:hAnsi="Times New Roman" w:cs="Times New Roman"/>
        </w:rPr>
        <w:t xml:space="preserve"> </w:t>
      </w:r>
      <w:r>
        <w:rPr>
          <w:rFonts w:ascii="Times New Roman" w:hAnsi="Times New Roman" w:cs="Times New Roman"/>
        </w:rPr>
        <w:t xml:space="preserve">treatment and control </w:t>
      </w:r>
      <w:r w:rsidR="00EE0C5E">
        <w:rPr>
          <w:rFonts w:ascii="Times New Roman" w:hAnsi="Times New Roman" w:cs="Times New Roman" w:hint="eastAsia"/>
        </w:rPr>
        <w:t>conditions</w:t>
      </w:r>
      <w:r>
        <w:rPr>
          <w:rFonts w:ascii="Times New Roman" w:hAnsi="Times New Roman" w:cs="Times New Roman"/>
        </w:rPr>
        <w:t xml:space="preserve"> </w:t>
      </w:r>
      <w:r w:rsidR="00C35662">
        <w:rPr>
          <w:rFonts w:ascii="Times New Roman" w:hAnsi="Times New Roman" w:cs="Times New Roman"/>
        </w:rPr>
        <w:t>in</w:t>
      </w:r>
      <w:r>
        <w:rPr>
          <w:rFonts w:ascii="Times New Roman" w:hAnsi="Times New Roman" w:cs="Times New Roman"/>
        </w:rPr>
        <w:t xml:space="preserve"> the full study.  </w:t>
      </w:r>
    </w:p>
    <w:p w14:paraId="04A11B0B" w14:textId="7DFDB087" w:rsidR="00F01634" w:rsidRDefault="00F01634">
      <w:pPr>
        <w:divId w:val="2065718066"/>
        <w:rPr>
          <w:rFonts w:ascii="Times New Roman" w:hAnsi="Times New Roman" w:cs="Times New Roman"/>
        </w:rPr>
      </w:pPr>
      <w:r>
        <w:rPr>
          <w:rFonts w:ascii="Times New Roman" w:hAnsi="Times New Roman" w:cs="Times New Roman"/>
        </w:rPr>
        <w:t>T</w:t>
      </w:r>
      <w:r w:rsidR="0079130E">
        <w:rPr>
          <w:rFonts w:ascii="Times New Roman" w:hAnsi="Times New Roman" w:cs="Times New Roman"/>
        </w:rPr>
        <w:t xml:space="preserve">he variance </w:t>
      </w:r>
      <w:r w:rsidR="00C35662">
        <w:rPr>
          <w:rFonts w:ascii="Times New Roman" w:hAnsi="Times New Roman" w:cs="Times New Roman"/>
        </w:rPr>
        <w:t xml:space="preserve">of mean difference </w:t>
      </w:r>
      <w:r w:rsidR="0079130E">
        <w:rPr>
          <w:rFonts w:ascii="Times New Roman" w:hAnsi="Times New Roman" w:cs="Times New Roman"/>
        </w:rPr>
        <w:t xml:space="preserve">is the sum of the variance: </w:t>
      </w:r>
    </w:p>
    <w:p w14:paraId="248F24E5" w14:textId="20BB7C9B" w:rsidR="00CA07A1" w:rsidRPr="00F01634" w:rsidRDefault="0079130E" w:rsidP="00F01634">
      <w:pPr>
        <w:jc w:val="center"/>
        <w:divId w:val="2065718066"/>
        <w:rPr>
          <w:rFonts w:ascii="Times New Roman" w:hAnsi="Times New Roman" w:cs="Times New Roman"/>
        </w:rPr>
      </w:pPr>
      <m:oMathPara>
        <m:oMath>
          <m:r>
            <w:rPr>
              <w:rFonts w:ascii="Cambria Math" w:hAnsi="Cambria Math" w:cs="Times New Roman"/>
            </w:rPr>
            <m:t>Var</m:t>
          </m:r>
          <m:d>
            <m:dPr>
              <m:ctrlPr>
                <w:rPr>
                  <w:rFonts w:ascii="Cambria Math" w:hAnsi="Cambria Math" w:cs="Times New Roman"/>
                  <w:i/>
                </w:rPr>
              </m:ctrlPr>
            </m:dPr>
            <m:e>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e>
              </m:acc>
              <m:r>
                <w:rPr>
                  <w:rFonts w:ascii="Cambria Math" w:hAnsi="Cambria Math" w:cs="Times New Roman"/>
                </w:rPr>
                <m:t>-</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e>
              </m:acc>
            </m:e>
          </m:d>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den>
          </m:f>
        </m:oMath>
      </m:oMathPara>
    </w:p>
    <w:p w14:paraId="1AE5AFD5" w14:textId="6ECE67F7" w:rsidR="00F01634" w:rsidRDefault="00E7068F" w:rsidP="00F01634">
      <w:pPr>
        <w:divId w:val="2065718066"/>
        <w:rPr>
          <w:rFonts w:ascii="Times New Roman" w:hAnsi="Times New Roman" w:cs="Times New Roman"/>
        </w:rPr>
      </w:pPr>
      <w:r>
        <w:rPr>
          <w:rFonts w:ascii="Times New Roman" w:hAnsi="Times New Roman" w:cs="Times New Roman"/>
        </w:rPr>
        <w:t xml:space="preserve">To detect </w:t>
      </w:r>
      <w:r w:rsidR="00B013A3">
        <w:rPr>
          <w:rFonts w:ascii="Times New Roman" w:hAnsi="Times New Roman" w:cs="Times New Roman"/>
        </w:rPr>
        <w:t>the true</w:t>
      </w:r>
      <w:r w:rsidR="00C35662">
        <w:rPr>
          <w:rFonts w:ascii="Times New Roman" w:hAnsi="Times New Roman" w:cs="Times New Roman"/>
        </w:rPr>
        <w:t xml:space="preserve"> </w:t>
      </w:r>
      <w:r>
        <w:rPr>
          <w:rFonts w:ascii="Times New Roman" w:hAnsi="Times New Roman" w:cs="Times New Roman"/>
        </w:rPr>
        <w:t xml:space="preserve">effect size </w:t>
      </w:r>
      <m:oMath>
        <m:r>
          <w:rPr>
            <w:rFonts w:ascii="Cambria Math" w:hAnsi="Cambria Math" w:cs="Times New Roman"/>
          </w:rPr>
          <m:t>∆</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2</m:t>
            </m:r>
          </m:sub>
        </m:sSub>
      </m:oMath>
      <w:r w:rsidR="00C35662">
        <w:rPr>
          <w:rFonts w:ascii="Times New Roman" w:hAnsi="Times New Roman" w:cs="Times New Roman"/>
        </w:rPr>
        <w:t xml:space="preserve"> </w:t>
      </w:r>
      <w:r>
        <w:rPr>
          <w:rFonts w:ascii="Times New Roman" w:hAnsi="Times New Roman" w:cs="Times New Roman"/>
        </w:rPr>
        <w:t xml:space="preserve">with </w:t>
      </w:r>
      <w:r w:rsidR="00B013A3">
        <w:rPr>
          <w:rFonts w:ascii="Times New Roman" w:hAnsi="Times New Roman" w:cs="Times New Roman"/>
        </w:rPr>
        <w:t xml:space="preserve">80% </w:t>
      </w:r>
      <w:r w:rsidR="00C35662">
        <w:rPr>
          <w:rFonts w:ascii="Times New Roman" w:hAnsi="Times New Roman" w:cs="Times New Roman"/>
        </w:rPr>
        <w:t>power</w:t>
      </w:r>
      <w:r w:rsidR="00B013A3">
        <w:rPr>
          <w:rFonts w:ascii="Times New Roman" w:hAnsi="Times New Roman" w:cs="Times New Roman"/>
        </w:rPr>
        <w:t xml:space="preserve">, </w:t>
      </w:r>
      <w:r>
        <w:rPr>
          <w:rFonts w:ascii="Times New Roman" w:hAnsi="Times New Roman" w:cs="Times New Roman"/>
        </w:rPr>
        <w:t>we start with</w:t>
      </w:r>
    </w:p>
    <w:p w14:paraId="78C18087" w14:textId="2C999F3F" w:rsidR="00FD3013" w:rsidRDefault="00E7068F" w:rsidP="00F01634">
      <w:pPr>
        <w:divId w:val="2065718066"/>
        <w:rPr>
          <w:rFonts w:ascii="Times New Roman" w:hAnsi="Times New Roman" w:cs="Times New Roman"/>
        </w:rPr>
      </w:pPr>
      <m:oMathPara>
        <m:oMath>
          <m:r>
            <w:rPr>
              <w:rFonts w:ascii="Cambria Math" w:hAnsi="Cambria Math" w:cs="Times New Roman"/>
            </w:rPr>
            <m:t>P</m:t>
          </m:r>
          <m:d>
            <m:dPr>
              <m:ctrlPr>
                <w:rPr>
                  <w:rFonts w:ascii="Cambria Math" w:hAnsi="Cambria Math" w:cs="Times New Roman"/>
                  <w:i/>
                </w:rPr>
              </m:ctrlPr>
            </m:dPr>
            <m:e>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e>
              </m:acc>
              <m:r>
                <w:rPr>
                  <w:rFonts w:ascii="Cambria Math" w:hAnsi="Cambria Math" w:cs="Times New Roman"/>
                </w:rPr>
                <m:t>-</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e>
              </m:acc>
              <m:r>
                <w:rPr>
                  <w:rFonts w:ascii="Cambria Math" w:hAnsi="Cambria Math" w:cs="Times New Roman"/>
                </w:rPr>
                <m:t>&gt;</m:t>
              </m:r>
              <m:sSub>
                <m:sSubPr>
                  <m:ctrlPr>
                    <w:rPr>
                      <w:rFonts w:ascii="Cambria Math" w:hAnsi="Cambria Math" w:cs="Times New Roman"/>
                      <w:i/>
                    </w:rPr>
                  </m:ctrlPr>
                </m:sSubPr>
                <m:e>
                  <m:r>
                    <w:rPr>
                      <w:rFonts w:ascii="Cambria Math" w:hAnsi="Cambria Math" w:cs="Times New Roman"/>
                    </w:rPr>
                    <m:t>Z</m:t>
                  </m:r>
                </m:e>
                <m:sub>
                  <m:f>
                    <m:fPr>
                      <m:ctrlPr>
                        <w:rPr>
                          <w:rFonts w:ascii="Cambria Math" w:hAnsi="Cambria Math" w:cs="Times New Roman"/>
                          <w:i/>
                        </w:rPr>
                      </m:ctrlPr>
                    </m:fPr>
                    <m:num>
                      <m:r>
                        <w:rPr>
                          <w:rFonts w:ascii="Cambria Math" w:hAnsi="Cambria Math" w:cs="Times New Roman"/>
                        </w:rPr>
                        <m:t>α</m:t>
                      </m:r>
                    </m:num>
                    <m:den>
                      <m:r>
                        <w:rPr>
                          <w:rFonts w:ascii="Cambria Math" w:hAnsi="Cambria Math" w:cs="Times New Roman"/>
                        </w:rPr>
                        <m:t>2</m:t>
                      </m:r>
                    </m:den>
                  </m:f>
                </m:sub>
              </m:sSub>
              <m:rad>
                <m:radPr>
                  <m:degHide m:val="1"/>
                  <m:ctrlPr>
                    <w:rPr>
                      <w:rFonts w:ascii="Cambria Math" w:hAnsi="Cambria Math" w:cs="Times New Roman"/>
                      <w:i/>
                    </w:rPr>
                  </m:ctrlPr>
                </m:radPr>
                <m:deg/>
                <m:e>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den>
                  </m:f>
                </m:e>
              </m:rad>
            </m:e>
            <m:e>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2</m:t>
                  </m:r>
                </m:sub>
              </m:sSub>
              <m:r>
                <w:rPr>
                  <w:rFonts w:ascii="Cambria Math" w:hAnsi="Cambria Math" w:cs="Times New Roman"/>
                </w:rPr>
                <m:t>=∆</m:t>
              </m:r>
            </m:e>
          </m:d>
          <m:r>
            <w:rPr>
              <w:rFonts w:ascii="Cambria Math" w:hAnsi="Cambria Math" w:cs="Times New Roman"/>
            </w:rPr>
            <m:t>=0.8</m:t>
          </m:r>
        </m:oMath>
      </m:oMathPara>
    </w:p>
    <w:p w14:paraId="5D857787" w14:textId="23EF96F7" w:rsidR="00F01634" w:rsidRDefault="00C42BAD" w:rsidP="00F01634">
      <w:pPr>
        <w:divId w:val="2065718066"/>
        <w:rPr>
          <w:rFonts w:ascii="Times New Roman" w:hAnsi="Times New Roman" w:cs="Times New Roman"/>
        </w:rPr>
      </w:pPr>
      <w:r>
        <w:rPr>
          <w:rFonts w:ascii="Times New Roman" w:hAnsi="Times New Roman" w:cs="Times New Roman" w:hint="eastAsia"/>
        </w:rPr>
        <w:t xml:space="preserve">Assume </w:t>
      </w:r>
      <m:oMath>
        <m:r>
          <w:rPr>
            <w:rFonts w:ascii="Cambria Math" w:hAnsi="Cambria Math" w:cs="Times New Roman"/>
          </w:rPr>
          <m:t>α</m:t>
        </m:r>
        <m:r>
          <w:rPr>
            <w:rFonts w:ascii="Cambria Math" w:hAnsi="Cambria Math" w:cs="Times New Roman"/>
          </w:rPr>
          <m:t>=0.05</m:t>
        </m:r>
      </m:oMath>
      <w:r>
        <w:rPr>
          <w:rFonts w:ascii="Times New Roman" w:hAnsi="Times New Roman" w:cs="Times New Roman" w:hint="eastAsia"/>
        </w:rPr>
        <w:t xml:space="preserve"> (Type I error), </w:t>
      </w:r>
      <m:oMath>
        <m:sSub>
          <m:sSubPr>
            <m:ctrlPr>
              <w:rPr>
                <w:rFonts w:ascii="Cambria Math" w:hAnsi="Cambria Math" w:cs="Times New Roman"/>
                <w:i/>
              </w:rPr>
            </m:ctrlPr>
          </m:sSubPr>
          <m:e>
            <m:r>
              <w:rPr>
                <w:rFonts w:ascii="Cambria Math" w:hAnsi="Cambria Math" w:cs="Times New Roman"/>
              </w:rPr>
              <m:t>Z</m:t>
            </m:r>
          </m:e>
          <m:sub>
            <m:f>
              <m:fPr>
                <m:ctrlPr>
                  <w:rPr>
                    <w:rFonts w:ascii="Cambria Math" w:hAnsi="Cambria Math" w:cs="Times New Roman"/>
                    <w:i/>
                  </w:rPr>
                </m:ctrlPr>
              </m:fPr>
              <m:num>
                <m:r>
                  <w:rPr>
                    <w:rFonts w:ascii="Cambria Math" w:hAnsi="Cambria Math" w:cs="Times New Roman"/>
                  </w:rPr>
                  <m:t>α</m:t>
                </m:r>
              </m:num>
              <m:den>
                <m:r>
                  <w:rPr>
                    <w:rFonts w:ascii="Cambria Math" w:hAnsi="Cambria Math" w:cs="Times New Roman"/>
                  </w:rPr>
                  <m:t>2</m:t>
                </m:r>
              </m:den>
            </m:f>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-1</m:t>
            </m:r>
          </m:sup>
        </m:sSup>
        <m:d>
          <m:dPr>
            <m:ctrlPr>
              <w:rPr>
                <w:rFonts w:ascii="Cambria Math" w:hAnsi="Cambria Math" w:cs="Times New Roman"/>
                <w:i/>
              </w:rPr>
            </m:ctrlPr>
          </m:dPr>
          <m:e>
            <m:r>
              <w:rPr>
                <w:rFonts w:ascii="Cambria Math" w:hAnsi="Cambria Math" w:cs="Times New Roman"/>
              </w:rPr>
              <m:t>1-</m:t>
            </m:r>
            <m:f>
              <m:fPr>
                <m:ctrlPr>
                  <w:rPr>
                    <w:rFonts w:ascii="Cambria Math" w:hAnsi="Cambria Math" w:cs="Times New Roman"/>
                    <w:i/>
                  </w:rPr>
                </m:ctrlPr>
              </m:fPr>
              <m:num>
                <m:r>
                  <w:rPr>
                    <w:rFonts w:ascii="Cambria Math" w:hAnsi="Cambria Math" w:cs="Times New Roman"/>
                  </w:rPr>
                  <m:t>0.05</m:t>
                </m:r>
              </m:num>
              <m:den>
                <m:r>
                  <w:rPr>
                    <w:rFonts w:ascii="Cambria Math" w:hAnsi="Cambria Math" w:cs="Times New Roman"/>
                  </w:rPr>
                  <m:t>2</m:t>
                </m:r>
              </m:den>
            </m:f>
          </m:e>
        </m:d>
        <m:r>
          <w:rPr>
            <w:rFonts w:ascii="Cambria Math" w:hAnsi="Cambria Math" w:cs="Times New Roman"/>
          </w:rPr>
          <m:t>=1.96</m:t>
        </m:r>
      </m:oMath>
      <w:r>
        <w:rPr>
          <w:rFonts w:ascii="Times New Roman" w:hAnsi="Times New Roman" w:cs="Times New Roman" w:hint="eastAsia"/>
        </w:rPr>
        <w:t xml:space="preserve">, representing </w:t>
      </w:r>
      <m:oMath>
        <m:r>
          <w:rPr>
            <w:rFonts w:ascii="Cambria Math" w:hAnsi="Cambria Math" w:cs="Times New Roman"/>
          </w:rPr>
          <m:t>Z</m:t>
        </m:r>
      </m:oMath>
      <w:r>
        <w:rPr>
          <w:rFonts w:ascii="Times New Roman" w:hAnsi="Times New Roman" w:cs="Times New Roman" w:hint="eastAsia"/>
        </w:rPr>
        <w:t xml:space="preserve"> critical value for a two-tailed test with </w:t>
      </w:r>
      <w:r>
        <w:rPr>
          <w:rFonts w:ascii="Times New Roman" w:hAnsi="Times New Roman" w:cs="Times New Roman"/>
        </w:rPr>
        <w:t>significance</w:t>
      </w:r>
      <w:r>
        <w:rPr>
          <w:rFonts w:ascii="Times New Roman" w:hAnsi="Times New Roman" w:cs="Times New Roman" w:hint="eastAsia"/>
        </w:rPr>
        <w:t xml:space="preserve"> level </w:t>
      </w:r>
      <m:oMath>
        <m:r>
          <w:rPr>
            <w:rFonts w:ascii="Cambria Math" w:hAnsi="Cambria Math" w:cs="Times New Roman"/>
          </w:rPr>
          <m:t>α</m:t>
        </m:r>
        <m:r>
          <w:rPr>
            <w:rFonts w:ascii="Cambria Math" w:hAnsi="Cambria Math" w:cs="Times New Roman"/>
          </w:rPr>
          <m:t>=0.05</m:t>
        </m:r>
      </m:oMath>
      <w:r>
        <w:rPr>
          <w:rFonts w:ascii="Times New Roman" w:hAnsi="Times New Roman" w:cs="Times New Roman" w:hint="eastAsia"/>
        </w:rPr>
        <w:t xml:space="preserve">. </w:t>
      </w:r>
      <w:r>
        <w:rPr>
          <w:rFonts w:ascii="Times New Roman" w:hAnsi="Times New Roman" w:cs="Times New Roman"/>
        </w:rPr>
        <w:t xml:space="preserve"> </w:t>
      </w:r>
      <w:r w:rsidR="007D734C">
        <w:rPr>
          <w:rFonts w:ascii="Times New Roman" w:hAnsi="Times New Roman" w:cs="Times New Roman"/>
        </w:rPr>
        <w:t xml:space="preserve">Then, </w:t>
      </w:r>
    </w:p>
    <w:p w14:paraId="4BCC1CE1" w14:textId="0C999827" w:rsidR="007D734C" w:rsidRPr="007D734C" w:rsidRDefault="007D734C" w:rsidP="007D734C">
      <w:pPr>
        <w:divId w:val="2065718066"/>
        <w:rPr>
          <w:rFonts w:ascii="Times New Roman" w:hAnsi="Times New Roman" w:cs="Times New Roman"/>
        </w:rPr>
      </w:pPr>
      <m:oMathPara>
        <m:oMath>
          <m:r>
            <w:rPr>
              <w:rFonts w:ascii="Cambria Math" w:hAnsi="Cambria Math" w:cs="Times New Roman"/>
            </w:rPr>
            <m:t>P</m:t>
          </m:r>
          <m:d>
            <m:dPr>
              <m:ctrlPr>
                <w:rPr>
                  <w:rFonts w:ascii="Cambria Math" w:hAnsi="Cambria Math" w:cs="Times New Roman"/>
                  <w:i/>
                </w:rPr>
              </m:ctrlPr>
            </m:dPr>
            <m:e>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e>
              </m:acc>
              <m:r>
                <w:rPr>
                  <w:rFonts w:ascii="Cambria Math" w:hAnsi="Cambria Math" w:cs="Times New Roman"/>
                </w:rPr>
                <m:t>-</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e>
              </m:acc>
              <m:r>
                <w:rPr>
                  <w:rFonts w:ascii="Cambria Math" w:hAnsi="Cambria Math" w:cs="Times New Roman"/>
                </w:rPr>
                <m:t>-</m:t>
              </m:r>
              <m:r>
                <w:rPr>
                  <w:rFonts w:ascii="Cambria Math" w:hAnsi="Cambria Math" w:cs="Times New Roman"/>
                </w:rPr>
                <m:t>∆&gt;</m:t>
              </m:r>
              <m:sSub>
                <m:sSubPr>
                  <m:ctrlPr>
                    <w:rPr>
                      <w:rFonts w:ascii="Cambria Math" w:hAnsi="Cambria Math" w:cs="Times New Roman"/>
                      <w:i/>
                    </w:rPr>
                  </m:ctrlPr>
                </m:sSubPr>
                <m:e>
                  <m:r>
                    <w:rPr>
                      <w:rFonts w:ascii="Cambria Math" w:hAnsi="Cambria Math" w:cs="Times New Roman"/>
                    </w:rPr>
                    <m:t>Z</m:t>
                  </m:r>
                </m:e>
                <m:sub>
                  <m:f>
                    <m:fPr>
                      <m:ctrlPr>
                        <w:rPr>
                          <w:rFonts w:ascii="Cambria Math" w:hAnsi="Cambria Math" w:cs="Times New Roman"/>
                          <w:i/>
                        </w:rPr>
                      </m:ctrlPr>
                    </m:fPr>
                    <m:num>
                      <m:r>
                        <w:rPr>
                          <w:rFonts w:ascii="Cambria Math" w:hAnsi="Cambria Math" w:cs="Times New Roman"/>
                        </w:rPr>
                        <m:t>α</m:t>
                      </m:r>
                    </m:num>
                    <m:den>
                      <m:r>
                        <w:rPr>
                          <w:rFonts w:ascii="Cambria Math" w:hAnsi="Cambria Math" w:cs="Times New Roman"/>
                        </w:rPr>
                        <m:t>2</m:t>
                      </m:r>
                    </m:den>
                  </m:f>
                </m:sub>
              </m:sSub>
              <m:rad>
                <m:radPr>
                  <m:degHide m:val="1"/>
                  <m:ctrlPr>
                    <w:rPr>
                      <w:rFonts w:ascii="Cambria Math" w:hAnsi="Cambria Math" w:cs="Times New Roman"/>
                      <w:i/>
                    </w:rPr>
                  </m:ctrlPr>
                </m:radPr>
                <m:deg/>
                <m:e>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den>
                  </m:f>
                </m:e>
              </m:rad>
              <m:r>
                <w:rPr>
                  <w:rFonts w:ascii="Cambria Math" w:hAnsi="Cambria Math" w:cs="Times New Roman"/>
                </w:rPr>
                <m:t>-∆</m:t>
              </m:r>
            </m:e>
            <m:e>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2</m:t>
                  </m:r>
                </m:sub>
              </m:sSub>
              <m:r>
                <w:rPr>
                  <w:rFonts w:ascii="Cambria Math" w:hAnsi="Cambria Math" w:cs="Times New Roman"/>
                </w:rPr>
                <m:t>=∆</m:t>
              </m:r>
            </m:e>
          </m:d>
          <m:r>
            <w:rPr>
              <w:rFonts w:ascii="Cambria Math" w:hAnsi="Cambria Math" w:cs="Times New Roman"/>
            </w:rPr>
            <m:t>=0.8</m:t>
          </m:r>
        </m:oMath>
      </m:oMathPara>
    </w:p>
    <w:p w14:paraId="6720D6FA" w14:textId="160BF8A9" w:rsidR="007D734C" w:rsidRDefault="007D734C" w:rsidP="007D734C">
      <w:pPr>
        <w:divId w:val="2065718066"/>
        <w:rPr>
          <w:rFonts w:ascii="Times New Roman" w:hAnsi="Times New Roman" w:cs="Times New Roman"/>
        </w:rPr>
      </w:pPr>
      <w:r>
        <w:rPr>
          <w:rFonts w:ascii="Times New Roman" w:hAnsi="Times New Roman" w:cs="Times New Roman"/>
        </w:rPr>
        <w:t xml:space="preserve">Dividing through by </w:t>
      </w:r>
      <m:oMath>
        <m:rad>
          <m:radPr>
            <m:degHide m:val="1"/>
            <m:ctrlPr>
              <w:rPr>
                <w:rFonts w:ascii="Cambria Math" w:hAnsi="Cambria Math" w:cs="Times New Roman"/>
                <w:i/>
              </w:rPr>
            </m:ctrlPr>
          </m:radPr>
          <m:deg/>
          <m:e>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den>
            </m:f>
          </m:e>
        </m:rad>
      </m:oMath>
      <w:r>
        <w:rPr>
          <w:rFonts w:ascii="Times New Roman" w:hAnsi="Times New Roman" w:cs="Times New Roman"/>
        </w:rPr>
        <w:t>, under the assumption of normality, produces,</w:t>
      </w:r>
    </w:p>
    <w:p w14:paraId="4982CCA4" w14:textId="26175B64" w:rsidR="007D734C" w:rsidRDefault="007D734C" w:rsidP="007D734C">
      <w:pPr>
        <w:divId w:val="2065718066"/>
        <w:rPr>
          <w:rFonts w:ascii="Times New Roman" w:hAnsi="Times New Roman" w:cs="Times New Roman"/>
        </w:rPr>
      </w:pPr>
      <m:oMathPara>
        <m:oMath>
          <m:r>
            <w:rPr>
              <w:rFonts w:ascii="Cambria Math" w:hAnsi="Cambria Math" w:cs="Times New Roman"/>
            </w:rPr>
            <m:t>1-∅</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Z</m:t>
                  </m:r>
                </m:e>
                <m:sub>
                  <m:f>
                    <m:fPr>
                      <m:ctrlPr>
                        <w:rPr>
                          <w:rFonts w:ascii="Cambria Math" w:hAnsi="Cambria Math" w:cs="Times New Roman"/>
                          <w:i/>
                        </w:rPr>
                      </m:ctrlPr>
                    </m:fPr>
                    <m:num>
                      <m:r>
                        <w:rPr>
                          <w:rFonts w:ascii="Cambria Math" w:hAnsi="Cambria Math" w:cs="Times New Roman"/>
                        </w:rPr>
                        <m:t>α</m:t>
                      </m:r>
                    </m:num>
                    <m:den>
                      <m:r>
                        <w:rPr>
                          <w:rFonts w:ascii="Cambria Math" w:hAnsi="Cambria Math" w:cs="Times New Roman"/>
                        </w:rPr>
                        <m:t>2</m:t>
                      </m:r>
                    </m:den>
                  </m:f>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t>
                  </m:r>
                </m:num>
                <m:den>
                  <m:rad>
                    <m:radPr>
                      <m:degHide m:val="1"/>
                      <m:ctrlPr>
                        <w:rPr>
                          <w:rFonts w:ascii="Cambria Math" w:hAnsi="Cambria Math" w:cs="Times New Roman"/>
                          <w:i/>
                        </w:rPr>
                      </m:ctrlPr>
                    </m:radPr>
                    <m:deg/>
                    <m:e>
                      <m:f>
                        <m:fPr>
                          <m:type m:val="lin"/>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den>
                      </m:f>
                      <m:r>
                        <w:rPr>
                          <w:rFonts w:ascii="Cambria Math" w:hAnsi="Cambria Math" w:cs="Times New Roman"/>
                        </w:rPr>
                        <m:t>+</m:t>
                      </m:r>
                      <m:f>
                        <m:fPr>
                          <m:type m:val="lin"/>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den>
                      </m:f>
                    </m:e>
                  </m:rad>
                </m:den>
              </m:f>
            </m:e>
          </m:d>
          <m:r>
            <w:rPr>
              <w:rFonts w:ascii="Cambria Math" w:hAnsi="Cambria Math" w:cs="Times New Roman"/>
            </w:rPr>
            <m:t>=0.8</m:t>
          </m:r>
        </m:oMath>
      </m:oMathPara>
    </w:p>
    <w:p w14:paraId="125F107A" w14:textId="77777777" w:rsidR="007D734C" w:rsidRDefault="007D734C" w:rsidP="00F01634">
      <w:pPr>
        <w:divId w:val="2065718066"/>
        <w:rPr>
          <w:rFonts w:ascii="Times New Roman" w:hAnsi="Times New Roman" w:cs="Times New Roman"/>
        </w:rPr>
      </w:pPr>
    </w:p>
    <w:p w14:paraId="36AA66EE" w14:textId="1FC487F4" w:rsidR="00B013A3" w:rsidRPr="007D734C" w:rsidRDefault="007D734C" w:rsidP="00F01634">
      <w:pPr>
        <w:divId w:val="2065718066"/>
        <w:rPr>
          <w:rFonts w:ascii="Times New Roman" w:hAnsi="Times New Roman" w:cs="Times New Roman"/>
        </w:rPr>
      </w:pPr>
      <m:oMathPara>
        <m:oMath>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Z</m:t>
                  </m:r>
                </m:e>
                <m:sub>
                  <m:f>
                    <m:fPr>
                      <m:ctrlPr>
                        <w:rPr>
                          <w:rFonts w:ascii="Cambria Math" w:hAnsi="Cambria Math" w:cs="Times New Roman"/>
                          <w:i/>
                        </w:rPr>
                      </m:ctrlPr>
                    </m:fPr>
                    <m:num>
                      <m:r>
                        <w:rPr>
                          <w:rFonts w:ascii="Cambria Math" w:hAnsi="Cambria Math" w:cs="Times New Roman"/>
                        </w:rPr>
                        <m:t>α</m:t>
                      </m:r>
                    </m:num>
                    <m:den>
                      <m:r>
                        <w:rPr>
                          <w:rFonts w:ascii="Cambria Math" w:hAnsi="Cambria Math" w:cs="Times New Roman"/>
                        </w:rPr>
                        <m:t>2</m:t>
                      </m:r>
                    </m:den>
                  </m:f>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t>
                  </m:r>
                </m:num>
                <m:den>
                  <m:rad>
                    <m:radPr>
                      <m:degHide m:val="1"/>
                      <m:ctrlPr>
                        <w:rPr>
                          <w:rFonts w:ascii="Cambria Math" w:hAnsi="Cambria Math" w:cs="Times New Roman"/>
                          <w:i/>
                        </w:rPr>
                      </m:ctrlPr>
                    </m:radPr>
                    <m:deg/>
                    <m:e>
                      <m:f>
                        <m:fPr>
                          <m:type m:val="lin"/>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den>
                      </m:f>
                      <m:r>
                        <w:rPr>
                          <w:rFonts w:ascii="Cambria Math" w:hAnsi="Cambria Math" w:cs="Times New Roman"/>
                        </w:rPr>
                        <m:t>+</m:t>
                      </m:r>
                      <m:f>
                        <m:fPr>
                          <m:type m:val="lin"/>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den>
                      </m:f>
                    </m:e>
                  </m:rad>
                </m:den>
              </m:f>
            </m:e>
          </m:d>
          <m:r>
            <w:rPr>
              <w:rFonts w:ascii="Cambria Math" w:hAnsi="Cambria Math" w:cs="Times New Roman"/>
            </w:rPr>
            <m:t>=0.2</m:t>
          </m:r>
        </m:oMath>
      </m:oMathPara>
    </w:p>
    <w:p w14:paraId="2F19EC6F" w14:textId="1880FCCB" w:rsidR="007D734C" w:rsidRDefault="007B198A" w:rsidP="00F01634">
      <w:pPr>
        <w:divId w:val="2065718066"/>
        <w:rPr>
          <w:rFonts w:ascii="Times New Roman" w:hAnsi="Times New Roman" w:cs="Times New Roman"/>
        </w:rPr>
      </w:pPr>
      <w:r>
        <w:rPr>
          <w:rFonts w:ascii="Times New Roman" w:hAnsi="Times New Roman" w:cs="Times New Roman"/>
        </w:rPr>
        <w:lastRenderedPageBreak/>
        <w:t xml:space="preserve">Assuming in the </w:t>
      </w:r>
      <w:r w:rsidR="000538CA">
        <w:rPr>
          <w:rFonts w:ascii="Times New Roman" w:hAnsi="Times New Roman" w:cs="Times New Roman"/>
        </w:rPr>
        <w:t>full</w:t>
      </w:r>
      <w:r>
        <w:rPr>
          <w:rFonts w:ascii="Times New Roman" w:hAnsi="Times New Roman" w:cs="Times New Roman"/>
        </w:rPr>
        <w:t xml:space="preserve"> study, </w:t>
      </w:r>
      <w:r w:rsidR="007A6BBC">
        <w:rPr>
          <w:rFonts w:ascii="Times New Roman" w:hAnsi="Times New Roman" w:cs="Times New Roman" w:hint="eastAsia"/>
        </w:rPr>
        <w:t>we</w:t>
      </w:r>
      <w:r>
        <w:rPr>
          <w:rFonts w:ascii="Times New Roman" w:hAnsi="Times New Roman" w:cs="Times New Roman"/>
        </w:rPr>
        <w:t xml:space="preserve"> have </w:t>
      </w:r>
      <w:r w:rsidR="007A6BBC">
        <w:rPr>
          <w:rFonts w:ascii="Times New Roman" w:hAnsi="Times New Roman" w:cs="Times New Roman" w:hint="eastAsia"/>
        </w:rPr>
        <w:t xml:space="preserve">the </w:t>
      </w:r>
      <w:r>
        <w:rPr>
          <w:rFonts w:ascii="Times New Roman" w:hAnsi="Times New Roman" w:cs="Times New Roman"/>
        </w:rPr>
        <w:t>same size of observations</w:t>
      </w:r>
      <w:r w:rsidR="007A6BBC">
        <w:rPr>
          <w:rFonts w:ascii="Times New Roman" w:hAnsi="Times New Roman" w:cs="Times New Roman" w:hint="eastAsia"/>
        </w:rPr>
        <w:t xml:space="preserve"> under treatment and control conditions</w:t>
      </w:r>
      <w:r>
        <w:rPr>
          <w:rFonts w:ascii="Times New Roman" w:hAnsi="Times New Roman" w:cs="Times New Roman"/>
        </w:rPr>
        <w:t xml:space="preserve">, i.e., </w:t>
      </w:r>
      <m:oMath>
        <m:r>
          <w:rPr>
            <w:rFonts w:ascii="Cambria Math" w:hAnsi="Cambria Math" w:cs="Times New Roman"/>
          </w:rPr>
          <m:t>n=</m:t>
        </m:r>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r>
          <w:rPr>
            <w:rStyle w:val="FootnoteReference"/>
            <w:rFonts w:ascii="Cambria Math" w:hAnsi="Cambria Math" w:cs="Times New Roman"/>
            <w:i/>
          </w:rPr>
          <w:footnoteReference w:id="1"/>
        </m:r>
      </m:oMath>
      <w:r>
        <w:rPr>
          <w:rFonts w:ascii="Times New Roman" w:hAnsi="Times New Roman" w:cs="Times New Roman"/>
        </w:rPr>
        <w:t xml:space="preserve">, then </w:t>
      </w:r>
    </w:p>
    <w:p w14:paraId="085BECD4" w14:textId="0FD9AE9F" w:rsidR="007B198A" w:rsidRPr="007B198A" w:rsidRDefault="007B198A" w:rsidP="00F01634">
      <w:pPr>
        <w:divId w:val="2065718066"/>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Z</m:t>
              </m:r>
            </m:e>
            <m:sub>
              <m:f>
                <m:fPr>
                  <m:ctrlPr>
                    <w:rPr>
                      <w:rFonts w:ascii="Cambria Math" w:hAnsi="Cambria Math" w:cs="Times New Roman"/>
                      <w:i/>
                    </w:rPr>
                  </m:ctrlPr>
                </m:fPr>
                <m:num>
                  <m:r>
                    <w:rPr>
                      <w:rFonts w:ascii="Cambria Math" w:hAnsi="Cambria Math" w:cs="Times New Roman"/>
                    </w:rPr>
                    <m:t>α</m:t>
                  </m:r>
                </m:num>
                <m:den>
                  <m:r>
                    <w:rPr>
                      <w:rFonts w:ascii="Cambria Math" w:hAnsi="Cambria Math" w:cs="Times New Roman"/>
                    </w:rPr>
                    <m:t>2</m:t>
                  </m:r>
                </m:den>
              </m:f>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t>
              </m:r>
            </m:num>
            <m:den>
              <m:f>
                <m:fPr>
                  <m:type m:val="lin"/>
                  <m:ctrlPr>
                    <w:rPr>
                      <w:rFonts w:ascii="Cambria Math" w:hAnsi="Cambria Math" w:cs="Times New Roman"/>
                      <w:i/>
                    </w:rPr>
                  </m:ctrlPr>
                </m:fPr>
                <m:num>
                  <m:d>
                    <m:dPr>
                      <m:ctrlPr>
                        <w:rPr>
                          <w:rFonts w:ascii="Cambria Math" w:hAnsi="Cambria Math" w:cs="Times New Roman"/>
                          <w:i/>
                        </w:rPr>
                      </m:ctrlPr>
                    </m:dPr>
                    <m:e>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e>
                  </m:d>
                </m:num>
                <m:den>
                  <m:r>
                    <w:rPr>
                      <w:rFonts w:ascii="Cambria Math" w:hAnsi="Cambria Math" w:cs="Times New Roman"/>
                    </w:rPr>
                    <m:t>n</m:t>
                  </m:r>
                </m:den>
              </m:f>
            </m:den>
          </m:f>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β</m:t>
              </m:r>
            </m:sub>
          </m:sSub>
        </m:oMath>
      </m:oMathPara>
    </w:p>
    <w:p w14:paraId="3C7CDA0F" w14:textId="1D43F2EF" w:rsidR="00C42BAD" w:rsidRDefault="00C42BAD" w:rsidP="00F01634">
      <w:pPr>
        <w:divId w:val="2065718066"/>
        <w:rPr>
          <w:rFonts w:ascii="Times New Roman" w:hAnsi="Times New Roman" w:cs="Times New Roman" w:hint="eastAsia"/>
        </w:rPr>
      </w:pPr>
      <w:r>
        <w:rPr>
          <w:rFonts w:ascii="Times New Roman" w:hAnsi="Times New Roman" w:cs="Times New Roman" w:hint="eastAsia"/>
        </w:rPr>
        <w:t xml:space="preserve">Assume </w:t>
      </w:r>
      <m:oMath>
        <m:r>
          <w:rPr>
            <w:rFonts w:ascii="Cambria Math" w:hAnsi="Cambria Math" w:cs="Times New Roman"/>
          </w:rPr>
          <m:t>β</m:t>
        </m:r>
        <m:r>
          <w:rPr>
            <w:rFonts w:ascii="Cambria Math" w:hAnsi="Cambria Math" w:cs="Times New Roman"/>
          </w:rPr>
          <m:t>=0.2</m:t>
        </m:r>
      </m:oMath>
      <w:r>
        <w:rPr>
          <w:rFonts w:ascii="Times New Roman" w:hAnsi="Times New Roman" w:cs="Times New Roman" w:hint="eastAsia"/>
        </w:rPr>
        <w:t xml:space="preserve"> (Type II error), </w:t>
      </w:r>
      <m:oMath>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β</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-1</m:t>
            </m:r>
          </m:sup>
        </m:sSup>
        <m:d>
          <m:dPr>
            <m:ctrlPr>
              <w:rPr>
                <w:rFonts w:ascii="Cambria Math" w:hAnsi="Cambria Math" w:cs="Times New Roman"/>
                <w:i/>
              </w:rPr>
            </m:ctrlPr>
          </m:dPr>
          <m:e>
            <m:r>
              <w:rPr>
                <w:rFonts w:ascii="Cambria Math" w:hAnsi="Cambria Math" w:cs="Times New Roman"/>
              </w:rPr>
              <m:t>1-</m:t>
            </m:r>
            <m:r>
              <w:rPr>
                <w:rFonts w:ascii="Cambria Math" w:hAnsi="Cambria Math" w:cs="Times New Roman"/>
              </w:rPr>
              <m:t>β</m:t>
            </m:r>
          </m:e>
        </m:d>
        <m:r>
          <w:rPr>
            <w:rFonts w:ascii="Cambria Math" w:hAnsi="Cambria Math" w:cs="Times New Roman"/>
          </w:rPr>
          <m:t>=0.84</m:t>
        </m:r>
      </m:oMath>
      <w:r w:rsidR="00B20D18">
        <w:rPr>
          <w:rFonts w:ascii="Times New Roman" w:hAnsi="Times New Roman" w:cs="Times New Roman" w:hint="eastAsia"/>
        </w:rPr>
        <w:t xml:space="preserve">, </w:t>
      </w:r>
      <w:r w:rsidR="00B20D18" w:rsidRPr="00B20D18">
        <w:rPr>
          <w:rFonts w:ascii="Times New Roman" w:hAnsi="Times New Roman" w:cs="Times New Roman"/>
        </w:rPr>
        <w:t xml:space="preserve">meaning the test has an 80% </w:t>
      </w:r>
      <w:r w:rsidR="00B20D18">
        <w:rPr>
          <w:rFonts w:ascii="Times New Roman" w:hAnsi="Times New Roman" w:cs="Times New Roman" w:hint="eastAsia"/>
        </w:rPr>
        <w:t xml:space="preserve">power </w:t>
      </w:r>
      <w:r w:rsidR="00B20D18" w:rsidRPr="00B20D18">
        <w:rPr>
          <w:rFonts w:ascii="Times New Roman" w:hAnsi="Times New Roman" w:cs="Times New Roman"/>
        </w:rPr>
        <w:t xml:space="preserve">of detecting a true </w:t>
      </w:r>
      <w:r w:rsidR="00AC3E83">
        <w:rPr>
          <w:rFonts w:ascii="Times New Roman" w:hAnsi="Times New Roman" w:cs="Times New Roman"/>
        </w:rPr>
        <w:t>effect size</w:t>
      </w:r>
      <w:r w:rsidR="00B20D18" w:rsidRPr="00B20D18">
        <w:rPr>
          <w:rFonts w:ascii="Times New Roman" w:hAnsi="Times New Roman" w:cs="Times New Roman"/>
        </w:rPr>
        <w:t xml:space="preserve"> if it exists.</w:t>
      </w:r>
    </w:p>
    <w:p w14:paraId="3FFF1B24" w14:textId="545ADA7D" w:rsidR="007B198A" w:rsidRDefault="007B198A" w:rsidP="00F01634">
      <w:pPr>
        <w:divId w:val="2065718066"/>
        <w:rPr>
          <w:rFonts w:ascii="Times New Roman" w:hAnsi="Times New Roman" w:cs="Times New Roman"/>
        </w:rPr>
      </w:pPr>
      <w:r>
        <w:rPr>
          <w:rFonts w:ascii="Times New Roman" w:hAnsi="Times New Roman" w:cs="Times New Roman"/>
        </w:rPr>
        <w:t>Solving this last equation gives</w:t>
      </w:r>
    </w:p>
    <w:p w14:paraId="5828B4EC" w14:textId="6022F808" w:rsidR="007B198A" w:rsidRDefault="007B198A" w:rsidP="00F01634">
      <w:pPr>
        <w:divId w:val="2065718066"/>
        <w:rPr>
          <w:rFonts w:ascii="Times New Roman" w:hAnsi="Times New Roman" w:cs="Times New Roman"/>
        </w:rPr>
      </w:pPr>
      <m:oMathPara>
        <m:oMath>
          <m:r>
            <w:rPr>
              <w:rFonts w:ascii="Cambria Math" w:hAnsi="Cambria Math" w:cs="Times New Roman"/>
            </w:rPr>
            <m:t>n</m:t>
          </m:r>
          <m:r>
            <w:rPr>
              <w:rFonts w:ascii="Cambria Math" w:hAnsi="Cambria Math" w:cs="Times New Roman"/>
            </w:rPr>
            <m:t>=</m:t>
          </m:r>
          <m:f>
            <m:fPr>
              <m:ctrlPr>
                <w:rPr>
                  <w:rFonts w:ascii="Cambria Math" w:hAnsi="Cambria Math" w:cs="Times New Roman"/>
                  <w:i/>
                </w:rPr>
              </m:ctrlPr>
            </m:fPr>
            <m:num>
              <m:d>
                <m:dPr>
                  <m:ctrlPr>
                    <w:rPr>
                      <w:rFonts w:ascii="Cambria Math" w:hAnsi="Cambria Math" w:cs="Times New Roman"/>
                      <w:i/>
                    </w:rPr>
                  </m:ctrlPr>
                </m:dPr>
                <m:e>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1</m:t>
                      </m:r>
                    </m:sub>
                    <m:sup>
                      <m:r>
                        <w:rPr>
                          <w:rFonts w:ascii="Cambria Math" w:hAnsi="Cambria Math" w:cs="Times New Roman"/>
                        </w:rPr>
                        <m:t>2</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σ</m:t>
                      </m:r>
                    </m:e>
                    <m:sub>
                      <m:r>
                        <w:rPr>
                          <w:rFonts w:ascii="Cambria Math" w:hAnsi="Cambria Math" w:cs="Times New Roman"/>
                        </w:rPr>
                        <m:t>2</m:t>
                      </m:r>
                    </m:sub>
                    <m:sup>
                      <m:r>
                        <w:rPr>
                          <w:rFonts w:ascii="Cambria Math" w:hAnsi="Cambria Math" w:cs="Times New Roman"/>
                        </w:rPr>
                        <m:t>2</m:t>
                      </m:r>
                    </m:sup>
                  </m:sSubSup>
                </m:e>
              </m:d>
              <m:sSup>
                <m:sSupPr>
                  <m:ctrlPr>
                    <w:rPr>
                      <w:rFonts w:ascii="Cambria Math" w:hAnsi="Cambria Math" w:cs="Times New Roman"/>
                      <w:i/>
                    </w:rPr>
                  </m:ctrlPr>
                </m:sSupPr>
                <m:e>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Z</m:t>
                      </m:r>
                    </m:e>
                    <m:sub>
                      <m:f>
                        <m:fPr>
                          <m:ctrlPr>
                            <w:rPr>
                              <w:rFonts w:ascii="Cambria Math" w:hAnsi="Cambria Math" w:cs="Times New Roman"/>
                              <w:i/>
                            </w:rPr>
                          </m:ctrlPr>
                        </m:fPr>
                        <m:num>
                          <m:r>
                            <w:rPr>
                              <w:rFonts w:ascii="Cambria Math" w:hAnsi="Cambria Math" w:cs="Times New Roman"/>
                            </w:rPr>
                            <m:t>α</m:t>
                          </m:r>
                        </m:num>
                        <m:den>
                          <m:r>
                            <w:rPr>
                              <w:rFonts w:ascii="Cambria Math" w:hAnsi="Cambria Math" w:cs="Times New Roman"/>
                            </w:rPr>
                            <m:t>2</m:t>
                          </m:r>
                        </m:den>
                      </m:f>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β</m:t>
                      </m:r>
                    </m:sub>
                  </m:sSub>
                  <m:r>
                    <w:rPr>
                      <w:rFonts w:ascii="Cambria Math" w:hAnsi="Cambria Math" w:cs="Times New Roman"/>
                    </w:rPr>
                    <m:t>)</m:t>
                  </m:r>
                </m:e>
                <m:sup>
                  <m:r>
                    <w:rPr>
                      <w:rFonts w:ascii="Cambria Math" w:hAnsi="Cambria Math" w:cs="Times New Roman"/>
                    </w:rPr>
                    <m:t>2</m:t>
                  </m:r>
                </m:sup>
              </m:sSup>
            </m:num>
            <m:den>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2</m:t>
                  </m:r>
                </m:sup>
              </m:sSup>
            </m:den>
          </m:f>
        </m:oMath>
      </m:oMathPara>
    </w:p>
    <w:p w14:paraId="5880C7FA" w14:textId="77777777" w:rsidR="00295B8D" w:rsidRDefault="00295B8D" w:rsidP="00F01634">
      <w:pPr>
        <w:divId w:val="2065718066"/>
        <w:rPr>
          <w:rFonts w:ascii="Times New Roman" w:hAnsi="Times New Roman" w:cs="Times New Roman"/>
        </w:rPr>
      </w:pPr>
    </w:p>
    <w:p w14:paraId="2605AD75" w14:textId="72BF2DF4" w:rsidR="00335427" w:rsidRDefault="00335427" w:rsidP="00335427">
      <w:pPr>
        <w:divId w:val="2065718066"/>
        <w:rPr>
          <w:rFonts w:ascii="Times New Roman" w:hAnsi="Times New Roman" w:cs="Times New Roman"/>
        </w:rPr>
      </w:pPr>
      <w:r w:rsidRPr="00335427">
        <w:rPr>
          <w:rFonts w:ascii="Times New Roman" w:hAnsi="Times New Roman" w:cs="Times New Roman"/>
        </w:rPr>
        <w:t>Although Table A-1 displays the mean difference in Willingness-to-Pay (WTP) between the treatment and control groups in the pilot study (</w:t>
      </w:r>
      <w:r w:rsidR="00476854">
        <w:rPr>
          <w:rFonts w:ascii="Times New Roman" w:hAnsi="Times New Roman" w:cs="Times New Roman" w:hint="eastAsia"/>
        </w:rPr>
        <w:t xml:space="preserve">Table A-1, </w:t>
      </w:r>
      <w:r w:rsidRPr="00335427">
        <w:rPr>
          <w:rFonts w:ascii="Times New Roman" w:hAnsi="Times New Roman" w:cs="Times New Roman"/>
        </w:rPr>
        <w:t xml:space="preserve">Column 7 </w:t>
      </w:r>
      <w:r w:rsidR="00476854">
        <w:rPr>
          <w:rFonts w:ascii="Times New Roman" w:hAnsi="Times New Roman" w:cs="Times New Roman"/>
        </w:rPr>
        <w:t>“</w:t>
      </w:r>
      <w:r w:rsidRPr="00335427">
        <w:rPr>
          <w:rFonts w:ascii="Times New Roman" w:hAnsi="Times New Roman" w:cs="Times New Roman"/>
        </w:rPr>
        <w:t>Mean Difference</w:t>
      </w:r>
      <w:r w:rsidR="00476854">
        <w:rPr>
          <w:rFonts w:ascii="Times New Roman" w:hAnsi="Times New Roman" w:cs="Times New Roman"/>
        </w:rPr>
        <w:t>”</w:t>
      </w:r>
      <w:r w:rsidRPr="00335427">
        <w:rPr>
          <w:rFonts w:ascii="Times New Roman" w:hAnsi="Times New Roman" w:cs="Times New Roman"/>
        </w:rPr>
        <w:t>), using this directly as the target effect size for calculating the required sample size in the full study may be problematic.</w:t>
      </w:r>
      <w:r>
        <w:rPr>
          <w:rFonts w:ascii="Times New Roman" w:hAnsi="Times New Roman" w:cs="Times New Roman"/>
        </w:rPr>
        <w:t xml:space="preserve"> </w:t>
      </w:r>
      <w:r w:rsidRPr="00335427">
        <w:rPr>
          <w:rFonts w:ascii="Times New Roman" w:hAnsi="Times New Roman" w:cs="Times New Roman"/>
        </w:rPr>
        <w:t xml:space="preserve">On </w:t>
      </w:r>
      <w:r w:rsidR="005F3163" w:rsidRPr="00335427">
        <w:rPr>
          <w:rFonts w:ascii="Times New Roman" w:hAnsi="Times New Roman" w:cs="Times New Roman"/>
        </w:rPr>
        <w:t>the one</w:t>
      </w:r>
      <w:r w:rsidRPr="00335427">
        <w:rPr>
          <w:rFonts w:ascii="Times New Roman" w:hAnsi="Times New Roman" w:cs="Times New Roman"/>
        </w:rPr>
        <w:t xml:space="preserve"> hand, specifying a mean difference of $2 in WTP for the voucher alone as the target effect size—especially if applied across all bid types—would result in an unnecessarily </w:t>
      </w:r>
      <w:proofErr w:type="gramStart"/>
      <w:r w:rsidRPr="00335427">
        <w:rPr>
          <w:rFonts w:ascii="Times New Roman" w:hAnsi="Times New Roman" w:cs="Times New Roman"/>
        </w:rPr>
        <w:t>large required</w:t>
      </w:r>
      <w:proofErr w:type="gramEnd"/>
      <w:r w:rsidRPr="00335427">
        <w:rPr>
          <w:rFonts w:ascii="Times New Roman" w:hAnsi="Times New Roman" w:cs="Times New Roman"/>
        </w:rPr>
        <w:t xml:space="preserve"> sample size, potentially in the thousands. This level of precision is not needed, given that our primary focus is on bids involving combinations of the voucher and one or more dishes. Overly precise estimates may lead to inefficient use of resources.</w:t>
      </w:r>
      <w:r>
        <w:rPr>
          <w:rFonts w:ascii="Times New Roman" w:hAnsi="Times New Roman" w:cs="Times New Roman"/>
        </w:rPr>
        <w:t xml:space="preserve"> </w:t>
      </w:r>
      <w:r w:rsidRPr="00335427">
        <w:rPr>
          <w:rFonts w:ascii="Times New Roman" w:hAnsi="Times New Roman" w:cs="Times New Roman"/>
        </w:rPr>
        <w:t>On the other hand, assuming a large effect size based on pilot data may lead to an underestimation of the required sample size for the full study. This, in turn, could result in statistically insignificant findings for most bid types if the true effect size in the population is smaller than assumed.</w:t>
      </w:r>
    </w:p>
    <w:p w14:paraId="32B85612" w14:textId="0485F705" w:rsidR="000F631D" w:rsidRDefault="001D5BFA" w:rsidP="00F01634">
      <w:pPr>
        <w:divId w:val="2065718066"/>
        <w:rPr>
          <w:rFonts w:ascii="Times New Roman" w:hAnsi="Times New Roman" w:cs="Times New Roman"/>
        </w:rPr>
      </w:pPr>
      <w:r w:rsidRPr="001D5BFA">
        <w:rPr>
          <w:rFonts w:ascii="Times New Roman" w:hAnsi="Times New Roman" w:cs="Times New Roman"/>
        </w:rPr>
        <w:t xml:space="preserve">Therefore, a more appropriate and reliable approach is to assume a tiered target effect size, specified according to the number of items included in the package, when calculating the sample size. If the true effect size exceeds the assumed target and is statistically significant, the study will still be well-powered to detect the </w:t>
      </w:r>
      <w:r>
        <w:rPr>
          <w:rFonts w:ascii="Times New Roman" w:hAnsi="Times New Roman" w:cs="Times New Roman" w:hint="eastAsia"/>
        </w:rPr>
        <w:t xml:space="preserve">target </w:t>
      </w:r>
      <w:r w:rsidRPr="001D5BFA">
        <w:rPr>
          <w:rFonts w:ascii="Times New Roman" w:hAnsi="Times New Roman" w:cs="Times New Roman"/>
        </w:rPr>
        <w:t xml:space="preserve">effect </w:t>
      </w:r>
      <w:r>
        <w:rPr>
          <w:rFonts w:ascii="Times New Roman" w:hAnsi="Times New Roman" w:cs="Times New Roman" w:hint="eastAsia"/>
        </w:rPr>
        <w:t xml:space="preserve">size </w:t>
      </w:r>
      <w:r w:rsidRPr="001D5BFA">
        <w:rPr>
          <w:rFonts w:ascii="Times New Roman" w:hAnsi="Times New Roman" w:cs="Times New Roman"/>
        </w:rPr>
        <w:t>with confidence.</w:t>
      </w:r>
    </w:p>
    <w:p w14:paraId="79865F5A" w14:textId="28DAD6CF" w:rsidR="005F3163" w:rsidRDefault="005F3163" w:rsidP="00F01634">
      <w:pPr>
        <w:divId w:val="2065718066"/>
        <w:rPr>
          <w:rFonts w:ascii="Times New Roman" w:hAnsi="Times New Roman" w:cs="Times New Roman"/>
        </w:rPr>
      </w:pPr>
      <w:r w:rsidRPr="005F3163">
        <w:rPr>
          <w:rFonts w:ascii="Times New Roman" w:hAnsi="Times New Roman" w:cs="Times New Roman"/>
        </w:rPr>
        <w:t>For bids submitted on packages containing the voucher, the target effect size</w:t>
      </w:r>
      <w:r>
        <w:rPr>
          <w:rFonts w:ascii="Times New Roman" w:hAnsi="Times New Roman" w:cs="Times New Roman" w:hint="eastAsia"/>
        </w:rPr>
        <w:t xml:space="preserve">, </w:t>
      </w:r>
      <w:r w:rsidRPr="005F3163">
        <w:rPr>
          <w:rFonts w:ascii="Times New Roman" w:hAnsi="Times New Roman" w:cs="Times New Roman"/>
        </w:rPr>
        <w:t>i.e., the minimal detectable effect (MDE)—is set at $10 for the voucher alone, $15 for two-item packages, $20 for three-item packages, and $25 for four-item packages</w:t>
      </w:r>
      <w:r w:rsidR="00476854">
        <w:rPr>
          <w:rFonts w:ascii="Times New Roman" w:hAnsi="Times New Roman" w:cs="Times New Roman" w:hint="eastAsia"/>
        </w:rPr>
        <w:t xml:space="preserve"> (Table A-1, Column </w:t>
      </w:r>
      <w:r w:rsidR="00476854">
        <w:rPr>
          <w:rFonts w:ascii="Times New Roman" w:hAnsi="Times New Roman" w:cs="Times New Roman"/>
        </w:rPr>
        <w:t>“</w:t>
      </w:r>
      <w:r w:rsidR="00476854" w:rsidRPr="006E2C5F">
        <w:rPr>
          <w:rFonts w:ascii="Times New Roman" w:hAnsi="Times New Roman" w:cs="Times New Roman"/>
        </w:rPr>
        <w:t xml:space="preserve">Target </w:t>
      </w:r>
      <w:r w:rsidR="00476854" w:rsidRPr="00476854">
        <w:rPr>
          <w:rFonts w:ascii="Times New Roman" w:hAnsi="Times New Roman" w:cs="Times New Roman" w:hint="eastAsia"/>
        </w:rPr>
        <w:t>E</w:t>
      </w:r>
      <w:r w:rsidR="00476854" w:rsidRPr="006E2C5F">
        <w:rPr>
          <w:rFonts w:ascii="Times New Roman" w:hAnsi="Times New Roman" w:cs="Times New Roman"/>
        </w:rPr>
        <w:t xml:space="preserve">ffect </w:t>
      </w:r>
      <w:r w:rsidR="00476854" w:rsidRPr="00476854">
        <w:rPr>
          <w:rFonts w:ascii="Times New Roman" w:hAnsi="Times New Roman" w:cs="Times New Roman" w:hint="eastAsia"/>
        </w:rPr>
        <w:t>S</w:t>
      </w:r>
      <w:r w:rsidR="00476854" w:rsidRPr="006E2C5F">
        <w:rPr>
          <w:rFonts w:ascii="Times New Roman" w:hAnsi="Times New Roman" w:cs="Times New Roman"/>
        </w:rPr>
        <w:t>ize</w:t>
      </w:r>
      <w:r w:rsidR="00476854">
        <w:rPr>
          <w:rFonts w:ascii="Times New Roman" w:hAnsi="Times New Roman" w:cs="Times New Roman"/>
        </w:rPr>
        <w:t>”</w:t>
      </w:r>
      <w:r w:rsidR="00476854">
        <w:rPr>
          <w:rFonts w:ascii="Times New Roman" w:hAnsi="Times New Roman" w:cs="Times New Roman" w:hint="eastAsia"/>
        </w:rPr>
        <w:t>)</w:t>
      </w:r>
      <w:r w:rsidRPr="005F3163">
        <w:rPr>
          <w:rFonts w:ascii="Times New Roman" w:hAnsi="Times New Roman" w:cs="Times New Roman"/>
        </w:rPr>
        <w:t>.</w:t>
      </w:r>
    </w:p>
    <w:p w14:paraId="6EC21A6F" w14:textId="77777777" w:rsidR="005F3163" w:rsidRDefault="005F3163" w:rsidP="00F01634">
      <w:pPr>
        <w:divId w:val="2065718066"/>
        <w:rPr>
          <w:rFonts w:ascii="Times New Roman" w:hAnsi="Times New Roman" w:cs="Times New Roman"/>
        </w:rPr>
      </w:pPr>
    </w:p>
    <w:p w14:paraId="62F67F92" w14:textId="77777777" w:rsidR="005F3163" w:rsidRDefault="005F3163" w:rsidP="00F01634">
      <w:pPr>
        <w:divId w:val="2065718066"/>
        <w:rPr>
          <w:rFonts w:ascii="Times New Roman" w:hAnsi="Times New Roman" w:cs="Times New Roman"/>
        </w:rPr>
      </w:pPr>
    </w:p>
    <w:p w14:paraId="2BBE25CE" w14:textId="77777777" w:rsidR="002000DB" w:rsidRDefault="002000DB" w:rsidP="00F01634">
      <w:pPr>
        <w:divId w:val="2065718066"/>
        <w:rPr>
          <w:rFonts w:ascii="Times New Roman" w:hAnsi="Times New Roman" w:cs="Times New Roman"/>
        </w:rPr>
      </w:pPr>
    </w:p>
    <w:p w14:paraId="2198E06C" w14:textId="591F21E3" w:rsidR="002763D1" w:rsidRDefault="00E13A08" w:rsidP="00F01634">
      <w:pPr>
        <w:divId w:val="2065718066"/>
        <w:rPr>
          <w:rFonts w:ascii="Times New Roman" w:hAnsi="Times New Roman" w:cs="Times New Roman"/>
        </w:rPr>
      </w:pPr>
      <w:r w:rsidRPr="00E13A08">
        <w:rPr>
          <w:rFonts w:ascii="Times New Roman" w:hAnsi="Times New Roman" w:cs="Times New Roman"/>
        </w:rPr>
        <w:drawing>
          <wp:inline distT="0" distB="0" distL="0" distR="0" wp14:anchorId="1A63F8FA" wp14:editId="5F19DC50">
            <wp:extent cx="5943600" cy="2971800"/>
            <wp:effectExtent l="0" t="0" r="0" b="0"/>
            <wp:docPr id="419510234"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10234" name="Picture 1" descr="A graph of different colored lines&#10;&#10;AI-generated content may be incorrect."/>
                    <pic:cNvPicPr/>
                  </pic:nvPicPr>
                  <pic:blipFill>
                    <a:blip r:embed="rId8"/>
                    <a:stretch>
                      <a:fillRect/>
                    </a:stretch>
                  </pic:blipFill>
                  <pic:spPr>
                    <a:xfrm>
                      <a:off x="0" y="0"/>
                      <a:ext cx="5943600" cy="2971800"/>
                    </a:xfrm>
                    <a:prstGeom prst="rect">
                      <a:avLst/>
                    </a:prstGeom>
                  </pic:spPr>
                </pic:pic>
              </a:graphicData>
            </a:graphic>
          </wp:inline>
        </w:drawing>
      </w:r>
    </w:p>
    <w:p w14:paraId="20E14085" w14:textId="42643E9B" w:rsidR="002763D1" w:rsidRDefault="002000DB" w:rsidP="002000DB">
      <w:pPr>
        <w:jc w:val="center"/>
        <w:divId w:val="2065718066"/>
        <w:rPr>
          <w:rFonts w:ascii="Times New Roman" w:hAnsi="Times New Roman" w:cs="Times New Roman" w:hint="eastAsia"/>
        </w:rPr>
      </w:pPr>
      <w:r w:rsidRPr="002000DB">
        <w:rPr>
          <w:rFonts w:ascii="Times New Roman" w:hAnsi="Times New Roman" w:cs="Times New Roman"/>
        </w:rPr>
        <w:t>Figure A-1. Relationship Between Required Sample Size and Target Effect Size</w:t>
      </w:r>
    </w:p>
    <w:p w14:paraId="2340645D" w14:textId="77777777" w:rsidR="002000DB" w:rsidRDefault="002000DB" w:rsidP="00F01634">
      <w:pPr>
        <w:divId w:val="2065718066"/>
        <w:rPr>
          <w:rFonts w:ascii="Times New Roman" w:hAnsi="Times New Roman" w:cs="Times New Roman"/>
        </w:rPr>
      </w:pPr>
    </w:p>
    <w:p w14:paraId="2B6021E9" w14:textId="5F16E2E1" w:rsidR="002763D1" w:rsidRDefault="008B7E87" w:rsidP="00F01634">
      <w:pPr>
        <w:divId w:val="2065718066"/>
        <w:rPr>
          <w:rFonts w:ascii="Times New Roman" w:hAnsi="Times New Roman" w:cs="Times New Roman" w:hint="eastAsia"/>
        </w:rPr>
      </w:pPr>
      <w:r w:rsidRPr="008B7E87">
        <w:rPr>
          <w:rFonts w:ascii="Times New Roman" w:hAnsi="Times New Roman" w:cs="Times New Roman"/>
        </w:rPr>
        <w:t>We need to recruit more participants per condition to ensure that the number of observations for each bid type exceeds the required sample size shown in the graph</w:t>
      </w:r>
      <w:r w:rsidR="00BB6E50">
        <w:rPr>
          <w:rFonts w:ascii="Times New Roman" w:hAnsi="Times New Roman" w:cs="Times New Roman"/>
        </w:rPr>
        <w:t xml:space="preserve"> (Figure A-1)</w:t>
      </w:r>
      <w:r w:rsidRPr="008B7E87">
        <w:rPr>
          <w:rFonts w:ascii="Times New Roman" w:hAnsi="Times New Roman" w:cs="Times New Roman"/>
        </w:rPr>
        <w:t xml:space="preserve">. In the full study, we </w:t>
      </w:r>
      <w:r w:rsidRPr="008B7E87">
        <w:rPr>
          <w:rFonts w:ascii="Times New Roman" w:hAnsi="Times New Roman" w:cs="Times New Roman"/>
        </w:rPr>
        <w:t>recruited</w:t>
      </w:r>
      <w:r w:rsidRPr="008B7E87">
        <w:rPr>
          <w:rFonts w:ascii="Times New Roman" w:hAnsi="Times New Roman" w:cs="Times New Roman"/>
        </w:rPr>
        <w:t xml:space="preserve"> 55 participants assigned to five treatment groups and 55 participants assigned to five control groups.</w:t>
      </w:r>
      <w:r>
        <w:rPr>
          <w:rFonts w:ascii="Times New Roman" w:hAnsi="Times New Roman" w:cs="Times New Roman" w:hint="eastAsia"/>
        </w:rPr>
        <w:t xml:space="preserve"> </w:t>
      </w:r>
    </w:p>
    <w:p w14:paraId="6F0BA2DA" w14:textId="77777777" w:rsidR="00AC3E83" w:rsidRDefault="00AC3E83" w:rsidP="00F01634">
      <w:pPr>
        <w:divId w:val="2065718066"/>
        <w:rPr>
          <w:rFonts w:ascii="Times New Roman" w:hAnsi="Times New Roman" w:cs="Times New Roman"/>
        </w:rPr>
      </w:pPr>
    </w:p>
    <w:sdt>
      <w:sdtPr>
        <w:rPr>
          <w:rFonts w:ascii="Times New Roman" w:hAnsi="Times New Roman" w:cs="Times New Roman"/>
        </w:rPr>
        <w:alias w:val="SmartCite Bibliography"/>
        <w:tag w:val="Food Policy+{&quot;language&quot;:&quot;en-US&quot;,&quot;isSectionsModeOn&quot;:false}"/>
        <w:id w:val="-482547874"/>
        <w:placeholder>
          <w:docPart w:val="DefaultPlaceholder_-1854013440"/>
        </w:placeholder>
      </w:sdtPr>
      <w:sdtContent>
        <w:p w14:paraId="39D1DAF9" w14:textId="66A9589C" w:rsidR="00CA07A1" w:rsidRPr="00CA07A1" w:rsidRDefault="00CA07A1">
          <w:pPr>
            <w:divId w:val="1019308406"/>
            <w:rPr>
              <w:rFonts w:ascii="Times New Roman" w:eastAsia="Times New Roman" w:hAnsi="Times New Roman" w:cs="Times New Roman"/>
              <w:kern w:val="0"/>
              <w14:ligatures w14:val="none"/>
            </w:rPr>
          </w:pPr>
          <w:r w:rsidRPr="00CA07A1">
            <w:rPr>
              <w:rFonts w:ascii="Times New Roman" w:eastAsia="Times New Roman" w:hAnsi="Times New Roman" w:cs="Times New Roman"/>
            </w:rPr>
            <w:br/>
          </w:r>
        </w:p>
        <w:p w14:paraId="42CA631E" w14:textId="77777777" w:rsidR="00CA07A1" w:rsidRPr="00CA07A1" w:rsidRDefault="00CA07A1">
          <w:pPr>
            <w:pStyle w:val="bibliography"/>
            <w:ind w:left="300" w:hanging="300"/>
            <w:divId w:val="1019308406"/>
          </w:pPr>
          <w:r w:rsidRPr="00CA07A1">
            <w:t xml:space="preserve">Ahles, A., Palma, M.A., </w:t>
          </w:r>
          <w:proofErr w:type="spellStart"/>
          <w:r w:rsidRPr="00CA07A1">
            <w:t>Drichoutis</w:t>
          </w:r>
          <w:proofErr w:type="spellEnd"/>
          <w:r w:rsidRPr="00CA07A1">
            <w:t xml:space="preserve">, A.C., 2024. Testing the effectiveness of lottery incentives in online experiments. Am. J. Agric. Econ. 106, 1435–1453. </w:t>
          </w:r>
          <w:hyperlink r:id="rId9" w:history="1">
            <w:r w:rsidRPr="00CA07A1">
              <w:rPr>
                <w:rStyle w:val="Hyperlink"/>
              </w:rPr>
              <w:t>https://doi.org/10.1111/ajae.12460</w:t>
            </w:r>
          </w:hyperlink>
        </w:p>
        <w:p w14:paraId="69494C83" w14:textId="77777777" w:rsidR="00CA07A1" w:rsidRPr="00CA07A1" w:rsidRDefault="00CA07A1">
          <w:pPr>
            <w:pStyle w:val="bibliography"/>
            <w:ind w:left="300" w:hanging="300"/>
            <w:divId w:val="1019308406"/>
          </w:pPr>
          <w:proofErr w:type="spellStart"/>
          <w:r w:rsidRPr="00CA07A1">
            <w:t>Canavari</w:t>
          </w:r>
          <w:proofErr w:type="spellEnd"/>
          <w:r w:rsidRPr="00CA07A1">
            <w:t xml:space="preserve">, M., </w:t>
          </w:r>
          <w:proofErr w:type="spellStart"/>
          <w:r w:rsidRPr="00CA07A1">
            <w:t>Drichoutis</w:t>
          </w:r>
          <w:proofErr w:type="spellEnd"/>
          <w:r w:rsidRPr="00CA07A1">
            <w:t xml:space="preserve">, A.C., Lusk, J.L., </w:t>
          </w:r>
          <w:proofErr w:type="spellStart"/>
          <w:r w:rsidRPr="00CA07A1">
            <w:t>Nayga</w:t>
          </w:r>
          <w:proofErr w:type="spellEnd"/>
          <w:r w:rsidRPr="00CA07A1">
            <w:t xml:space="preserve">, R.M., 2019. How to run an experimental auction: a review of recent advances. </w:t>
          </w:r>
          <w:proofErr w:type="spellStart"/>
          <w:r w:rsidRPr="00CA07A1">
            <w:t>Eur</w:t>
          </w:r>
          <w:proofErr w:type="spellEnd"/>
          <w:r w:rsidRPr="00CA07A1">
            <w:t xml:space="preserve"> Rev Agric Econ 46, 862–922. </w:t>
          </w:r>
          <w:hyperlink r:id="rId10" w:history="1">
            <w:r w:rsidRPr="00CA07A1">
              <w:rPr>
                <w:rStyle w:val="Hyperlink"/>
              </w:rPr>
              <w:t>https://doi.org/10.1093/erae/jbz038</w:t>
            </w:r>
          </w:hyperlink>
        </w:p>
        <w:p w14:paraId="2D694137" w14:textId="3C093CE5" w:rsidR="009953B3" w:rsidRDefault="00CA07A1" w:rsidP="005D752C">
          <w:pPr>
            <w:rPr>
              <w:rFonts w:ascii="Times New Roman" w:hAnsi="Times New Roman" w:cs="Times New Roman"/>
            </w:rPr>
          </w:pPr>
          <w:r w:rsidRPr="00CA07A1">
            <w:rPr>
              <w:rFonts w:ascii="Times New Roman" w:eastAsia="Times New Roman" w:hAnsi="Times New Roman" w:cs="Times New Roman"/>
            </w:rPr>
            <w:t> </w:t>
          </w:r>
        </w:p>
      </w:sdtContent>
    </w:sdt>
    <w:p w14:paraId="3F7500F7" w14:textId="4A8D6505" w:rsidR="005D752C" w:rsidRPr="005D752C" w:rsidRDefault="009953B3" w:rsidP="005D752C">
      <w:pPr>
        <w:rPr>
          <w:rFonts w:ascii="Times New Roman" w:hAnsi="Times New Roman" w:cs="Times New Roman"/>
        </w:rPr>
      </w:pPr>
      <w:r>
        <w:rPr>
          <w:rFonts w:ascii="Times New Roman" w:hAnsi="Times New Roman" w:cs="Times New Roman"/>
        </w:rPr>
        <w:t xml:space="preserve"> </w:t>
      </w:r>
    </w:p>
    <w:sectPr w:rsidR="005D752C" w:rsidRPr="005D752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A176D" w14:textId="77777777" w:rsidR="00F2190B" w:rsidRDefault="00F2190B" w:rsidP="00546E00">
      <w:pPr>
        <w:spacing w:after="0" w:line="240" w:lineRule="auto"/>
      </w:pPr>
      <w:r>
        <w:separator/>
      </w:r>
    </w:p>
  </w:endnote>
  <w:endnote w:type="continuationSeparator" w:id="0">
    <w:p w14:paraId="48EF791C" w14:textId="77777777" w:rsidR="00F2190B" w:rsidRDefault="00F2190B" w:rsidP="00546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88565"/>
      <w:docPartObj>
        <w:docPartGallery w:val="Page Numbers (Bottom of Page)"/>
        <w:docPartUnique/>
      </w:docPartObj>
    </w:sdtPr>
    <w:sdtEndPr>
      <w:rPr>
        <w:noProof/>
      </w:rPr>
    </w:sdtEndPr>
    <w:sdtContent>
      <w:p w14:paraId="1C41C37A" w14:textId="4C49DF9D" w:rsidR="00546E00" w:rsidRDefault="00546E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5B5B4D" w14:textId="77777777" w:rsidR="00546E00" w:rsidRDefault="00546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156E5" w14:textId="77777777" w:rsidR="00F2190B" w:rsidRDefault="00F2190B" w:rsidP="00546E00">
      <w:pPr>
        <w:spacing w:after="0" w:line="240" w:lineRule="auto"/>
      </w:pPr>
      <w:r>
        <w:separator/>
      </w:r>
    </w:p>
  </w:footnote>
  <w:footnote w:type="continuationSeparator" w:id="0">
    <w:p w14:paraId="28587767" w14:textId="77777777" w:rsidR="00F2190B" w:rsidRDefault="00F2190B" w:rsidP="00546E00">
      <w:pPr>
        <w:spacing w:after="0" w:line="240" w:lineRule="auto"/>
      </w:pPr>
      <w:r>
        <w:continuationSeparator/>
      </w:r>
    </w:p>
  </w:footnote>
  <w:footnote w:id="1">
    <w:p w14:paraId="7793BC4A" w14:textId="6B33B6B9" w:rsidR="000538CA" w:rsidRPr="007A6BBC" w:rsidRDefault="000538CA" w:rsidP="0087328F">
      <w:pPr>
        <w:pStyle w:val="FootnoteText"/>
        <w:rPr>
          <w:rFonts w:ascii="Times New Roman" w:hAnsi="Times New Roman" w:cs="Times New Roman" w:hint="eastAsia"/>
        </w:rPr>
      </w:pPr>
      <w:r w:rsidRPr="007A6BBC">
        <w:rPr>
          <w:rStyle w:val="FootnoteReference"/>
          <w:rFonts w:ascii="Times New Roman" w:hAnsi="Times New Roman" w:cs="Times New Roman"/>
        </w:rPr>
        <w:footnoteRef/>
      </w:r>
      <w:r w:rsidRPr="007A6BBC">
        <w:rPr>
          <w:rFonts w:ascii="Times New Roman" w:hAnsi="Times New Roman" w:cs="Times New Roman"/>
        </w:rPr>
        <w:t xml:space="preserve"> </w:t>
      </w:r>
      <w:r w:rsidR="0087328F" w:rsidRPr="0087328F">
        <w:rPr>
          <w:rFonts w:ascii="Times New Roman" w:hAnsi="Times New Roman" w:cs="Times New Roman"/>
        </w:rPr>
        <w:t xml:space="preserve">As shown in Table A-1, the sample size </w:t>
      </w:r>
      <w:r w:rsidR="0087328F" w:rsidRPr="0087328F">
        <w:rPr>
          <w:rFonts w:ascii="Cambria Math" w:hAnsi="Cambria Math" w:cs="Cambria Math"/>
        </w:rPr>
        <w:t>𝑛</w:t>
      </w:r>
      <w:r w:rsidR="0087328F" w:rsidRPr="0087328F">
        <w:rPr>
          <w:rFonts w:ascii="Times New Roman" w:hAnsi="Times New Roman" w:cs="Times New Roman"/>
        </w:rPr>
        <w:t xml:space="preserve"> in the pilot study can differ between treatment and control groups for each bid type, even if the overall number of participants is similar. This occurs because participants do not bid on all packages. Nevertheless, as long as the sample size in each condition of the full study exceeds the required number, the study is sufficiently powered to detect the intended effect.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407E7B"/>
    <w:multiLevelType w:val="hybridMultilevel"/>
    <w:tmpl w:val="8F5E6D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C05D0D"/>
    <w:multiLevelType w:val="hybridMultilevel"/>
    <w:tmpl w:val="2CA045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7749127">
    <w:abstractNumId w:val="1"/>
  </w:num>
  <w:num w:numId="2" w16cid:durableId="1055157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3C93"/>
    <w:rsid w:val="00021F79"/>
    <w:rsid w:val="000538CA"/>
    <w:rsid w:val="000A1BB7"/>
    <w:rsid w:val="000E7900"/>
    <w:rsid w:val="000F631D"/>
    <w:rsid w:val="00111DBC"/>
    <w:rsid w:val="001511F9"/>
    <w:rsid w:val="00156AAA"/>
    <w:rsid w:val="001A7D5E"/>
    <w:rsid w:val="001D02C9"/>
    <w:rsid w:val="001D5BFA"/>
    <w:rsid w:val="002000DB"/>
    <w:rsid w:val="002763D1"/>
    <w:rsid w:val="0029006C"/>
    <w:rsid w:val="00295B8D"/>
    <w:rsid w:val="002A2090"/>
    <w:rsid w:val="002E613F"/>
    <w:rsid w:val="002F7BB4"/>
    <w:rsid w:val="00335427"/>
    <w:rsid w:val="00356678"/>
    <w:rsid w:val="00434885"/>
    <w:rsid w:val="00476854"/>
    <w:rsid w:val="004769B3"/>
    <w:rsid w:val="00495B06"/>
    <w:rsid w:val="004B5F88"/>
    <w:rsid w:val="00546E00"/>
    <w:rsid w:val="00561644"/>
    <w:rsid w:val="00567E15"/>
    <w:rsid w:val="005D752C"/>
    <w:rsid w:val="005F3163"/>
    <w:rsid w:val="00606880"/>
    <w:rsid w:val="006E2C5F"/>
    <w:rsid w:val="0079130E"/>
    <w:rsid w:val="007A6BBC"/>
    <w:rsid w:val="007B198A"/>
    <w:rsid w:val="007B2CA3"/>
    <w:rsid w:val="007C1710"/>
    <w:rsid w:val="007D734C"/>
    <w:rsid w:val="00803A16"/>
    <w:rsid w:val="00843A9E"/>
    <w:rsid w:val="0087328F"/>
    <w:rsid w:val="008B7E87"/>
    <w:rsid w:val="008D13A9"/>
    <w:rsid w:val="009322FA"/>
    <w:rsid w:val="009953B3"/>
    <w:rsid w:val="009E3C93"/>
    <w:rsid w:val="00A741F7"/>
    <w:rsid w:val="00AC3E83"/>
    <w:rsid w:val="00AF681A"/>
    <w:rsid w:val="00B013A3"/>
    <w:rsid w:val="00B20D18"/>
    <w:rsid w:val="00B345F2"/>
    <w:rsid w:val="00B5156F"/>
    <w:rsid w:val="00B803BF"/>
    <w:rsid w:val="00BB6E50"/>
    <w:rsid w:val="00BC4038"/>
    <w:rsid w:val="00C14CFD"/>
    <w:rsid w:val="00C35662"/>
    <w:rsid w:val="00C375D6"/>
    <w:rsid w:val="00C42BAD"/>
    <w:rsid w:val="00CA07A1"/>
    <w:rsid w:val="00CC140B"/>
    <w:rsid w:val="00CF2A75"/>
    <w:rsid w:val="00DE2F42"/>
    <w:rsid w:val="00E13A08"/>
    <w:rsid w:val="00E7068F"/>
    <w:rsid w:val="00EB4C15"/>
    <w:rsid w:val="00EE0C5E"/>
    <w:rsid w:val="00F01634"/>
    <w:rsid w:val="00F2190B"/>
    <w:rsid w:val="00F7617B"/>
    <w:rsid w:val="00F771C7"/>
    <w:rsid w:val="00FD3013"/>
    <w:rsid w:val="00FF1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B7D4"/>
  <w15:chartTrackingRefBased/>
  <w15:docId w15:val="{9B72FDC0-8B6E-4243-B540-F2A6B8376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3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3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C93"/>
    <w:rPr>
      <w:rFonts w:eastAsiaTheme="majorEastAsia" w:cstheme="majorBidi"/>
      <w:color w:val="272727" w:themeColor="text1" w:themeTint="D8"/>
    </w:rPr>
  </w:style>
  <w:style w:type="paragraph" w:styleId="Title">
    <w:name w:val="Title"/>
    <w:basedOn w:val="Normal"/>
    <w:next w:val="Normal"/>
    <w:link w:val="TitleChar"/>
    <w:uiPriority w:val="10"/>
    <w:qFormat/>
    <w:rsid w:val="009E3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C93"/>
    <w:pPr>
      <w:spacing w:before="160"/>
      <w:jc w:val="center"/>
    </w:pPr>
    <w:rPr>
      <w:i/>
      <w:iCs/>
      <w:color w:val="404040" w:themeColor="text1" w:themeTint="BF"/>
    </w:rPr>
  </w:style>
  <w:style w:type="character" w:customStyle="1" w:styleId="QuoteChar">
    <w:name w:val="Quote Char"/>
    <w:basedOn w:val="DefaultParagraphFont"/>
    <w:link w:val="Quote"/>
    <w:uiPriority w:val="29"/>
    <w:rsid w:val="009E3C93"/>
    <w:rPr>
      <w:i/>
      <w:iCs/>
      <w:color w:val="404040" w:themeColor="text1" w:themeTint="BF"/>
    </w:rPr>
  </w:style>
  <w:style w:type="paragraph" w:styleId="ListParagraph">
    <w:name w:val="List Paragraph"/>
    <w:basedOn w:val="Normal"/>
    <w:uiPriority w:val="34"/>
    <w:qFormat/>
    <w:rsid w:val="009E3C93"/>
    <w:pPr>
      <w:ind w:left="720"/>
      <w:contextualSpacing/>
    </w:pPr>
  </w:style>
  <w:style w:type="character" w:styleId="IntenseEmphasis">
    <w:name w:val="Intense Emphasis"/>
    <w:basedOn w:val="DefaultParagraphFont"/>
    <w:uiPriority w:val="21"/>
    <w:qFormat/>
    <w:rsid w:val="009E3C93"/>
    <w:rPr>
      <w:i/>
      <w:iCs/>
      <w:color w:val="0F4761" w:themeColor="accent1" w:themeShade="BF"/>
    </w:rPr>
  </w:style>
  <w:style w:type="paragraph" w:styleId="IntenseQuote">
    <w:name w:val="Intense Quote"/>
    <w:basedOn w:val="Normal"/>
    <w:next w:val="Normal"/>
    <w:link w:val="IntenseQuoteChar"/>
    <w:uiPriority w:val="30"/>
    <w:qFormat/>
    <w:rsid w:val="009E3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C93"/>
    <w:rPr>
      <w:i/>
      <w:iCs/>
      <w:color w:val="0F4761" w:themeColor="accent1" w:themeShade="BF"/>
    </w:rPr>
  </w:style>
  <w:style w:type="character" w:styleId="IntenseReference">
    <w:name w:val="Intense Reference"/>
    <w:basedOn w:val="DefaultParagraphFont"/>
    <w:uiPriority w:val="32"/>
    <w:qFormat/>
    <w:rsid w:val="009E3C93"/>
    <w:rPr>
      <w:b/>
      <w:bCs/>
      <w:smallCaps/>
      <w:color w:val="0F4761" w:themeColor="accent1" w:themeShade="BF"/>
      <w:spacing w:val="5"/>
    </w:rPr>
  </w:style>
  <w:style w:type="paragraph" w:styleId="Header">
    <w:name w:val="header"/>
    <w:basedOn w:val="Normal"/>
    <w:link w:val="HeaderChar"/>
    <w:uiPriority w:val="99"/>
    <w:unhideWhenUsed/>
    <w:rsid w:val="00546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6E00"/>
  </w:style>
  <w:style w:type="paragraph" w:styleId="Footer">
    <w:name w:val="footer"/>
    <w:basedOn w:val="Normal"/>
    <w:link w:val="FooterChar"/>
    <w:uiPriority w:val="99"/>
    <w:unhideWhenUsed/>
    <w:rsid w:val="00546E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6E00"/>
  </w:style>
  <w:style w:type="character" w:styleId="PlaceholderText">
    <w:name w:val="Placeholder Text"/>
    <w:basedOn w:val="DefaultParagraphFont"/>
    <w:uiPriority w:val="99"/>
    <w:semiHidden/>
    <w:rsid w:val="009953B3"/>
    <w:rPr>
      <w:color w:val="666666"/>
    </w:rPr>
  </w:style>
  <w:style w:type="paragraph" w:customStyle="1" w:styleId="bibliography">
    <w:name w:val="bibliography"/>
    <w:basedOn w:val="Normal"/>
    <w:rsid w:val="009953B3"/>
    <w:pPr>
      <w:spacing w:before="100" w:beforeAutospacing="1" w:after="100" w:afterAutospacing="1" w:line="240" w:lineRule="auto"/>
    </w:pPr>
    <w:rPr>
      <w:rFonts w:ascii="Times New Roman" w:hAnsi="Times New Roman" w:cs="Times New Roman"/>
      <w:kern w:val="0"/>
    </w:rPr>
  </w:style>
  <w:style w:type="character" w:styleId="Hyperlink">
    <w:name w:val="Hyperlink"/>
    <w:basedOn w:val="DefaultParagraphFont"/>
    <w:uiPriority w:val="99"/>
    <w:semiHidden/>
    <w:unhideWhenUsed/>
    <w:rsid w:val="009953B3"/>
    <w:rPr>
      <w:color w:val="0000FF"/>
      <w:u w:val="single"/>
    </w:rPr>
  </w:style>
  <w:style w:type="paragraph" w:styleId="FootnoteText">
    <w:name w:val="footnote text"/>
    <w:basedOn w:val="Normal"/>
    <w:link w:val="FootnoteTextChar"/>
    <w:uiPriority w:val="99"/>
    <w:semiHidden/>
    <w:unhideWhenUsed/>
    <w:rsid w:val="000538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38CA"/>
    <w:rPr>
      <w:sz w:val="20"/>
      <w:szCs w:val="20"/>
    </w:rPr>
  </w:style>
  <w:style w:type="character" w:styleId="FootnoteReference">
    <w:name w:val="footnote reference"/>
    <w:basedOn w:val="DefaultParagraphFont"/>
    <w:uiPriority w:val="99"/>
    <w:semiHidden/>
    <w:unhideWhenUsed/>
    <w:rsid w:val="000538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57140">
      <w:bodyDiv w:val="1"/>
      <w:marLeft w:val="0"/>
      <w:marRight w:val="0"/>
      <w:marTop w:val="0"/>
      <w:marBottom w:val="0"/>
      <w:divBdr>
        <w:top w:val="none" w:sz="0" w:space="0" w:color="auto"/>
        <w:left w:val="none" w:sz="0" w:space="0" w:color="auto"/>
        <w:bottom w:val="none" w:sz="0" w:space="0" w:color="auto"/>
        <w:right w:val="none" w:sz="0" w:space="0" w:color="auto"/>
      </w:divBdr>
    </w:div>
    <w:div w:id="314338709">
      <w:bodyDiv w:val="1"/>
      <w:marLeft w:val="0"/>
      <w:marRight w:val="0"/>
      <w:marTop w:val="0"/>
      <w:marBottom w:val="0"/>
      <w:divBdr>
        <w:top w:val="none" w:sz="0" w:space="0" w:color="auto"/>
        <w:left w:val="none" w:sz="0" w:space="0" w:color="auto"/>
        <w:bottom w:val="none" w:sz="0" w:space="0" w:color="auto"/>
        <w:right w:val="none" w:sz="0" w:space="0" w:color="auto"/>
      </w:divBdr>
    </w:div>
    <w:div w:id="440733575">
      <w:bodyDiv w:val="1"/>
      <w:marLeft w:val="0"/>
      <w:marRight w:val="0"/>
      <w:marTop w:val="0"/>
      <w:marBottom w:val="0"/>
      <w:divBdr>
        <w:top w:val="none" w:sz="0" w:space="0" w:color="auto"/>
        <w:left w:val="none" w:sz="0" w:space="0" w:color="auto"/>
        <w:bottom w:val="none" w:sz="0" w:space="0" w:color="auto"/>
        <w:right w:val="none" w:sz="0" w:space="0" w:color="auto"/>
      </w:divBdr>
    </w:div>
    <w:div w:id="695153771">
      <w:bodyDiv w:val="1"/>
      <w:marLeft w:val="0"/>
      <w:marRight w:val="0"/>
      <w:marTop w:val="0"/>
      <w:marBottom w:val="0"/>
      <w:divBdr>
        <w:top w:val="none" w:sz="0" w:space="0" w:color="auto"/>
        <w:left w:val="none" w:sz="0" w:space="0" w:color="auto"/>
        <w:bottom w:val="none" w:sz="0" w:space="0" w:color="auto"/>
        <w:right w:val="none" w:sz="0" w:space="0" w:color="auto"/>
      </w:divBdr>
    </w:div>
    <w:div w:id="845024812">
      <w:bodyDiv w:val="1"/>
      <w:marLeft w:val="0"/>
      <w:marRight w:val="0"/>
      <w:marTop w:val="0"/>
      <w:marBottom w:val="0"/>
      <w:divBdr>
        <w:top w:val="none" w:sz="0" w:space="0" w:color="auto"/>
        <w:left w:val="none" w:sz="0" w:space="0" w:color="auto"/>
        <w:bottom w:val="none" w:sz="0" w:space="0" w:color="auto"/>
        <w:right w:val="none" w:sz="0" w:space="0" w:color="auto"/>
      </w:divBdr>
    </w:div>
    <w:div w:id="1019308406">
      <w:bodyDiv w:val="1"/>
      <w:marLeft w:val="0"/>
      <w:marRight w:val="0"/>
      <w:marTop w:val="0"/>
      <w:marBottom w:val="0"/>
      <w:divBdr>
        <w:top w:val="none" w:sz="0" w:space="0" w:color="auto"/>
        <w:left w:val="none" w:sz="0" w:space="0" w:color="auto"/>
        <w:bottom w:val="none" w:sz="0" w:space="0" w:color="auto"/>
        <w:right w:val="none" w:sz="0" w:space="0" w:color="auto"/>
      </w:divBdr>
    </w:div>
    <w:div w:id="1048646793">
      <w:bodyDiv w:val="1"/>
      <w:marLeft w:val="0"/>
      <w:marRight w:val="0"/>
      <w:marTop w:val="0"/>
      <w:marBottom w:val="0"/>
      <w:divBdr>
        <w:top w:val="none" w:sz="0" w:space="0" w:color="auto"/>
        <w:left w:val="none" w:sz="0" w:space="0" w:color="auto"/>
        <w:bottom w:val="none" w:sz="0" w:space="0" w:color="auto"/>
        <w:right w:val="none" w:sz="0" w:space="0" w:color="auto"/>
      </w:divBdr>
    </w:div>
    <w:div w:id="1159230640">
      <w:bodyDiv w:val="1"/>
      <w:marLeft w:val="0"/>
      <w:marRight w:val="0"/>
      <w:marTop w:val="0"/>
      <w:marBottom w:val="0"/>
      <w:divBdr>
        <w:top w:val="none" w:sz="0" w:space="0" w:color="auto"/>
        <w:left w:val="none" w:sz="0" w:space="0" w:color="auto"/>
        <w:bottom w:val="none" w:sz="0" w:space="0" w:color="auto"/>
        <w:right w:val="none" w:sz="0" w:space="0" w:color="auto"/>
      </w:divBdr>
    </w:div>
    <w:div w:id="1460369900">
      <w:bodyDiv w:val="1"/>
      <w:marLeft w:val="0"/>
      <w:marRight w:val="0"/>
      <w:marTop w:val="0"/>
      <w:marBottom w:val="0"/>
      <w:divBdr>
        <w:top w:val="none" w:sz="0" w:space="0" w:color="auto"/>
        <w:left w:val="none" w:sz="0" w:space="0" w:color="auto"/>
        <w:bottom w:val="none" w:sz="0" w:space="0" w:color="auto"/>
        <w:right w:val="none" w:sz="0" w:space="0" w:color="auto"/>
      </w:divBdr>
    </w:div>
    <w:div w:id="1745492133">
      <w:bodyDiv w:val="1"/>
      <w:marLeft w:val="0"/>
      <w:marRight w:val="0"/>
      <w:marTop w:val="0"/>
      <w:marBottom w:val="0"/>
      <w:divBdr>
        <w:top w:val="none" w:sz="0" w:space="0" w:color="auto"/>
        <w:left w:val="none" w:sz="0" w:space="0" w:color="auto"/>
        <w:bottom w:val="none" w:sz="0" w:space="0" w:color="auto"/>
        <w:right w:val="none" w:sz="0" w:space="0" w:color="auto"/>
      </w:divBdr>
    </w:div>
    <w:div w:id="1768232935">
      <w:bodyDiv w:val="1"/>
      <w:marLeft w:val="0"/>
      <w:marRight w:val="0"/>
      <w:marTop w:val="0"/>
      <w:marBottom w:val="0"/>
      <w:divBdr>
        <w:top w:val="none" w:sz="0" w:space="0" w:color="auto"/>
        <w:left w:val="none" w:sz="0" w:space="0" w:color="auto"/>
        <w:bottom w:val="none" w:sz="0" w:space="0" w:color="auto"/>
        <w:right w:val="none" w:sz="0" w:space="0" w:color="auto"/>
      </w:divBdr>
    </w:div>
    <w:div w:id="1792673741">
      <w:bodyDiv w:val="1"/>
      <w:marLeft w:val="0"/>
      <w:marRight w:val="0"/>
      <w:marTop w:val="0"/>
      <w:marBottom w:val="0"/>
      <w:divBdr>
        <w:top w:val="none" w:sz="0" w:space="0" w:color="auto"/>
        <w:left w:val="none" w:sz="0" w:space="0" w:color="auto"/>
        <w:bottom w:val="none" w:sz="0" w:space="0" w:color="auto"/>
        <w:right w:val="none" w:sz="0" w:space="0" w:color="auto"/>
      </w:divBdr>
    </w:div>
    <w:div w:id="2065718066">
      <w:bodyDiv w:val="1"/>
      <w:marLeft w:val="0"/>
      <w:marRight w:val="0"/>
      <w:marTop w:val="0"/>
      <w:marBottom w:val="0"/>
      <w:divBdr>
        <w:top w:val="none" w:sz="0" w:space="0" w:color="auto"/>
        <w:left w:val="none" w:sz="0" w:space="0" w:color="auto"/>
        <w:bottom w:val="none" w:sz="0" w:space="0" w:color="auto"/>
        <w:right w:val="none" w:sz="0" w:space="0" w:color="auto"/>
      </w:divBdr>
      <w:divsChild>
        <w:div w:id="319620903">
          <w:marLeft w:val="0"/>
          <w:marRight w:val="0"/>
          <w:marTop w:val="0"/>
          <w:marBottom w:val="0"/>
          <w:divBdr>
            <w:top w:val="none" w:sz="0" w:space="0" w:color="auto"/>
            <w:left w:val="none" w:sz="0" w:space="0" w:color="auto"/>
            <w:bottom w:val="none" w:sz="0" w:space="0" w:color="auto"/>
            <w:right w:val="none" w:sz="0" w:space="0" w:color="auto"/>
          </w:divBdr>
        </w:div>
        <w:div w:id="2073457516">
          <w:marLeft w:val="0"/>
          <w:marRight w:val="0"/>
          <w:marTop w:val="0"/>
          <w:marBottom w:val="0"/>
          <w:divBdr>
            <w:top w:val="none" w:sz="0" w:space="0" w:color="auto"/>
            <w:left w:val="none" w:sz="0" w:space="0" w:color="auto"/>
            <w:bottom w:val="none" w:sz="0" w:space="0" w:color="auto"/>
            <w:right w:val="none" w:sz="0" w:space="0" w:color="auto"/>
          </w:divBdr>
        </w:div>
        <w:div w:id="1149321600">
          <w:marLeft w:val="0"/>
          <w:marRight w:val="0"/>
          <w:marTop w:val="0"/>
          <w:marBottom w:val="0"/>
          <w:divBdr>
            <w:top w:val="none" w:sz="0" w:space="0" w:color="auto"/>
            <w:left w:val="none" w:sz="0" w:space="0" w:color="auto"/>
            <w:bottom w:val="none" w:sz="0" w:space="0" w:color="auto"/>
            <w:right w:val="none" w:sz="0" w:space="0" w:color="auto"/>
          </w:divBdr>
        </w:div>
        <w:div w:id="665670003">
          <w:marLeft w:val="0"/>
          <w:marRight w:val="0"/>
          <w:marTop w:val="0"/>
          <w:marBottom w:val="0"/>
          <w:divBdr>
            <w:top w:val="none" w:sz="0" w:space="0" w:color="auto"/>
            <w:left w:val="none" w:sz="0" w:space="0" w:color="auto"/>
            <w:bottom w:val="none" w:sz="0" w:space="0" w:color="auto"/>
            <w:right w:val="none" w:sz="0" w:space="0" w:color="auto"/>
          </w:divBdr>
        </w:div>
        <w:div w:id="829096185">
          <w:marLeft w:val="0"/>
          <w:marRight w:val="0"/>
          <w:marTop w:val="0"/>
          <w:marBottom w:val="0"/>
          <w:divBdr>
            <w:top w:val="none" w:sz="0" w:space="0" w:color="auto"/>
            <w:left w:val="none" w:sz="0" w:space="0" w:color="auto"/>
            <w:bottom w:val="none" w:sz="0" w:space="0" w:color="auto"/>
            <w:right w:val="none" w:sz="0" w:space="0" w:color="auto"/>
          </w:divBdr>
        </w:div>
        <w:div w:id="2038238048">
          <w:marLeft w:val="0"/>
          <w:marRight w:val="0"/>
          <w:marTop w:val="0"/>
          <w:marBottom w:val="0"/>
          <w:divBdr>
            <w:top w:val="none" w:sz="0" w:space="0" w:color="auto"/>
            <w:left w:val="none" w:sz="0" w:space="0" w:color="auto"/>
            <w:bottom w:val="none" w:sz="0" w:space="0" w:color="auto"/>
            <w:right w:val="none" w:sz="0" w:space="0" w:color="auto"/>
          </w:divBdr>
        </w:div>
        <w:div w:id="1541168616">
          <w:marLeft w:val="0"/>
          <w:marRight w:val="0"/>
          <w:marTop w:val="0"/>
          <w:marBottom w:val="0"/>
          <w:divBdr>
            <w:top w:val="none" w:sz="0" w:space="0" w:color="auto"/>
            <w:left w:val="none" w:sz="0" w:space="0" w:color="auto"/>
            <w:bottom w:val="none" w:sz="0" w:space="0" w:color="auto"/>
            <w:right w:val="none" w:sz="0" w:space="0" w:color="auto"/>
          </w:divBdr>
        </w:div>
        <w:div w:id="937255638">
          <w:marLeft w:val="0"/>
          <w:marRight w:val="0"/>
          <w:marTop w:val="0"/>
          <w:marBottom w:val="0"/>
          <w:divBdr>
            <w:top w:val="none" w:sz="0" w:space="0" w:color="auto"/>
            <w:left w:val="none" w:sz="0" w:space="0" w:color="auto"/>
            <w:bottom w:val="none" w:sz="0" w:space="0" w:color="auto"/>
            <w:right w:val="none" w:sz="0" w:space="0" w:color="auto"/>
          </w:divBdr>
        </w:div>
      </w:divsChild>
    </w:div>
    <w:div w:id="209801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93/erae/jbz038" TargetMode="External"/><Relationship Id="rId4" Type="http://schemas.openxmlformats.org/officeDocument/2006/relationships/settings" Target="settings.xml"/><Relationship Id="rId9" Type="http://schemas.openxmlformats.org/officeDocument/2006/relationships/hyperlink" Target="https://doi.org/10.1111/ajae.12460"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630588C-9E6A-43D7-8C10-2DC33339F9B3}"/>
      </w:docPartPr>
      <w:docPartBody>
        <w:p w:rsidR="00000000" w:rsidRDefault="00C56908">
          <w:r w:rsidRPr="001572F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908"/>
    <w:rsid w:val="003B1ED3"/>
    <w:rsid w:val="00B803BF"/>
    <w:rsid w:val="00C56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690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65D145-657F-438A-A34B-30DFD9DAC750}">
  <we:reference id="wa104380917" version="1.0.1.0" store="en-US" storeType="OMEX"/>
  <we:alternateReferences>
    <we:reference id="WA104380917" version="1.0.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B9830-3442-4644-A26A-F1EC30F16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4321</TotalTime>
  <Pages>4</Pages>
  <Words>1030</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Yizhou</dc:creator>
  <cp:keywords/>
  <dc:description/>
  <cp:lastModifiedBy>Hua, Yizhou</cp:lastModifiedBy>
  <cp:revision>15</cp:revision>
  <dcterms:created xsi:type="dcterms:W3CDTF">2025-03-22T20:30:00Z</dcterms:created>
  <dcterms:modified xsi:type="dcterms:W3CDTF">2025-03-25T20:31:00Z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606f69-b0ae-4874-be30-7d43a3c7be10_Enabled">
    <vt:lpwstr>true</vt:lpwstr>
  </property>
  <property fmtid="{D5CDD505-2E9C-101B-9397-08002B2CF9AE}" pid="3" name="MSIP_Label_f7606f69-b0ae-4874-be30-7d43a3c7be10_SetDate">
    <vt:lpwstr>2025-03-23T16:18:19Z</vt:lpwstr>
  </property>
  <property fmtid="{D5CDD505-2E9C-101B-9397-08002B2CF9AE}" pid="4" name="MSIP_Label_f7606f69-b0ae-4874-be30-7d43a3c7be10_Method">
    <vt:lpwstr>Standard</vt:lpwstr>
  </property>
  <property fmtid="{D5CDD505-2E9C-101B-9397-08002B2CF9AE}" pid="5" name="MSIP_Label_f7606f69-b0ae-4874-be30-7d43a3c7be10_Name">
    <vt:lpwstr>defa4170-0d19-0005-0001-bc88714345d2</vt:lpwstr>
  </property>
  <property fmtid="{D5CDD505-2E9C-101B-9397-08002B2CF9AE}" pid="6" name="MSIP_Label_f7606f69-b0ae-4874-be30-7d43a3c7be10_SiteId">
    <vt:lpwstr>4130bd39-7c53-419c-b1e5-8758d6d63f21</vt:lpwstr>
  </property>
  <property fmtid="{D5CDD505-2E9C-101B-9397-08002B2CF9AE}" pid="7" name="MSIP_Label_f7606f69-b0ae-4874-be30-7d43a3c7be10_ActionId">
    <vt:lpwstr>6d9e4c69-43de-4009-8081-b49c2ea15a5d</vt:lpwstr>
  </property>
  <property fmtid="{D5CDD505-2E9C-101B-9397-08002B2CF9AE}" pid="8" name="MSIP_Label_f7606f69-b0ae-4874-be30-7d43a3c7be10_ContentBits">
    <vt:lpwstr>0</vt:lpwstr>
  </property>
  <property fmtid="{D5CDD505-2E9C-101B-9397-08002B2CF9AE}" pid="9" name="MSIP_Label_f7606f69-b0ae-4874-be30-7d43a3c7be10_Tag">
    <vt:lpwstr>10, 3, 0, 1</vt:lpwstr>
  </property>
</Properties>
</file>