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pBdr>
          <w:top w:space="0" w:sz="0" w:val="nil"/>
          <w:left w:space="0" w:sz="0" w:val="nil"/>
          <w:bottom w:space="0" w:sz="0" w:val="nil"/>
          <w:right w:space="0" w:sz="0" w:val="nil"/>
          <w:between w:space="0" w:sz="0" w:val="nil"/>
        </w:pBdr>
        <w:spacing w:line="276" w:lineRule="auto"/>
        <w:jc w:val="both"/>
        <w:rPr>
          <w:rFonts w:ascii="Arial" w:cs="Arial" w:eastAsia="Arial" w:hAnsi="Arial"/>
          <w:color w:val="000000"/>
          <w:u w:val="single"/>
        </w:rPr>
      </w:pPr>
      <w:r w:rsidDel="00000000" w:rsidR="00000000" w:rsidRPr="00000000">
        <w:rPr>
          <w:rFonts w:ascii="Arial" w:cs="Arial" w:eastAsia="Arial" w:hAnsi="Arial"/>
          <w:color w:val="000000"/>
          <w:u w:val="single"/>
          <w:rtl w:val="0"/>
        </w:rPr>
        <w:t xml:space="preserve">Determinants of Citizen Acceptability of Predictive Tools in Children’s Social Care</w:t>
      </w:r>
    </w:p>
    <w:p w:rsidR="00000000" w:rsidDel="00000000" w:rsidP="00000000" w:rsidRDefault="00000000" w:rsidRPr="00000000" w14:paraId="00000002">
      <w:pPr>
        <w:pStyle w:val="Title"/>
        <w:pBdr>
          <w:top w:space="0" w:sz="0" w:val="nil"/>
          <w:left w:space="0" w:sz="0" w:val="nil"/>
          <w:bottom w:space="0" w:sz="0" w:val="nil"/>
          <w:right w:space="0" w:sz="0" w:val="nil"/>
          <w:between w:space="0" w:sz="0" w:val="nil"/>
        </w:pBdr>
        <w:spacing w:line="276" w:lineRule="auto"/>
        <w:jc w:val="both"/>
        <w:rPr>
          <w:rFonts w:ascii="Arial" w:cs="Arial" w:eastAsia="Arial" w:hAnsi="Arial"/>
          <w:b w:val="0"/>
          <w:i w:val="1"/>
          <w:color w:val="000000"/>
          <w:sz w:val="24"/>
          <w:szCs w:val="24"/>
        </w:rPr>
      </w:pPr>
      <w:r w:rsidDel="00000000" w:rsidR="00000000" w:rsidRPr="00000000">
        <w:rPr>
          <w:rFonts w:ascii="Arial" w:cs="Arial" w:eastAsia="Arial" w:hAnsi="Arial"/>
          <w:b w:val="0"/>
          <w:i w:val="1"/>
          <w:color w:val="000000"/>
          <w:sz w:val="24"/>
          <w:szCs w:val="24"/>
          <w:rtl w:val="0"/>
        </w:rPr>
        <w:t xml:space="preserve">The contents here are modelled on the SPIRIT 2013 Statement (Chan et al., 2013), though some have been condensed as the trial is an online survey.</w:t>
      </w:r>
    </w:p>
    <w:p w:rsidR="00000000" w:rsidDel="00000000" w:rsidP="00000000" w:rsidRDefault="00000000" w:rsidRPr="00000000" w14:paraId="00000003">
      <w:pPr>
        <w:pStyle w:val="Title"/>
        <w:pBdr>
          <w:top w:space="0" w:sz="0" w:val="nil"/>
          <w:left w:space="0" w:sz="0" w:val="nil"/>
          <w:bottom w:space="0" w:sz="0" w:val="nil"/>
          <w:right w:space="0" w:sz="0" w:val="nil"/>
          <w:between w:space="0" w:sz="0" w:val="nil"/>
        </w:pBdr>
        <w:spacing w:line="276" w:lineRule="auto"/>
        <w:jc w:val="both"/>
        <w:rPr>
          <w:rFonts w:ascii="Arial" w:cs="Arial" w:eastAsia="Arial" w:hAnsi="Arial"/>
          <w:b w:val="0"/>
          <w:color w:val="000000"/>
          <w:sz w:val="24"/>
          <w:szCs w:val="24"/>
        </w:rPr>
      </w:pPr>
      <w:r w:rsidDel="00000000" w:rsidR="00000000" w:rsidRPr="00000000">
        <w:rPr>
          <w:rFonts w:ascii="Arial" w:cs="Arial" w:eastAsia="Arial" w:hAnsi="Arial"/>
          <w:color w:val="000000"/>
          <w:sz w:val="28"/>
          <w:szCs w:val="28"/>
          <w:rtl w:val="0"/>
        </w:rPr>
        <w:t xml:space="preserve">Author: </w:t>
      </w:r>
      <w:r w:rsidDel="00000000" w:rsidR="00000000" w:rsidRPr="00000000">
        <w:rPr>
          <w:rFonts w:ascii="Arial" w:cs="Arial" w:eastAsia="Arial" w:hAnsi="Arial"/>
          <w:b w:val="0"/>
          <w:color w:val="000000"/>
          <w:sz w:val="24"/>
          <w:szCs w:val="24"/>
          <w:rtl w:val="0"/>
        </w:rPr>
        <w:t xml:space="preserve">Daniel Bogiatzis-Gibbons (roles – trial design, implementation, analysis, publication)</w:t>
      </w:r>
    </w:p>
    <w:p w:rsidR="00000000" w:rsidDel="00000000" w:rsidP="00000000" w:rsidRDefault="00000000" w:rsidRPr="00000000" w14:paraId="00000004">
      <w:pPr>
        <w:pStyle w:val="Title"/>
        <w:pBdr>
          <w:top w:space="0" w:sz="0" w:val="nil"/>
          <w:left w:space="0" w:sz="0" w:val="nil"/>
          <w:bottom w:space="0" w:sz="0" w:val="nil"/>
          <w:right w:space="0" w:sz="0" w:val="nil"/>
          <w:between w:space="0" w:sz="0" w:val="nil"/>
        </w:pBdr>
        <w:spacing w:line="276" w:lineRule="auto"/>
        <w:jc w:val="both"/>
        <w:rPr>
          <w:rFonts w:ascii="Arial" w:cs="Arial" w:eastAsia="Arial" w:hAnsi="Arial"/>
          <w:b w:val="0"/>
          <w:color w:val="000000"/>
          <w:sz w:val="24"/>
          <w:szCs w:val="24"/>
        </w:rPr>
      </w:pPr>
      <w:r w:rsidDel="00000000" w:rsidR="00000000" w:rsidRPr="00000000">
        <w:rPr>
          <w:rFonts w:ascii="Arial" w:cs="Arial" w:eastAsia="Arial" w:hAnsi="Arial"/>
          <w:color w:val="000000"/>
          <w:sz w:val="28"/>
          <w:szCs w:val="28"/>
          <w:rtl w:val="0"/>
        </w:rPr>
        <w:t xml:space="preserve">Title</w:t>
      </w:r>
      <w:r w:rsidDel="00000000" w:rsidR="00000000" w:rsidRPr="00000000">
        <w:rPr>
          <w:rFonts w:ascii="Arial" w:cs="Arial" w:eastAsia="Arial" w:hAnsi="Arial"/>
          <w:b w:val="0"/>
          <w:color w:val="000000"/>
          <w:sz w:val="28"/>
          <w:szCs w:val="28"/>
          <w:rtl w:val="0"/>
        </w:rPr>
        <w:t xml:space="preserve">: </w:t>
      </w:r>
      <w:r w:rsidDel="00000000" w:rsidR="00000000" w:rsidRPr="00000000">
        <w:rPr>
          <w:rFonts w:ascii="Arial" w:cs="Arial" w:eastAsia="Arial" w:hAnsi="Arial"/>
          <w:b w:val="0"/>
          <w:color w:val="000000"/>
          <w:sz w:val="24"/>
          <w:szCs w:val="24"/>
          <w:rtl w:val="0"/>
        </w:rPr>
        <w:t xml:space="preserve">An Online Conjoint Experiment of UK Adults into Determinants of the Citizen Acceptability of Predictive Tools in Children’s Social Care</w:t>
      </w:r>
    </w:p>
    <w:p w:rsidR="00000000" w:rsidDel="00000000" w:rsidP="00000000" w:rsidRDefault="00000000" w:rsidRPr="00000000" w14:paraId="00000005">
      <w:pPr>
        <w:pStyle w:val="Title"/>
        <w:pBdr>
          <w:top w:space="0" w:sz="0" w:val="nil"/>
          <w:left w:space="0" w:sz="0" w:val="nil"/>
          <w:bottom w:space="0" w:sz="0" w:val="nil"/>
          <w:right w:space="0" w:sz="0" w:val="nil"/>
          <w:between w:space="0" w:sz="0" w:val="nil"/>
        </w:pBdr>
        <w:spacing w:line="276" w:lineRule="auto"/>
        <w:jc w:val="both"/>
        <w:rPr>
          <w:rFonts w:ascii="Arial" w:cs="Arial" w:eastAsia="Arial" w:hAnsi="Arial"/>
          <w:b w:val="0"/>
          <w:color w:val="000000"/>
          <w:sz w:val="24"/>
          <w:szCs w:val="24"/>
        </w:rPr>
      </w:pPr>
      <w:r w:rsidDel="00000000" w:rsidR="00000000" w:rsidRPr="00000000">
        <w:rPr>
          <w:rFonts w:ascii="Arial" w:cs="Arial" w:eastAsia="Arial" w:hAnsi="Arial"/>
          <w:color w:val="000000"/>
          <w:sz w:val="28"/>
          <w:szCs w:val="28"/>
          <w:rtl w:val="0"/>
        </w:rPr>
        <w:t xml:space="preserve">Trial Registration and Data Sharing</w:t>
      </w:r>
      <w:r w:rsidDel="00000000" w:rsidR="00000000" w:rsidRPr="00000000">
        <w:rPr>
          <w:rFonts w:ascii="Arial" w:cs="Arial" w:eastAsia="Arial" w:hAnsi="Arial"/>
          <w:b w:val="0"/>
          <w:color w:val="000000"/>
          <w:sz w:val="28"/>
          <w:szCs w:val="28"/>
          <w:rtl w:val="0"/>
        </w:rPr>
        <w:t xml:space="preserve">: </w:t>
      </w:r>
      <w:r w:rsidDel="00000000" w:rsidR="00000000" w:rsidRPr="00000000">
        <w:rPr>
          <w:rFonts w:ascii="Arial" w:cs="Arial" w:eastAsia="Arial" w:hAnsi="Arial"/>
          <w:b w:val="0"/>
          <w:color w:val="000000"/>
          <w:sz w:val="24"/>
          <w:szCs w:val="24"/>
          <w:rtl w:val="0"/>
        </w:rPr>
        <w:t xml:space="preserve">This experiment is registered on the AEA RCT Registry. As required by my ESRC funding, the data will be made available after publication through the UK Data Service: </w:t>
      </w:r>
      <w:hyperlink r:id="rId7">
        <w:r w:rsidDel="00000000" w:rsidR="00000000" w:rsidRPr="00000000">
          <w:rPr>
            <w:rFonts w:ascii="Arial" w:cs="Arial" w:eastAsia="Arial" w:hAnsi="Arial"/>
            <w:b w:val="0"/>
            <w:color w:val="1155cc"/>
            <w:sz w:val="24"/>
            <w:szCs w:val="24"/>
            <w:u w:val="single"/>
            <w:rtl w:val="0"/>
          </w:rPr>
          <w:t xml:space="preserve">https://ukdataservice.ac.uk/</w:t>
        </w:r>
      </w:hyperlink>
      <w:r w:rsidDel="00000000" w:rsidR="00000000" w:rsidRPr="00000000">
        <w:rPr>
          <w:rFonts w:ascii="Arial" w:cs="Arial" w:eastAsia="Arial" w:hAnsi="Arial"/>
          <w:b w:val="0"/>
          <w:color w:val="000000"/>
          <w:sz w:val="24"/>
          <w:szCs w:val="24"/>
          <w:rtl w:val="0"/>
        </w:rPr>
        <w:t xml:space="preserve">. Before this, data will only be accessible by myself, reviewers, and quality assurers.</w:t>
      </w:r>
    </w:p>
    <w:p w:rsidR="00000000" w:rsidDel="00000000" w:rsidP="00000000" w:rsidRDefault="00000000" w:rsidRPr="00000000" w14:paraId="00000006">
      <w:pPr>
        <w:pStyle w:val="Title"/>
        <w:spacing w:line="276" w:lineRule="auto"/>
        <w:jc w:val="both"/>
        <w:rPr>
          <w:rFonts w:ascii="Arial" w:cs="Arial" w:eastAsia="Arial" w:hAnsi="Arial"/>
          <w:b w:val="0"/>
          <w:color w:val="000000"/>
          <w:sz w:val="24"/>
          <w:szCs w:val="24"/>
        </w:rPr>
      </w:pPr>
      <w:bookmarkStart w:colFirst="0" w:colLast="0" w:name="_heading=h.bedk0uweckhq" w:id="0"/>
      <w:bookmarkEnd w:id="0"/>
      <w:r w:rsidDel="00000000" w:rsidR="00000000" w:rsidRPr="00000000">
        <w:rPr>
          <w:rFonts w:ascii="Arial" w:cs="Arial" w:eastAsia="Arial" w:hAnsi="Arial"/>
          <w:color w:val="000000"/>
          <w:sz w:val="28"/>
          <w:szCs w:val="28"/>
          <w:rtl w:val="0"/>
        </w:rPr>
        <w:t xml:space="preserve">Protocol Version: </w:t>
      </w:r>
      <w:r w:rsidDel="00000000" w:rsidR="00000000" w:rsidRPr="00000000">
        <w:rPr>
          <w:rFonts w:ascii="Arial" w:cs="Arial" w:eastAsia="Arial" w:hAnsi="Arial"/>
          <w:b w:val="0"/>
          <w:color w:val="000000"/>
          <w:sz w:val="24"/>
          <w:szCs w:val="24"/>
          <w:rtl w:val="0"/>
        </w:rPr>
        <w:t xml:space="preserve">4, 29/6/2025</w:t>
      </w:r>
    </w:p>
    <w:p w:rsidR="00000000" w:rsidDel="00000000" w:rsidP="00000000" w:rsidRDefault="00000000" w:rsidRPr="00000000" w14:paraId="00000007">
      <w:pPr>
        <w:pStyle w:val="Title"/>
        <w:spacing w:line="276" w:lineRule="auto"/>
        <w:jc w:val="both"/>
        <w:rPr>
          <w:rFonts w:ascii="Arial" w:cs="Arial" w:eastAsia="Arial" w:hAnsi="Arial"/>
          <w:b w:val="0"/>
          <w:sz w:val="24"/>
          <w:szCs w:val="24"/>
        </w:rPr>
      </w:pPr>
      <w:bookmarkStart w:colFirst="0" w:colLast="0" w:name="_heading=h.29lckqfspxeu" w:id="1"/>
      <w:bookmarkEnd w:id="1"/>
      <w:r w:rsidDel="00000000" w:rsidR="00000000" w:rsidRPr="00000000">
        <w:rPr>
          <w:rFonts w:ascii="Arial" w:cs="Arial" w:eastAsia="Arial" w:hAnsi="Arial"/>
          <w:color w:val="000000"/>
          <w:sz w:val="28"/>
          <w:szCs w:val="28"/>
          <w:rtl w:val="0"/>
        </w:rPr>
        <w:t xml:space="preserve">Protocol Amendments: </w:t>
      </w:r>
      <w:r w:rsidDel="00000000" w:rsidR="00000000" w:rsidRPr="00000000">
        <w:rPr>
          <w:rFonts w:ascii="Arial" w:cs="Arial" w:eastAsia="Arial" w:hAnsi="Arial"/>
          <w:b w:val="0"/>
          <w:color w:val="000000"/>
          <w:sz w:val="24"/>
          <w:szCs w:val="24"/>
          <w:rtl w:val="0"/>
        </w:rPr>
        <w:t xml:space="preserve">This protocol will not be modified after it is uploaded to the AEA RCT Registry.</w:t>
      </w:r>
      <w:r w:rsidDel="00000000" w:rsidR="00000000" w:rsidRPr="00000000">
        <w:rPr>
          <w:rtl w:val="0"/>
        </w:rPr>
      </w:r>
    </w:p>
    <w:p w:rsidR="00000000" w:rsidDel="00000000" w:rsidP="00000000" w:rsidRDefault="00000000" w:rsidRPr="00000000" w14:paraId="00000008">
      <w:pPr>
        <w:pStyle w:val="Title"/>
        <w:spacing w:line="276" w:lineRule="auto"/>
        <w:jc w:val="both"/>
        <w:rPr>
          <w:rFonts w:ascii="Arial" w:cs="Arial" w:eastAsia="Arial" w:hAnsi="Arial"/>
        </w:rPr>
      </w:pPr>
      <w:bookmarkStart w:colFirst="0" w:colLast="0" w:name="_heading=h.4yucm88yqzk9" w:id="2"/>
      <w:bookmarkEnd w:id="2"/>
      <w:r w:rsidDel="00000000" w:rsidR="00000000" w:rsidRPr="00000000">
        <w:rPr>
          <w:rFonts w:ascii="Arial" w:cs="Arial" w:eastAsia="Arial" w:hAnsi="Arial"/>
          <w:color w:val="000000"/>
          <w:sz w:val="28"/>
          <w:szCs w:val="28"/>
          <w:rtl w:val="0"/>
        </w:rPr>
        <w:t xml:space="preserve">Funding: </w:t>
      </w:r>
      <w:r w:rsidDel="00000000" w:rsidR="00000000" w:rsidRPr="00000000">
        <w:rPr>
          <w:rFonts w:ascii="Arial" w:cs="Arial" w:eastAsia="Arial" w:hAnsi="Arial"/>
          <w:b w:val="0"/>
          <w:color w:val="000000"/>
          <w:sz w:val="24"/>
          <w:szCs w:val="24"/>
          <w:rtl w:val="0"/>
        </w:rPr>
        <w:t xml:space="preserve">The participant payments will be funded by the ESRC’s Advanced Quantitative Methods stipend, though the ESRC had no input into this experiment’s design.</w:t>
      </w:r>
      <w:r w:rsidDel="00000000" w:rsidR="00000000" w:rsidRPr="00000000">
        <w:rPr>
          <w:rtl w:val="0"/>
        </w:rPr>
      </w:r>
    </w:p>
    <w:p w:rsidR="00000000" w:rsidDel="00000000" w:rsidP="00000000" w:rsidRDefault="00000000" w:rsidRPr="00000000" w14:paraId="00000009">
      <w:pPr>
        <w:pStyle w:val="Title"/>
        <w:spacing w:line="276" w:lineRule="auto"/>
        <w:jc w:val="both"/>
        <w:rPr>
          <w:rFonts w:ascii="Arial" w:cs="Arial" w:eastAsia="Arial" w:hAnsi="Arial"/>
          <w:color w:val="000000"/>
          <w:sz w:val="28"/>
          <w:szCs w:val="28"/>
        </w:rPr>
      </w:pPr>
      <w:bookmarkStart w:colFirst="0" w:colLast="0" w:name="_heading=h.3m82kerl4agx" w:id="3"/>
      <w:bookmarkEnd w:id="3"/>
      <w:r w:rsidDel="00000000" w:rsidR="00000000" w:rsidRPr="00000000">
        <w:rPr>
          <w:rFonts w:ascii="Arial" w:cs="Arial" w:eastAsia="Arial" w:hAnsi="Arial"/>
          <w:color w:val="000000"/>
          <w:sz w:val="28"/>
          <w:szCs w:val="28"/>
          <w:rtl w:val="0"/>
        </w:rPr>
        <w:t xml:space="preserve">Background and rationale: </w:t>
      </w:r>
    </w:p>
    <w:p w:rsidR="00000000" w:rsidDel="00000000" w:rsidP="00000000" w:rsidRDefault="00000000" w:rsidRPr="00000000" w14:paraId="0000000A">
      <w:pPr>
        <w:jc w:val="both"/>
        <w:rPr>
          <w:rFonts w:ascii="Arial" w:cs="Arial" w:eastAsia="Arial" w:hAnsi="Arial"/>
        </w:rPr>
      </w:pPr>
      <w:r w:rsidDel="00000000" w:rsidR="00000000" w:rsidRPr="00000000">
        <w:rPr>
          <w:rFonts w:ascii="Arial" w:cs="Arial" w:eastAsia="Arial" w:hAnsi="Arial"/>
          <w:rtl w:val="0"/>
        </w:rPr>
        <w:t xml:space="preserve">Predictive systems are increasingly being tested and deployed in children’s social care – from the Allegheny Family Screening Tool (see Allegheny County, 2019) to UK pilots in Hackney (Graham, 2017) and Bristol (Bristol City Council, 2024). That is despite concerns ranging from the potential for racial bias (Gerchick et al., 2023; Eubanks, 2018), legal concerns raised about the deployment of prediction on children prior to referrals being raised, and large-scale pilot studies showing model accuracy to be potentially very low (Clayton et al., 2020). This is particularly concerning because while there is a specialised regulator (the Office for Statistics Regulation) for the production of national statistics such as inflation or unemployment, there is no such body for ensuring high-quality predictive models are used by public bodies, including local councils. Therefore, understanding the determinants of whether predictive models would be seen as legitimate by the public is important in judging whether these models ought to be developed. </w:t>
      </w:r>
    </w:p>
    <w:p w:rsidR="00000000" w:rsidDel="00000000" w:rsidP="00000000" w:rsidRDefault="00000000" w:rsidRPr="00000000" w14:paraId="0000000B">
      <w:pPr>
        <w:jc w:val="both"/>
        <w:rPr>
          <w:rFonts w:ascii="Arial" w:cs="Arial" w:eastAsia="Arial" w:hAnsi="Arial"/>
        </w:rPr>
      </w:pPr>
      <w:r w:rsidDel="00000000" w:rsidR="00000000" w:rsidRPr="00000000">
        <w:rPr>
          <w:rFonts w:ascii="Arial" w:cs="Arial" w:eastAsia="Arial" w:hAnsi="Arial"/>
          <w:rtl w:val="0"/>
        </w:rPr>
        <w:t xml:space="preserve">More broadly, this experiment contributes to a literature on citizen acceptability of AI systems in public sector decision-making, which has been studied both in a permit-granting context (Horvath et al., 2023), in a medical diagnostic context (e.g., van der Veer et al., 2021; Ploug, 2021), and in public polling by the Alan Turing Institute (2023) across multiple policy domains. This experiment innovates on that literature in three ways: by considering explicitly how much participants are willing to trade off procedural safeguards for accuracy and mitigating bias, by considering a novel, high-stakes context which cannot be fully automated, and by considering more detailed measures of accuracy, including the tradeoff between investigating too many false positives and detecting true positives.</w:t>
      </w:r>
      <w:r w:rsidDel="00000000" w:rsidR="00000000" w:rsidRPr="00000000">
        <w:rPr>
          <w:rtl w:val="0"/>
        </w:rPr>
      </w:r>
    </w:p>
    <w:p w:rsidR="00000000" w:rsidDel="00000000" w:rsidP="00000000" w:rsidRDefault="00000000" w:rsidRPr="00000000" w14:paraId="0000000C">
      <w:pPr>
        <w:jc w:val="both"/>
        <w:rPr>
          <w:rFonts w:ascii="Arial" w:cs="Arial" w:eastAsia="Arial" w:hAnsi="Arial"/>
        </w:rPr>
      </w:pPr>
      <w:r w:rsidDel="00000000" w:rsidR="00000000" w:rsidRPr="00000000">
        <w:rPr>
          <w:rFonts w:ascii="Arial" w:cs="Arial" w:eastAsia="Arial" w:hAnsi="Arial"/>
          <w:rtl w:val="0"/>
        </w:rPr>
        <w:t xml:space="preserve">A second rationale for conducting this experiment is methodological innovation, particularly the application of parametric Random Utility Models (RUMs) to conjoint experiments in a political science context. These allow for the consideration of policy tradeoffs, correlated preferences (e.g., between different kinds of accuracy measurement), and estimation of how much preferences for attributes of an AI system vary across individuals, even on the basis of unobserved characteristics about a person.</w:t>
      </w:r>
    </w:p>
    <w:p w:rsidR="00000000" w:rsidDel="00000000" w:rsidP="00000000" w:rsidRDefault="00000000" w:rsidRPr="00000000" w14:paraId="0000000D">
      <w:pPr>
        <w:pStyle w:val="Title"/>
        <w:spacing w:line="276" w:lineRule="auto"/>
        <w:jc w:val="both"/>
        <w:rPr>
          <w:rFonts w:ascii="Arial" w:cs="Arial" w:eastAsia="Arial" w:hAnsi="Arial"/>
          <w:color w:val="000000"/>
          <w:sz w:val="28"/>
          <w:szCs w:val="28"/>
        </w:rPr>
      </w:pPr>
      <w:bookmarkStart w:colFirst="0" w:colLast="0" w:name="_heading=h.aboi0g6d7arg" w:id="4"/>
      <w:bookmarkEnd w:id="4"/>
      <w:r w:rsidDel="00000000" w:rsidR="00000000" w:rsidRPr="00000000">
        <w:rPr>
          <w:rFonts w:ascii="Arial" w:cs="Arial" w:eastAsia="Arial" w:hAnsi="Arial"/>
          <w:color w:val="000000"/>
          <w:sz w:val="28"/>
          <w:szCs w:val="28"/>
          <w:rtl w:val="0"/>
        </w:rPr>
        <w:t xml:space="preserve">Study Setting, Recruitment, Eligibility Criteria, and Data Collection:</w:t>
      </w:r>
    </w:p>
    <w:p w:rsidR="00000000" w:rsidDel="00000000" w:rsidP="00000000" w:rsidRDefault="00000000" w:rsidRPr="00000000" w14:paraId="0000000E">
      <w:pPr>
        <w:spacing w:line="276" w:lineRule="auto"/>
        <w:jc w:val="both"/>
        <w:rPr>
          <w:rFonts w:ascii="Arial" w:cs="Arial" w:eastAsia="Arial" w:hAnsi="Arial"/>
        </w:rPr>
      </w:pPr>
      <w:r w:rsidDel="00000000" w:rsidR="00000000" w:rsidRPr="00000000">
        <w:rPr>
          <w:rFonts w:ascii="Arial" w:cs="Arial" w:eastAsia="Arial" w:hAnsi="Arial"/>
          <w:rtl w:val="0"/>
        </w:rPr>
        <w:t xml:space="preserve">The study will be conducted as an online survey on the Prolific platform, with a survey population of UK adults balanced by the platform (Prolific, 2024) against census proportions on age in brackets of </w:t>
      </w:r>
      <w:r w:rsidDel="00000000" w:rsidR="00000000" w:rsidRPr="00000000">
        <w:rPr>
          <w:rFonts w:ascii="Arial" w:cs="Arial" w:eastAsia="Arial" w:hAnsi="Arial"/>
          <w:highlight w:val="white"/>
          <w:rtl w:val="0"/>
        </w:rPr>
        <w:t xml:space="preserve">18-24, 25-34, 35-44, 45-54 and 55+</w:t>
      </w:r>
      <w:r w:rsidDel="00000000" w:rsidR="00000000" w:rsidRPr="00000000">
        <w:rPr>
          <w:rFonts w:ascii="Arial" w:cs="Arial" w:eastAsia="Arial" w:hAnsi="Arial"/>
          <w:rtl w:val="0"/>
        </w:rPr>
        <w:t xml:space="preserve">, sex in a male/female binary, and ethnicity in ONS (2016) simplified categories of </w:t>
      </w:r>
      <w:r w:rsidDel="00000000" w:rsidR="00000000" w:rsidRPr="00000000">
        <w:rPr>
          <w:rFonts w:ascii="Arial" w:cs="Arial" w:eastAsia="Arial" w:hAnsi="Arial"/>
          <w:color w:val="454545"/>
          <w:highlight w:val="white"/>
          <w:rtl w:val="0"/>
        </w:rPr>
        <w:t xml:space="preserve">White, Mixed, Asian, Black and Other</w:t>
      </w:r>
      <w:r w:rsidDel="00000000" w:rsidR="00000000" w:rsidRPr="00000000">
        <w:rPr>
          <w:rFonts w:ascii="Arial" w:cs="Arial" w:eastAsia="Arial" w:hAnsi="Arial"/>
          <w:rtl w:val="0"/>
        </w:rPr>
        <w:t xml:space="preserve">. </w:t>
      </w:r>
    </w:p>
    <w:p w:rsidR="00000000" w:rsidDel="00000000" w:rsidP="00000000" w:rsidRDefault="00000000" w:rsidRPr="00000000" w14:paraId="0000000F">
      <w:pPr>
        <w:spacing w:line="276" w:lineRule="auto"/>
        <w:jc w:val="both"/>
        <w:rPr>
          <w:rFonts w:ascii="Arial" w:cs="Arial" w:eastAsia="Arial" w:hAnsi="Arial"/>
        </w:rPr>
      </w:pPr>
      <w:r w:rsidDel="00000000" w:rsidR="00000000" w:rsidRPr="00000000">
        <w:rPr>
          <w:rFonts w:ascii="Arial" w:cs="Arial" w:eastAsia="Arial" w:hAnsi="Arial"/>
          <w:rtl w:val="0"/>
        </w:rPr>
        <w:t xml:space="preserve">Douglas, Ewell, and Brauer (2023) found that Prolific has higher data quality than other platforms like Amazon’s Mechanical Turk and Qualtrics, or undergraduate student samples, which additionally are very unrepresentative of the general population. Online surveys have the significant advantage that they are cost-effective and can be used to ask questions to a larger sample of citizens than phone-based or in-person surveys.</w:t>
      </w:r>
    </w:p>
    <w:p w:rsidR="00000000" w:rsidDel="00000000" w:rsidP="00000000" w:rsidRDefault="00000000" w:rsidRPr="00000000" w14:paraId="00000010">
      <w:pPr>
        <w:spacing w:line="276" w:lineRule="auto"/>
        <w:jc w:val="both"/>
        <w:rPr>
          <w:rFonts w:ascii="Arial" w:cs="Arial" w:eastAsia="Arial" w:hAnsi="Arial"/>
        </w:rPr>
      </w:pPr>
      <w:r w:rsidDel="00000000" w:rsidR="00000000" w:rsidRPr="00000000">
        <w:rPr>
          <w:rFonts w:ascii="Arial" w:cs="Arial" w:eastAsia="Arial" w:hAnsi="Arial"/>
          <w:rtl w:val="0"/>
        </w:rPr>
        <w:t xml:space="preserve">It should be noted that this is not a procedure comparable to taking a random sample of the population because the participants are on an online survey platform. That may cause problems in this experiment with external validity because they need to be digitally literate enough to use the apps or websites that the platform uses to recruit participants. If the level of digital literacy is positively correlated with (say) support for using policing data in an AI system, then the estimated effect of using policing data would be too high compared with the general public. </w:t>
      </w:r>
    </w:p>
    <w:p w:rsidR="00000000" w:rsidDel="00000000" w:rsidP="00000000" w:rsidRDefault="00000000" w:rsidRPr="00000000" w14:paraId="00000011">
      <w:pPr>
        <w:spacing w:line="276" w:lineRule="auto"/>
        <w:jc w:val="both"/>
        <w:rPr>
          <w:rFonts w:ascii="Arial" w:cs="Arial" w:eastAsia="Arial" w:hAnsi="Arial"/>
          <w:color w:val="1f1f1f"/>
        </w:rPr>
      </w:pPr>
      <w:r w:rsidDel="00000000" w:rsidR="00000000" w:rsidRPr="00000000">
        <w:rPr>
          <w:rFonts w:ascii="Arial" w:cs="Arial" w:eastAsia="Arial" w:hAnsi="Arial"/>
          <w:rtl w:val="0"/>
        </w:rPr>
        <w:t xml:space="preserve">This experiment relies on participants stating their preferences for a hypothetical AI system, which might not accurately represent how they would make that choice in a real-world situation. For instance, economists have consistently found that participants overstate their willingness-to-pay for goods in so-called ‘stated preference’ scenarios, with some evidence that this is higher for public goods (Murphy et al., 2005). That said, given most people will not ever procure an AI system, there is not nor is likely to be appropriate ‘revealed preference’ data. Further, field trials can be much costlier and hypothetical surveys may still give a good indication of real preferences (see e.g. Falk et al. 2022 or Falk et al. 2018). Further, at least in an immigration context, Hainmueller, Hantgartner, and Yamamoto (2015) find that real-world decision-making and responses in an experimental context have congruent effects. Choice data, if not stated preferences, were also found to be good predictors of real-world preferences by Bauer, </w:t>
      </w:r>
      <w:r w:rsidDel="00000000" w:rsidR="00000000" w:rsidRPr="00000000">
        <w:rPr>
          <w:rFonts w:ascii="Arial" w:cs="Arial" w:eastAsia="Arial" w:hAnsi="Arial"/>
          <w:color w:val="1f1f1f"/>
          <w:rtl w:val="0"/>
        </w:rPr>
        <w:t xml:space="preserve">Chytilová, and Miguel (2020). </w:t>
      </w:r>
    </w:p>
    <w:p w:rsidR="00000000" w:rsidDel="00000000" w:rsidP="00000000" w:rsidRDefault="00000000" w:rsidRPr="00000000" w14:paraId="00000012">
      <w:pPr>
        <w:spacing w:line="276" w:lineRule="auto"/>
        <w:jc w:val="both"/>
        <w:rPr>
          <w:rFonts w:ascii="Arial" w:cs="Arial" w:eastAsia="Arial" w:hAnsi="Arial"/>
        </w:rPr>
      </w:pPr>
      <w:r w:rsidDel="00000000" w:rsidR="00000000" w:rsidRPr="00000000">
        <w:rPr>
          <w:rFonts w:ascii="Arial" w:cs="Arial" w:eastAsia="Arial" w:hAnsi="Arial"/>
          <w:rtl w:val="0"/>
        </w:rPr>
        <w:t xml:space="preserve">Data on participants' demographics has already been collected through the Prolific platform, and the questions that will be asked of participants are also on the AEA RCT Registry. </w:t>
      </w:r>
    </w:p>
    <w:p w:rsidR="00000000" w:rsidDel="00000000" w:rsidP="00000000" w:rsidRDefault="00000000" w:rsidRPr="00000000" w14:paraId="00000013">
      <w:pPr>
        <w:spacing w:line="276" w:lineRule="auto"/>
        <w:jc w:val="both"/>
        <w:rPr>
          <w:rFonts w:ascii="Arial" w:cs="Arial" w:eastAsia="Arial" w:hAnsi="Arial"/>
          <w:b w:val="1"/>
        </w:rPr>
      </w:pPr>
      <w:r w:rsidDel="00000000" w:rsidR="00000000" w:rsidRPr="00000000">
        <w:rPr>
          <w:rFonts w:ascii="Arial" w:cs="Arial" w:eastAsia="Arial" w:hAnsi="Arial"/>
          <w:b w:val="1"/>
          <w:color w:val="000000"/>
          <w:sz w:val="28"/>
          <w:szCs w:val="28"/>
          <w:rtl w:val="0"/>
        </w:rPr>
        <w:t xml:space="preserve">Trial</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b w:val="1"/>
          <w:color w:val="000000"/>
          <w:sz w:val="28"/>
          <w:szCs w:val="28"/>
          <w:rtl w:val="0"/>
        </w:rPr>
        <w:t xml:space="preserve">Design, Outcome, Allocation, and Interventions:</w:t>
      </w:r>
      <w:r w:rsidDel="00000000" w:rsidR="00000000" w:rsidRPr="00000000">
        <w:rPr>
          <w:rFonts w:ascii="Arial" w:cs="Arial" w:eastAsia="Arial" w:hAnsi="Arial"/>
          <w:b w:val="1"/>
          <w:sz w:val="24"/>
          <w:szCs w:val="24"/>
          <w:rtl w:val="0"/>
        </w:rPr>
        <w:t xml:space="preserve"> </w:t>
      </w:r>
      <w:r w:rsidDel="00000000" w:rsidR="00000000" w:rsidRPr="00000000">
        <w:rPr>
          <w:rtl w:val="0"/>
        </w:rPr>
      </w:r>
    </w:p>
    <w:p w:rsidR="00000000" w:rsidDel="00000000" w:rsidP="00000000" w:rsidRDefault="00000000" w:rsidRPr="00000000" w14:paraId="00000014">
      <w:pPr>
        <w:spacing w:line="276" w:lineRule="auto"/>
        <w:jc w:val="both"/>
        <w:rPr>
          <w:rFonts w:ascii="Arial" w:cs="Arial" w:eastAsia="Arial" w:hAnsi="Arial"/>
        </w:rPr>
      </w:pPr>
      <w:r w:rsidDel="00000000" w:rsidR="00000000" w:rsidRPr="00000000">
        <w:rPr>
          <w:rFonts w:ascii="Arial" w:cs="Arial" w:eastAsia="Arial" w:hAnsi="Arial"/>
          <w:b w:val="0"/>
          <w:color w:val="000000"/>
          <w:sz w:val="24"/>
          <w:szCs w:val="24"/>
          <w:rtl w:val="0"/>
        </w:rPr>
        <w:t xml:space="preserve">For an introduction to conjoint designs, please see Hainmueller, Hantgartner, and Yamamoto (2015), including the assumptions required for the validity of this design. The objective of a conjoint design is to investigate how a set of attributes affect participant choice, originally in a marketing context of products, but in a politics context it could be candidate choice or relate to public policy trade-offs.</w:t>
      </w:r>
      <w:r w:rsidDel="00000000" w:rsidR="00000000" w:rsidRPr="00000000">
        <w:rPr>
          <w:rtl w:val="0"/>
        </w:rPr>
      </w:r>
    </w:p>
    <w:p w:rsidR="00000000" w:rsidDel="00000000" w:rsidP="00000000" w:rsidRDefault="00000000" w:rsidRPr="00000000" w14:paraId="00000015">
      <w:pPr>
        <w:spacing w:line="276" w:lineRule="auto"/>
        <w:jc w:val="both"/>
        <w:rPr>
          <w:rFonts w:ascii="Arial" w:cs="Arial" w:eastAsia="Arial" w:hAnsi="Arial"/>
        </w:rPr>
      </w:pPr>
      <w:r w:rsidDel="00000000" w:rsidR="00000000" w:rsidRPr="00000000">
        <w:rPr>
          <w:rFonts w:ascii="Arial" w:cs="Arial" w:eastAsia="Arial" w:hAnsi="Arial"/>
          <w:b w:val="0"/>
          <w:color w:val="000000"/>
          <w:sz w:val="24"/>
          <w:szCs w:val="24"/>
          <w:rtl w:val="0"/>
        </w:rPr>
        <w:t xml:space="preserve">This trial will be run using an online choice-based conjoint experiment, where, in each of the six choice situations, participants must pick which of the two profiles they prefer with randomised attributes. The order of the attributes will be randomised across participants, but constant for each participant over each of the choice situations. A seventh choice situation with the options of the first choice situation flipped will be used as a respondent reliability check, see Statistical Methods section. Multiple choice situations are used to see how participant choice varies as attributes change, without the requirement for participants to see </w:t>
      </w:r>
      <w:r w:rsidDel="00000000" w:rsidR="00000000" w:rsidRPr="00000000">
        <w:rPr>
          <w:rFonts w:ascii="Arial" w:cs="Arial" w:eastAsia="Arial" w:hAnsi="Arial"/>
          <w:b w:val="0"/>
          <w:i w:val="1"/>
          <w:color w:val="000000"/>
          <w:sz w:val="24"/>
          <w:szCs w:val="24"/>
          <w:rtl w:val="0"/>
        </w:rPr>
        <w:t xml:space="preserve">all </w:t>
      </w:r>
      <w:r w:rsidDel="00000000" w:rsidR="00000000" w:rsidRPr="00000000">
        <w:rPr>
          <w:rFonts w:ascii="Arial" w:cs="Arial" w:eastAsia="Arial" w:hAnsi="Arial"/>
          <w:b w:val="0"/>
          <w:color w:val="000000"/>
          <w:sz w:val="24"/>
          <w:szCs w:val="24"/>
          <w:rtl w:val="0"/>
        </w:rPr>
        <w:t xml:space="preserve">potential variation.</w:t>
      </w:r>
      <w:r w:rsidDel="00000000" w:rsidR="00000000" w:rsidRPr="00000000">
        <w:rPr>
          <w:rtl w:val="0"/>
        </w:rPr>
      </w:r>
    </w:p>
    <w:p w:rsidR="00000000" w:rsidDel="00000000" w:rsidP="00000000" w:rsidRDefault="00000000" w:rsidRPr="00000000" w14:paraId="00000016">
      <w:pPr>
        <w:spacing w:line="276" w:lineRule="auto"/>
        <w:jc w:val="both"/>
        <w:rPr>
          <w:rFonts w:ascii="Arial" w:cs="Arial" w:eastAsia="Arial" w:hAnsi="Arial"/>
          <w:b w:val="0"/>
          <w:color w:val="000000"/>
          <w:sz w:val="24"/>
          <w:szCs w:val="24"/>
        </w:rPr>
      </w:pPr>
      <w:r w:rsidDel="00000000" w:rsidR="00000000" w:rsidRPr="00000000">
        <w:rPr>
          <w:rFonts w:ascii="Arial" w:cs="Arial" w:eastAsia="Arial" w:hAnsi="Arial"/>
          <w:b w:val="0"/>
          <w:color w:val="000000"/>
          <w:sz w:val="24"/>
          <w:szCs w:val="24"/>
          <w:rtl w:val="0"/>
        </w:rPr>
        <w:t xml:space="preserve">The conjoint design means, in effect, the profiles are ‘fictional’ or about potential predictive systems, rather than actually developed real-world ones. Those profiles here are AI systems for screening children where there has been a referral from a police officer, teacher, or member of the public. The term ‘AI system’ will be avoided in favour of ‘data-based tool’ because some comments from the survey described in Annex 1 showed that understanding what an AI system means differs between individuals (as indeed, it does between individual academics).</w:t>
      </w:r>
    </w:p>
    <w:p w:rsidR="00000000" w:rsidDel="00000000" w:rsidP="00000000" w:rsidRDefault="00000000" w:rsidRPr="00000000" w14:paraId="00000017">
      <w:pPr>
        <w:pStyle w:val="Title"/>
        <w:spacing w:line="276" w:lineRule="auto"/>
        <w:jc w:val="both"/>
        <w:rPr>
          <w:rFonts w:ascii="Arial" w:cs="Arial" w:eastAsia="Arial" w:hAnsi="Arial"/>
        </w:rPr>
      </w:pPr>
      <w:bookmarkStart w:colFirst="0" w:colLast="0" w:name="_heading=h.bl403g1zcfps" w:id="5"/>
      <w:bookmarkEnd w:id="5"/>
      <w:r w:rsidDel="00000000" w:rsidR="00000000" w:rsidRPr="00000000">
        <w:rPr>
          <w:rFonts w:ascii="Arial" w:cs="Arial" w:eastAsia="Arial" w:hAnsi="Arial"/>
          <w:b w:val="0"/>
          <w:color w:val="000000"/>
          <w:sz w:val="24"/>
          <w:szCs w:val="24"/>
          <w:rtl w:val="0"/>
        </w:rPr>
        <w:t xml:space="preserve">The systems will be explained as consisting of a human social worker deciding whether or not to escalate a referral with a choice of two available predictive models using the following attributes:</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 Use of the AI system, "How the program is used by social workers in decisions made about children" (levels: The program makes a preliminary decision that the social worker must override to change; The program only makes a recommendation to the social worker)</w:t>
      </w:r>
    </w:p>
    <w:p w:rsidR="00000000" w:rsidDel="00000000" w:rsidP="00000000" w:rsidRDefault="00000000" w:rsidRPr="00000000" w14:paraId="00000019">
      <w:pPr>
        <w:rPr/>
      </w:pPr>
      <w:r w:rsidDel="00000000" w:rsidR="00000000" w:rsidRPr="00000000">
        <w:rPr>
          <w:rtl w:val="0"/>
        </w:rPr>
        <w:t xml:space="preserve">- Measuring overall transparency, "Information about the program is:" (levels: Easy to understand and publicly available; Hard to understand without expert advice, but publicly available; Not publicly available)</w:t>
      </w:r>
    </w:p>
    <w:p w:rsidR="00000000" w:rsidDel="00000000" w:rsidP="00000000" w:rsidRDefault="00000000" w:rsidRPr="00000000" w14:paraId="0000001A">
      <w:pPr>
        <w:rPr/>
      </w:pPr>
      <w:r w:rsidDel="00000000" w:rsidR="00000000" w:rsidRPr="00000000">
        <w:rPr>
          <w:rtl w:val="0"/>
        </w:rPr>
        <w:t xml:space="preserve">- Measuring transparency in individual decisions "For each specific child, information about how the program made a prediction is:" (levels:  </w:t>
      </w:r>
    </w:p>
    <w:p w:rsidR="00000000" w:rsidDel="00000000" w:rsidP="00000000" w:rsidRDefault="00000000" w:rsidRPr="00000000" w14:paraId="0000001B">
      <w:pPr>
        <w:rPr/>
      </w:pPr>
      <w:r w:rsidDel="00000000" w:rsidR="00000000" w:rsidRPr="00000000">
        <w:rPr>
          <w:rtl w:val="0"/>
        </w:rPr>
        <w:t xml:space="preserve">- How many fewer at-risk children had their cases incorrectly closed (levels: 0, 2, 4, 6, 8, 10) Note for context: background includes information that for social workers alone "10 children from every 100 referred children were at risk of harm, but were missed by social workers, and their cases were closed".</w:t>
      </w:r>
    </w:p>
    <w:p w:rsidR="00000000" w:rsidDel="00000000" w:rsidP="00000000" w:rsidRDefault="00000000" w:rsidRPr="00000000" w14:paraId="0000001C">
      <w:pPr>
        <w:rPr/>
      </w:pPr>
      <w:r w:rsidDel="00000000" w:rsidR="00000000" w:rsidRPr="00000000">
        <w:rPr>
          <w:rtl w:val="0"/>
        </w:rPr>
        <w:t xml:space="preserve">-  How many fewer safe children had their cases incorrectly progressed (levels: 0, 2, 4, 6, 8, 10) Note for context: background includes information that for social workers alone "10 children from every 100 referred children were not at risk of harm, but were incorrectly progressed to further investigation".</w:t>
      </w:r>
      <w:r w:rsidDel="00000000" w:rsidR="00000000" w:rsidRPr="00000000">
        <w:rPr>
          <w:rtl w:val="0"/>
        </w:rPr>
      </w:r>
    </w:p>
    <w:p w:rsidR="00000000" w:rsidDel="00000000" w:rsidP="00000000" w:rsidRDefault="00000000" w:rsidRPr="00000000" w14:paraId="0000001D">
      <w:pPr>
        <w:spacing w:line="276" w:lineRule="auto"/>
        <w:jc w:val="both"/>
        <w:rPr/>
      </w:pPr>
      <w:r w:rsidDel="00000000" w:rsidR="00000000" w:rsidRPr="00000000">
        <w:rPr>
          <w:rtl w:val="0"/>
        </w:rPr>
        <w:t xml:space="preserve">In particular, these attributes were chosen for the following reasons:</w:t>
      </w:r>
    </w:p>
    <w:sdt>
      <w:sdtPr>
        <w:lock w:val="contentLocked"/>
        <w:id w:val="1644089575"/>
        <w:tag w:val="goog_rdk_0"/>
      </w:sdtPr>
      <w:sdtContent>
        <w:tbl>
          <w:tblPr>
            <w:tblStyle w:val="Table1"/>
            <w:tblW w:w="90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05"/>
            <w:gridCol w:w="3885"/>
            <w:gridCol w:w="2700"/>
            <w:tblGridChange w:id="0">
              <w:tblGrid>
                <w:gridCol w:w="2505"/>
                <w:gridCol w:w="3885"/>
                <w:gridCol w:w="270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Fonts w:ascii="Arial" w:cs="Arial" w:eastAsia="Arial" w:hAnsi="Arial"/>
                    <w:rtl w:val="0"/>
                  </w:rPr>
                  <w:t xml:space="preserve">Attribute</w:t>
                </w:r>
              </w:p>
            </w:tc>
            <w:tc>
              <w:tcPr>
                <w:shd w:fill="auto" w:val="clear"/>
                <w:tcMar>
                  <w:top w:w="100.0" w:type="dxa"/>
                  <w:left w:w="100.0" w:type="dxa"/>
                  <w:bottom w:w="100.0" w:type="dxa"/>
                  <w:right w:w="100.0" w:type="dxa"/>
                </w:tcMar>
              </w:tcPr>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Fonts w:ascii="Arial" w:cs="Arial" w:eastAsia="Arial" w:hAnsi="Arial"/>
                    <w:rtl w:val="0"/>
                  </w:rPr>
                  <w:t xml:space="preserve">Justification</w:t>
                </w:r>
              </w:p>
            </w:tc>
            <w:tc>
              <w:tcPr>
                <w:shd w:fill="auto" w:val="clear"/>
                <w:tcMar>
                  <w:top w:w="100.0" w:type="dxa"/>
                  <w:left w:w="100.0" w:type="dxa"/>
                  <w:bottom w:w="100.0" w:type="dxa"/>
                  <w:right w:w="100.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Fonts w:ascii="Arial" w:cs="Arial" w:eastAsia="Arial" w:hAnsi="Arial"/>
                    <w:rtl w:val="0"/>
                  </w:rPr>
                  <w:t xml:space="preserve">Levels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Fonts w:ascii="Arial" w:cs="Arial" w:eastAsia="Arial" w:hAnsi="Arial"/>
                    <w:rtl w:val="0"/>
                  </w:rPr>
                  <w:t xml:space="preserve">Global Explainability and transparency</w:t>
                </w:r>
              </w:p>
            </w:tc>
            <w:tc>
              <w:tcPr>
                <w:shd w:fill="auto" w:val="clea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Fonts w:ascii="Arial" w:cs="Arial" w:eastAsia="Arial" w:hAnsi="Arial"/>
                    <w:rtl w:val="0"/>
                  </w:rPr>
                  <w:t xml:space="preserve">As predictive models are often complex, there has become a significant concern among the machine learning community to ensure models are explainable (see Molnar, 2024 for a lucid summary). ‘Global’ here refers to the overall functioning of the model.</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Fonts w:ascii="Arial" w:cs="Arial" w:eastAsia="Arial" w:hAnsi="Arial"/>
                    <w:rtl w:val="0"/>
                  </w:rPr>
                  <w:t xml:space="preserve">In a public context, this sits alongside concern about transparency, which was also tested as an attribute in Horvath et al. (2023).</w:t>
                </w:r>
              </w:p>
            </w:tc>
            <w:tc>
              <w:tcPr>
                <w:shd w:fill="auto" w:val="clear"/>
                <w:tcMar>
                  <w:top w:w="100.0" w:type="dxa"/>
                  <w:left w:w="100.0" w:type="dxa"/>
                  <w:bottom w:w="100.0" w:type="dxa"/>
                  <w:right w:w="100.0" w:type="dxa"/>
                </w:tcMar>
              </w:tcPr>
              <w:p w:rsidR="00000000" w:rsidDel="00000000" w:rsidP="00000000" w:rsidRDefault="00000000" w:rsidRPr="00000000" w14:paraId="00000025">
                <w:pPr>
                  <w:spacing w:line="276" w:lineRule="auto"/>
                  <w:jc w:val="both"/>
                  <w:rPr>
                    <w:rFonts w:ascii="Arial" w:cs="Arial" w:eastAsia="Arial" w:hAnsi="Arial"/>
                  </w:rPr>
                </w:pPr>
                <w:r w:rsidDel="00000000" w:rsidR="00000000" w:rsidRPr="00000000">
                  <w:rPr>
                    <w:rFonts w:ascii="Arial" w:cs="Arial" w:eastAsia="Arial" w:hAnsi="Arial"/>
                    <w:rtl w:val="0"/>
                  </w:rPr>
                  <w:t xml:space="preserve">Information about what data is used in the tool, how it weighs up that data, and how it is used by social workers is…</w:t>
                </w:r>
              </w:p>
              <w:p w:rsidR="00000000" w:rsidDel="00000000" w:rsidP="00000000" w:rsidRDefault="00000000" w:rsidRPr="00000000" w14:paraId="00000026">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7">
                <w:pPr>
                  <w:spacing w:line="276" w:lineRule="auto"/>
                  <w:jc w:val="both"/>
                  <w:rPr>
                    <w:rFonts w:ascii="Arial" w:cs="Arial" w:eastAsia="Arial" w:hAnsi="Arial"/>
                  </w:rPr>
                </w:pPr>
                <w:r w:rsidDel="00000000" w:rsidR="00000000" w:rsidRPr="00000000">
                  <w:rPr>
                    <w:rFonts w:ascii="Arial" w:cs="Arial" w:eastAsia="Arial" w:hAnsi="Arial"/>
                    <w:rtl w:val="0"/>
                  </w:rPr>
                  <w:t xml:space="preserve">Easy to understand and is openly available to the public</w:t>
                </w:r>
              </w:p>
              <w:p w:rsidR="00000000" w:rsidDel="00000000" w:rsidP="00000000" w:rsidRDefault="00000000" w:rsidRPr="00000000" w14:paraId="00000028">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9">
                <w:pPr>
                  <w:spacing w:line="276" w:lineRule="auto"/>
                  <w:jc w:val="both"/>
                  <w:rPr>
                    <w:rFonts w:ascii="Arial" w:cs="Arial" w:eastAsia="Arial" w:hAnsi="Arial"/>
                  </w:rPr>
                </w:pPr>
                <w:r w:rsidDel="00000000" w:rsidR="00000000" w:rsidRPr="00000000">
                  <w:rPr>
                    <w:rFonts w:ascii="Arial" w:cs="Arial" w:eastAsia="Arial" w:hAnsi="Arial"/>
                    <w:rtl w:val="0"/>
                  </w:rPr>
                  <w:t xml:space="preserve">is openly available to the public but hard to understand without expert advice</w:t>
                </w:r>
              </w:p>
              <w:p w:rsidR="00000000" w:rsidDel="00000000" w:rsidP="00000000" w:rsidRDefault="00000000" w:rsidRPr="00000000" w14:paraId="0000002A">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B">
                <w:pPr>
                  <w:spacing w:line="276" w:lineRule="auto"/>
                  <w:jc w:val="both"/>
                  <w:rPr>
                    <w:rFonts w:ascii="Arial" w:cs="Arial" w:eastAsia="Arial" w:hAnsi="Arial"/>
                  </w:rPr>
                </w:pPr>
                <w:r w:rsidDel="00000000" w:rsidR="00000000" w:rsidRPr="00000000">
                  <w:rPr>
                    <w:rFonts w:ascii="Arial" w:cs="Arial" w:eastAsia="Arial" w:hAnsi="Arial"/>
                    <w:rtl w:val="0"/>
                  </w:rPr>
                  <w:t xml:space="preserve">is not disclosed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C">
                <w:pPr>
                  <w:widowControl w:val="0"/>
                  <w:spacing w:after="0" w:line="276" w:lineRule="auto"/>
                  <w:rPr>
                    <w:rFonts w:ascii="Arial" w:cs="Arial" w:eastAsia="Arial" w:hAnsi="Arial"/>
                  </w:rPr>
                </w:pPr>
                <w:r w:rsidDel="00000000" w:rsidR="00000000" w:rsidRPr="00000000">
                  <w:rPr>
                    <w:rFonts w:ascii="Arial" w:cs="Arial" w:eastAsia="Arial" w:hAnsi="Arial"/>
                    <w:rtl w:val="0"/>
                  </w:rPr>
                  <w:t xml:space="preserve">Local Explainability and transparency</w:t>
                </w:r>
              </w:p>
            </w:tc>
            <w:tc>
              <w:tcPr>
                <w:shd w:fill="auto" w:val="clear"/>
                <w:tcMar>
                  <w:top w:w="100.0" w:type="dxa"/>
                  <w:left w:w="100.0" w:type="dxa"/>
                  <w:bottom w:w="100.0" w:type="dxa"/>
                  <w:right w:w="100.0" w:type="dxa"/>
                </w:tcMar>
              </w:tcPr>
              <w:p w:rsidR="00000000" w:rsidDel="00000000" w:rsidP="00000000" w:rsidRDefault="00000000" w:rsidRPr="00000000" w14:paraId="0000002D">
                <w:pPr>
                  <w:spacing w:line="276" w:lineRule="auto"/>
                  <w:jc w:val="both"/>
                  <w:rPr>
                    <w:rFonts w:ascii="Arial" w:cs="Arial" w:eastAsia="Arial" w:hAnsi="Arial"/>
                  </w:rPr>
                </w:pPr>
                <w:r w:rsidDel="00000000" w:rsidR="00000000" w:rsidRPr="00000000">
                  <w:rPr>
                    <w:rFonts w:ascii="Arial" w:cs="Arial" w:eastAsia="Arial" w:hAnsi="Arial"/>
                    <w:rtl w:val="0"/>
                  </w:rPr>
                  <w:t xml:space="preserve">Whether the specific decision rules used to make a prediction about an individual child are understandable and transparent. In machine learning models, these are distinct from so-called ‘global’ explainability, as in the last point, because models apply different weights or decision rules to different types of cases (Molnar, 2024). More generally, in decision systems, ‘global’ explanations might focus on the types of evidence or rules used to escalate cases, most of which will not apply to any given case. </w:t>
                </w:r>
              </w:p>
            </w:tc>
            <w:tc>
              <w:tcPr>
                <w:shd w:fill="auto" w:val="clear"/>
                <w:tcMar>
                  <w:top w:w="100.0" w:type="dxa"/>
                  <w:left w:w="100.0" w:type="dxa"/>
                  <w:bottom w:w="100.0" w:type="dxa"/>
                  <w:right w:w="100.0" w:type="dxa"/>
                </w:tcMar>
              </w:tcPr>
              <w:p w:rsidR="00000000" w:rsidDel="00000000" w:rsidP="00000000" w:rsidRDefault="00000000" w:rsidRPr="00000000" w14:paraId="0000002E">
                <w:pPr>
                  <w:spacing w:line="276" w:lineRule="auto"/>
                  <w:jc w:val="both"/>
                  <w:rPr>
                    <w:rFonts w:ascii="Arial" w:cs="Arial" w:eastAsia="Arial" w:hAnsi="Arial"/>
                  </w:rPr>
                </w:pPr>
                <w:r w:rsidDel="00000000" w:rsidR="00000000" w:rsidRPr="00000000">
                  <w:rPr>
                    <w:rFonts w:ascii="Arial" w:cs="Arial" w:eastAsia="Arial" w:hAnsi="Arial"/>
                    <w:rtl w:val="0"/>
                  </w:rPr>
                  <w:t xml:space="preserve">The reasoning behind a tool’s recommendation about an individual child is…</w:t>
                </w:r>
              </w:p>
              <w:p w:rsidR="00000000" w:rsidDel="00000000" w:rsidP="00000000" w:rsidRDefault="00000000" w:rsidRPr="00000000" w14:paraId="0000002F">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0">
                <w:pPr>
                  <w:spacing w:line="276" w:lineRule="auto"/>
                  <w:jc w:val="both"/>
                  <w:rPr>
                    <w:rFonts w:ascii="Arial" w:cs="Arial" w:eastAsia="Arial" w:hAnsi="Arial"/>
                  </w:rPr>
                </w:pPr>
                <w:r w:rsidDel="00000000" w:rsidR="00000000" w:rsidRPr="00000000">
                  <w:rPr>
                    <w:rFonts w:ascii="Arial" w:cs="Arial" w:eastAsia="Arial" w:hAnsi="Arial"/>
                    <w:rtl w:val="0"/>
                  </w:rPr>
                  <w:t xml:space="preserve">Easy to understand and openly available to the parents and social worker</w:t>
                </w:r>
              </w:p>
              <w:p w:rsidR="00000000" w:rsidDel="00000000" w:rsidP="00000000" w:rsidRDefault="00000000" w:rsidRPr="00000000" w14:paraId="00000031">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2">
                <w:pPr>
                  <w:spacing w:line="276" w:lineRule="auto"/>
                  <w:jc w:val="both"/>
                  <w:rPr>
                    <w:rFonts w:ascii="Arial" w:cs="Arial" w:eastAsia="Arial" w:hAnsi="Arial"/>
                  </w:rPr>
                </w:pPr>
                <w:r w:rsidDel="00000000" w:rsidR="00000000" w:rsidRPr="00000000">
                  <w:rPr>
                    <w:rFonts w:ascii="Arial" w:cs="Arial" w:eastAsia="Arial" w:hAnsi="Arial"/>
                    <w:rtl w:val="0"/>
                  </w:rPr>
                  <w:t xml:space="preserve">openly available to the parents and social worker but hard to understand without expert advice</w:t>
                </w:r>
              </w:p>
              <w:p w:rsidR="00000000" w:rsidDel="00000000" w:rsidP="00000000" w:rsidRDefault="00000000" w:rsidRPr="00000000" w14:paraId="00000033">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4">
                <w:pPr>
                  <w:spacing w:line="276" w:lineRule="auto"/>
                  <w:jc w:val="both"/>
                  <w:rPr>
                    <w:rFonts w:ascii="Arial" w:cs="Arial" w:eastAsia="Arial" w:hAnsi="Arial"/>
                  </w:rPr>
                </w:pPr>
                <w:r w:rsidDel="00000000" w:rsidR="00000000" w:rsidRPr="00000000">
                  <w:rPr>
                    <w:rFonts w:ascii="Arial" w:cs="Arial" w:eastAsia="Arial" w:hAnsi="Arial"/>
                    <w:rtl w:val="0"/>
                  </w:rPr>
                  <w:t xml:space="preserve">not disclosed</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5">
                <w:pPr>
                  <w:widowControl w:val="0"/>
                  <w:spacing w:after="0" w:line="276" w:lineRule="auto"/>
                  <w:rPr>
                    <w:rFonts w:ascii="Arial" w:cs="Arial" w:eastAsia="Arial" w:hAnsi="Arial"/>
                  </w:rPr>
                </w:pPr>
                <w:r w:rsidDel="00000000" w:rsidR="00000000" w:rsidRPr="00000000">
                  <w:rPr>
                    <w:rFonts w:ascii="Arial" w:cs="Arial" w:eastAsia="Arial" w:hAnsi="Arial"/>
                    <w:rtl w:val="0"/>
                  </w:rPr>
                  <w:t xml:space="preserve">The role of the predictive model in decision-making</w:t>
                </w:r>
              </w:p>
            </w:tc>
            <w:tc>
              <w:tcPr>
                <w:shd w:fill="auto" w:val="clear"/>
                <w:tcMar>
                  <w:top w:w="100.0" w:type="dxa"/>
                  <w:left w:w="100.0" w:type="dxa"/>
                  <w:bottom w:w="100.0" w:type="dxa"/>
                  <w:right w:w="100.0" w:type="dxa"/>
                </w:tcMar>
              </w:tcPr>
              <w:p w:rsidR="00000000" w:rsidDel="00000000" w:rsidP="00000000" w:rsidRDefault="00000000" w:rsidRPr="00000000" w14:paraId="00000036">
                <w:pPr>
                  <w:spacing w:line="276" w:lineRule="auto"/>
                  <w:jc w:val="both"/>
                  <w:rPr>
                    <w:rFonts w:ascii="Arial" w:cs="Arial" w:eastAsia="Arial" w:hAnsi="Arial"/>
                  </w:rPr>
                </w:pPr>
                <w:r w:rsidDel="00000000" w:rsidR="00000000" w:rsidRPr="00000000">
                  <w:rPr>
                    <w:rFonts w:ascii="Arial" w:cs="Arial" w:eastAsia="Arial" w:hAnsi="Arial"/>
                    <w:rtl w:val="0"/>
                  </w:rPr>
                  <w:t xml:space="preserve">Whether the prediction from a machine learning model is a recommendation or requires an explicit override by social workers (as in the Allegheny Family Screening Tool, see Allegheny County, 2019).</w:t>
                </w:r>
              </w:p>
            </w:tc>
            <w:tc>
              <w:tcPr>
                <w:shd w:fill="auto" w:val="clear"/>
                <w:tcMar>
                  <w:top w:w="100.0" w:type="dxa"/>
                  <w:left w:w="100.0" w:type="dxa"/>
                  <w:bottom w:w="100.0" w:type="dxa"/>
                  <w:right w:w="100.0" w:type="dxa"/>
                </w:tcMar>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Fonts w:ascii="Arial" w:cs="Arial" w:eastAsia="Arial" w:hAnsi="Arial"/>
                    <w:rtl w:val="0"/>
                  </w:rPr>
                  <w:t xml:space="preserve">The model makes a recommendation to the social worker</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Fonts w:ascii="Arial" w:cs="Arial" w:eastAsia="Arial" w:hAnsi="Arial"/>
                    <w:rtl w:val="0"/>
                  </w:rPr>
                  <w:t xml:space="preserve">To change the model's decision, the social worker must clearly explain why it is wrong</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A">
                <w:pPr>
                  <w:spacing w:after="240" w:line="288" w:lineRule="auto"/>
                  <w:rPr>
                    <w:rFonts w:ascii="Arial" w:cs="Arial" w:eastAsia="Arial" w:hAnsi="Arial"/>
                  </w:rPr>
                </w:pPr>
                <w:r w:rsidDel="00000000" w:rsidR="00000000" w:rsidRPr="00000000">
                  <w:rPr>
                    <w:rtl w:val="0"/>
                  </w:rPr>
                  <w:t xml:space="preserve">How many fewer at-risk children had their cases incorrectly closed per 100 children screened</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Fonts w:ascii="Arial" w:cs="Arial" w:eastAsia="Arial" w:hAnsi="Arial"/>
                    <w:rtl w:val="0"/>
                  </w:rPr>
                  <w:t xml:space="preserve">Horvath et al. (2023) analyse the effect of accuracy on the acceptability of AI systems. In this experiment, accuracy is split into true positives and false positives to understand the trade-off between them. This attribute corresponds to true positives.</w:t>
                </w:r>
              </w:p>
            </w:tc>
            <w:tc>
              <w:tcPr>
                <w:shd w:fill="auto" w:val="clea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Fonts w:ascii="Arial" w:cs="Arial" w:eastAsia="Arial" w:hAnsi="Arial"/>
                    <w:rtl w:val="0"/>
                  </w:rPr>
                  <w:t xml:space="preserve">As an artificial baseline, </w:t>
                </w:r>
                <w:r w:rsidDel="00000000" w:rsidR="00000000" w:rsidRPr="00000000">
                  <w:rPr>
                    <w:rFonts w:ascii="Roboto" w:cs="Roboto" w:eastAsia="Roboto" w:hAnsi="Roboto"/>
                    <w:highlight w:val="white"/>
                    <w:rtl w:val="0"/>
                  </w:rPr>
                  <w:t xml:space="preserve">10 children from every 100 referred children were at risk of harm, but were missed by social workers, and their cases were closed.</w:t>
                </w:r>
                <w:r w:rsidDel="00000000" w:rsidR="00000000" w:rsidRPr="00000000">
                  <w:rPr>
                    <w:rtl w:val="0"/>
                  </w:rPr>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Fonts w:ascii="Arial" w:cs="Arial" w:eastAsia="Arial" w:hAnsi="Arial"/>
                    <w:rtl w:val="0"/>
                  </w:rPr>
                  <w:t xml:space="preserve">The levels will, therefore, be 0 (corresponding to no improvement), 2, 4, 6, 8, or 10 truly risky children (corresponding to total improvement).</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F">
                <w:pPr>
                  <w:spacing w:line="276" w:lineRule="auto"/>
                  <w:rPr>
                    <w:rFonts w:ascii="Arial" w:cs="Arial" w:eastAsia="Arial" w:hAnsi="Arial"/>
                  </w:rPr>
                </w:pPr>
                <w:r w:rsidDel="00000000" w:rsidR="00000000" w:rsidRPr="00000000">
                  <w:rPr>
                    <w:rFonts w:ascii="Roboto" w:cs="Roboto" w:eastAsia="Roboto" w:hAnsi="Roboto"/>
                    <w:color w:val="212529"/>
                    <w:highlight w:val="white"/>
                    <w:rtl w:val="0"/>
                  </w:rPr>
                  <w:t xml:space="preserve">How many fewer safe children had their cases incorrectly progressed</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Fonts w:ascii="Arial" w:cs="Arial" w:eastAsia="Arial" w:hAnsi="Arial"/>
                    <w:rtl w:val="0"/>
                  </w:rPr>
                  <w:t xml:space="preserve">This attribute corresponds to false positives.</w:t>
                </w:r>
              </w:p>
            </w:tc>
            <w:tc>
              <w:tcPr>
                <w:shd w:fill="auto" w:val="clear"/>
                <w:tcMar>
                  <w:top w:w="100.0" w:type="dxa"/>
                  <w:left w:w="100.0" w:type="dxa"/>
                  <w:bottom w:w="100.0" w:type="dxa"/>
                  <w:right w:w="100.0" w:type="dxa"/>
                </w:tcMar>
              </w:tcPr>
              <w:p w:rsidR="00000000" w:rsidDel="00000000" w:rsidP="00000000" w:rsidRDefault="00000000" w:rsidRPr="00000000" w14:paraId="00000041">
                <w:pPr>
                  <w:widowControl w:val="0"/>
                  <w:spacing w:line="276" w:lineRule="auto"/>
                  <w:rPr>
                    <w:rFonts w:ascii="Arial" w:cs="Arial" w:eastAsia="Arial" w:hAnsi="Arial"/>
                  </w:rPr>
                </w:pPr>
                <w:r w:rsidDel="00000000" w:rsidR="00000000" w:rsidRPr="00000000">
                  <w:rPr>
                    <w:rFonts w:ascii="Arial" w:cs="Arial" w:eastAsia="Arial" w:hAnsi="Arial"/>
                    <w:rtl w:val="0"/>
                  </w:rPr>
                  <w:t xml:space="preserve">As an artificial baseline, 10 children from every 100 referred children were not at risk of harm, but were incorrectly progressed to further investigation.</w:t>
                </w:r>
              </w:p>
              <w:p w:rsidR="00000000" w:rsidDel="00000000" w:rsidP="00000000" w:rsidRDefault="00000000" w:rsidRPr="00000000" w14:paraId="00000042">
                <w:pPr>
                  <w:widowControl w:val="0"/>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rPr>
                </w:pPr>
                <w:r w:rsidDel="00000000" w:rsidR="00000000" w:rsidRPr="00000000">
                  <w:rPr>
                    <w:rFonts w:ascii="Arial" w:cs="Arial" w:eastAsia="Arial" w:hAnsi="Arial"/>
                    <w:rtl w:val="0"/>
                  </w:rPr>
                  <w:t xml:space="preserve">The levels will be therefore, again, 0, 2, 4, 6, 8, or 10 children.</w:t>
                </w:r>
              </w:p>
            </w:tc>
          </w:tr>
        </w:tbl>
      </w:sdtContent>
    </w:sdt>
    <w:p w:rsidR="00000000" w:rsidDel="00000000" w:rsidP="00000000" w:rsidRDefault="00000000" w:rsidRPr="00000000" w14:paraId="00000044">
      <w:pPr>
        <w:pStyle w:val="Title"/>
        <w:spacing w:line="276" w:lineRule="auto"/>
        <w:jc w:val="both"/>
        <w:rPr>
          <w:rFonts w:ascii="Arial" w:cs="Arial" w:eastAsia="Arial" w:hAnsi="Arial"/>
          <w:b w:val="0"/>
          <w:color w:val="000000"/>
          <w:sz w:val="24"/>
          <w:szCs w:val="24"/>
        </w:rPr>
      </w:pPr>
      <w:bookmarkStart w:colFirst="0" w:colLast="0" w:name="_heading=h.7dgbueow0se6" w:id="6"/>
      <w:bookmarkEnd w:id="6"/>
      <w:r w:rsidDel="00000000" w:rsidR="00000000" w:rsidRPr="00000000">
        <w:rPr>
          <w:rFonts w:ascii="Arial" w:cs="Arial" w:eastAsia="Arial" w:hAnsi="Arial"/>
          <w:b w:val="0"/>
          <w:color w:val="000000"/>
          <w:sz w:val="24"/>
          <w:szCs w:val="24"/>
          <w:rtl w:val="0"/>
        </w:rPr>
        <w:t xml:space="preserve">de la Cuesta, Egami, and Imai (2022) point to the importance of constructing realistic profiles, which often requires non-random assignment – for instance, if a politician is pro-immigrant, that might make them, in reality, more likely to be pro-choice. However, there is no sensible real-world data on which to base a non-uniform choice of attribute assignment here, and therefore, a uniform distribution will be used. For example, while Gerchick et al. (2023) show for the AFST that adding new data sources on policing, health, and education does not improve model accuracy, it is unclear if that would apply in UK contexts. Further, unlike selecting between hypothetical politicians, the risk that certain combinations of characteristics will seem unrealistic is low. One possibility would be to induce a correlation between false positives and true positives, but the actual correlation level is unknown. Therefore, a uniform distribution will be used across each set of attributes.</w:t>
      </w:r>
    </w:p>
    <w:p w:rsidR="00000000" w:rsidDel="00000000" w:rsidP="00000000" w:rsidRDefault="00000000" w:rsidRPr="00000000" w14:paraId="00000045">
      <w:pPr>
        <w:pStyle w:val="Title"/>
        <w:spacing w:line="276" w:lineRule="auto"/>
        <w:jc w:val="both"/>
        <w:rPr>
          <w:rFonts w:ascii="Arial" w:cs="Arial" w:eastAsia="Arial" w:hAnsi="Arial"/>
          <w:color w:val="000000"/>
          <w:sz w:val="28"/>
          <w:szCs w:val="28"/>
        </w:rPr>
      </w:pPr>
      <w:bookmarkStart w:colFirst="0" w:colLast="0" w:name="_heading=h.64qyo5u08ee3" w:id="7"/>
      <w:bookmarkEnd w:id="7"/>
      <w:r w:rsidDel="00000000" w:rsidR="00000000" w:rsidRPr="00000000">
        <w:rPr>
          <w:rFonts w:ascii="Arial" w:cs="Arial" w:eastAsia="Arial" w:hAnsi="Arial"/>
          <w:color w:val="000000"/>
          <w:sz w:val="28"/>
          <w:szCs w:val="28"/>
          <w:rtl w:val="0"/>
        </w:rPr>
        <w:t xml:space="preserve">Research Aims:</w:t>
      </w:r>
    </w:p>
    <w:p w:rsidR="00000000" w:rsidDel="00000000" w:rsidP="00000000" w:rsidRDefault="00000000" w:rsidRPr="00000000" w14:paraId="00000046">
      <w:pPr>
        <w:spacing w:line="276" w:lineRule="auto"/>
        <w:jc w:val="both"/>
        <w:rPr>
          <w:rFonts w:ascii="Arial" w:cs="Arial" w:eastAsia="Arial" w:hAnsi="Arial"/>
        </w:rPr>
      </w:pPr>
      <w:r w:rsidDel="00000000" w:rsidR="00000000" w:rsidRPr="00000000">
        <w:rPr>
          <w:rFonts w:ascii="Arial" w:cs="Arial" w:eastAsia="Arial" w:hAnsi="Arial"/>
          <w:rtl w:val="0"/>
        </w:rPr>
        <w:t xml:space="preserve">This trial will not be analysed with the primary aim of disconfirming null hypotheses, rather following Gelman (2017), a range of models or “multiverse” (Steegen et al. 2016) will be performed to understand sensitivity of measured quantities to effects. Following Gelman (2017), in particular the aim is to “forget about getting definitive results from a single experiment; instead embrace variation, accept uncertainty, and learn what you can” (p. 8). This also avoids the need to be concerned with multiple comparisons, as explained by Gelman, Hill, and Yajima (2009). </w:t>
      </w:r>
    </w:p>
    <w:p w:rsidR="00000000" w:rsidDel="00000000" w:rsidP="00000000" w:rsidRDefault="00000000" w:rsidRPr="00000000" w14:paraId="00000047">
      <w:pPr>
        <w:spacing w:line="276" w:lineRule="auto"/>
        <w:jc w:val="both"/>
        <w:rPr>
          <w:rFonts w:ascii="Arial" w:cs="Arial" w:eastAsia="Arial" w:hAnsi="Arial"/>
        </w:rPr>
      </w:pPr>
      <w:r w:rsidDel="00000000" w:rsidR="00000000" w:rsidRPr="00000000">
        <w:rPr>
          <w:rFonts w:ascii="Arial" w:cs="Arial" w:eastAsia="Arial" w:hAnsi="Arial"/>
          <w:rtl w:val="0"/>
        </w:rPr>
        <w:t xml:space="preserve">The primary aim of this study is to measure the willingness of participants to tradeoff the two accuracy measures for the three procedural safeguards, notably two measures of transparency and one attribute for how the program is used in the social care system. In particular, there will be measured:</w:t>
      </w:r>
    </w:p>
    <w:p w:rsidR="00000000" w:rsidDel="00000000" w:rsidP="00000000" w:rsidRDefault="00000000" w:rsidRPr="00000000" w14:paraId="00000048">
      <w:pPr>
        <w:numPr>
          <w:ilvl w:val="0"/>
          <w:numId w:val="1"/>
        </w:numPr>
        <w:spacing w:after="0" w:afterAutospacing="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The overall willingness to “pay” (WTP) across both measures.</w:t>
      </w:r>
    </w:p>
    <w:p w:rsidR="00000000" w:rsidDel="00000000" w:rsidP="00000000" w:rsidRDefault="00000000" w:rsidRPr="00000000" w14:paraId="00000049">
      <w:pPr>
        <w:numPr>
          <w:ilvl w:val="0"/>
          <w:numId w:val="1"/>
        </w:numPr>
        <w:spacing w:after="0" w:afterAutospacing="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Individual variation in terms of the distribution of random coefficients of WTP.</w:t>
      </w:r>
    </w:p>
    <w:p w:rsidR="00000000" w:rsidDel="00000000" w:rsidP="00000000" w:rsidRDefault="00000000" w:rsidRPr="00000000" w14:paraId="0000004A">
      <w:pPr>
        <w:numPr>
          <w:ilvl w:val="0"/>
          <w:numId w:val="1"/>
        </w:numPr>
        <w:spacing w:after="0" w:afterAutospacing="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The differences in willingness to pay associated with trust (after ESS 2025), both in general institutions (such as local councils and the UK's legal system) and in social workers, will be measured, with trust in social workers broken down into competency, motivation, and resources to undertake their work (per Durand et al. 2022). </w:t>
      </w:r>
    </w:p>
    <w:p w:rsidR="00000000" w:rsidDel="00000000" w:rsidP="00000000" w:rsidRDefault="00000000" w:rsidRPr="00000000" w14:paraId="0000004B">
      <w:pPr>
        <w:numPr>
          <w:ilvl w:val="0"/>
          <w:numId w:val="1"/>
        </w:numPr>
        <w:spacing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As a more exploratory analysis, differences in willingness to pay in terms of age and education level will also be explored. </w:t>
      </w:r>
    </w:p>
    <w:p w:rsidR="00000000" w:rsidDel="00000000" w:rsidP="00000000" w:rsidRDefault="00000000" w:rsidRPr="00000000" w14:paraId="0000004C">
      <w:pPr>
        <w:spacing w:line="276" w:lineRule="auto"/>
        <w:jc w:val="both"/>
        <w:rPr>
          <w:rFonts w:ascii="Arial" w:cs="Arial" w:eastAsia="Arial" w:hAnsi="Arial"/>
        </w:rPr>
      </w:pPr>
      <w:r w:rsidDel="00000000" w:rsidR="00000000" w:rsidRPr="00000000">
        <w:rPr>
          <w:rFonts w:ascii="Arial" w:cs="Arial" w:eastAsia="Arial" w:hAnsi="Arial"/>
          <w:rtl w:val="0"/>
        </w:rPr>
        <w:t xml:space="preserve">Given the limitations of these models in terms of convergence and computing power required, please see the Statistical Methods section for contingencies on how this might be achieved.</w:t>
      </w:r>
    </w:p>
    <w:p w:rsidR="00000000" w:rsidDel="00000000" w:rsidP="00000000" w:rsidRDefault="00000000" w:rsidRPr="00000000" w14:paraId="0000004D">
      <w:pPr>
        <w:spacing w:line="276" w:lineRule="auto"/>
        <w:jc w:val="both"/>
        <w:rPr>
          <w:rFonts w:ascii="Arial" w:cs="Arial" w:eastAsia="Arial" w:hAnsi="Arial"/>
        </w:rPr>
      </w:pPr>
      <w:r w:rsidDel="00000000" w:rsidR="00000000" w:rsidRPr="00000000">
        <w:rPr>
          <w:rFonts w:ascii="Arial" w:cs="Arial" w:eastAsia="Arial" w:hAnsi="Arial"/>
          <w:rtl w:val="0"/>
        </w:rPr>
        <w:t xml:space="preserve">This measurement is interesting because the relative impact of accuracy on choice is different across prior experiments in other citizen acceptability of data tool or AI system experiments. In</w:t>
      </w:r>
      <w:r w:rsidDel="00000000" w:rsidR="00000000" w:rsidRPr="00000000">
        <w:rPr>
          <w:rFonts w:ascii="Arial" w:cs="Arial" w:eastAsia="Arial" w:hAnsi="Arial"/>
          <w:rtl w:val="0"/>
        </w:rPr>
        <w:t xml:space="preserve"> Horvath et al. (2023) in both a visa processing and parking permit processing context, they saw that accuracy had the largest effect. This was also observed by van der Veer et al. (2021) in a medical diagnostic context. While Ploug et al. (2021) found that in a medical diagnostic context, human involvement and explainability were the most important factors compared to accuracy, they both only used general descriptors for accuracy (‘significantly better’, ‘somewhat better’, ‘equally good’ as a physician’s judgment) which might have downplayed the importance of accuracy. In Horvath et al. (2023), they found modest effects on the choice of AI system for transparency and increasing in the level of human involvement.</w:t>
      </w:r>
    </w:p>
    <w:p w:rsidR="00000000" w:rsidDel="00000000" w:rsidP="00000000" w:rsidRDefault="00000000" w:rsidRPr="00000000" w14:paraId="0000004E">
      <w:pPr>
        <w:spacing w:line="276" w:lineRule="auto"/>
        <w:jc w:val="both"/>
        <w:rPr>
          <w:rFonts w:ascii="Arial" w:cs="Arial" w:eastAsia="Arial" w:hAnsi="Arial"/>
        </w:rPr>
      </w:pPr>
      <w:r w:rsidDel="00000000" w:rsidR="00000000" w:rsidRPr="00000000">
        <w:rPr>
          <w:rFonts w:ascii="Arial" w:cs="Arial" w:eastAsia="Arial" w:hAnsi="Arial"/>
          <w:rtl w:val="0"/>
        </w:rPr>
        <w:t xml:space="preserve">A secondary aim is to measure the willingness to “pay” reducing false positives for reducing false negatives. In the closest analogue of criminal trials, prior studies have shown a preference for minimising false convictions over false acquittals (see, e.g. Scurich, 2015; Givati, 2019), although this preference is shifting internationally over time (Williamson, Soto, and Dioso-Villa, 2021; Xiong, 2017). </w:t>
      </w:r>
    </w:p>
    <w:p w:rsidR="00000000" w:rsidDel="00000000" w:rsidP="00000000" w:rsidRDefault="00000000" w:rsidRPr="00000000" w14:paraId="0000004F">
      <w:pPr>
        <w:spacing w:line="276" w:lineRule="auto"/>
        <w:jc w:val="both"/>
        <w:rPr>
          <w:rFonts w:ascii="Arial" w:cs="Arial" w:eastAsia="Arial" w:hAnsi="Arial"/>
        </w:rPr>
      </w:pPr>
      <w:r w:rsidDel="00000000" w:rsidR="00000000" w:rsidRPr="00000000">
        <w:rPr>
          <w:rFonts w:ascii="Arial" w:cs="Arial" w:eastAsia="Arial" w:hAnsi="Arial"/>
          <w:rtl w:val="0"/>
        </w:rPr>
        <w:t xml:space="preserve">Finally, in terms of the transparency measures, the marginal rate of substitution between transparency for decisions about specific children and overall transparency will be measured. While the machine learning literature distinguishes between the overall model and individual decision-makers (Molnar, 2024), there is, to my knowledge, no literature about their relative importance in AI acceptability. </w:t>
      </w:r>
    </w:p>
    <w:p w:rsidR="00000000" w:rsidDel="00000000" w:rsidP="00000000" w:rsidRDefault="00000000" w:rsidRPr="00000000" w14:paraId="00000050">
      <w:pPr>
        <w:spacing w:line="276" w:lineRule="auto"/>
        <w:jc w:val="both"/>
        <w:rPr>
          <w:rFonts w:ascii="Arial" w:cs="Arial" w:eastAsia="Arial" w:hAnsi="Arial"/>
        </w:rPr>
      </w:pPr>
      <w:r w:rsidDel="00000000" w:rsidR="00000000" w:rsidRPr="00000000">
        <w:rPr>
          <w:rFonts w:ascii="Arial" w:cs="Arial" w:eastAsia="Arial" w:hAnsi="Arial"/>
          <w:rtl w:val="0"/>
        </w:rPr>
        <w:t xml:space="preserve">Standard AMCEs per Hainmueller, Hopkins, and Yamamoto (2013) will also be reported. That said, they are less of interest in this case than willingness-to-pay estimates as the experiment is centrally aimed at answering questions about tradeoffs. Market shares for particular products can be computed from random utility models, however, are unlikely to be meaningful in this case because this experiment is fully hypothetical rather than corresponding to, say, real-world yogurt or vehicle brands. </w:t>
      </w:r>
    </w:p>
    <w:p w:rsidR="00000000" w:rsidDel="00000000" w:rsidP="00000000" w:rsidRDefault="00000000" w:rsidRPr="00000000" w14:paraId="00000051">
      <w:pPr>
        <w:spacing w:line="276"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Sample Size:</w:t>
      </w:r>
    </w:p>
    <w:p w:rsidR="00000000" w:rsidDel="00000000" w:rsidP="00000000" w:rsidRDefault="00000000" w:rsidRPr="00000000" w14:paraId="00000052">
      <w:pPr>
        <w:spacing w:line="276" w:lineRule="auto"/>
        <w:jc w:val="both"/>
        <w:rPr>
          <w:rFonts w:ascii="Arial" w:cs="Arial" w:eastAsia="Arial" w:hAnsi="Arial"/>
        </w:rPr>
      </w:pPr>
      <w:r w:rsidDel="00000000" w:rsidR="00000000" w:rsidRPr="00000000">
        <w:rPr>
          <w:rFonts w:ascii="Arial" w:cs="Arial" w:eastAsia="Arial" w:hAnsi="Arial"/>
          <w:rtl w:val="0"/>
        </w:rPr>
        <w:t xml:space="preserve">The outcome in each case will be a binary choice for each of the 6 sets of profiles. </w:t>
      </w:r>
    </w:p>
    <w:p w:rsidR="00000000" w:rsidDel="00000000" w:rsidP="00000000" w:rsidRDefault="00000000" w:rsidRPr="00000000" w14:paraId="00000053">
      <w:pPr>
        <w:spacing w:line="276" w:lineRule="auto"/>
        <w:jc w:val="both"/>
        <w:rPr>
          <w:rFonts w:ascii="Arial" w:cs="Arial" w:eastAsia="Arial" w:hAnsi="Arial"/>
        </w:rPr>
      </w:pPr>
      <w:r w:rsidDel="00000000" w:rsidR="00000000" w:rsidRPr="00000000">
        <w:rPr>
          <w:rFonts w:ascii="Arial" w:cs="Arial" w:eastAsia="Arial" w:hAnsi="Arial"/>
          <w:rtl w:val="0"/>
        </w:rPr>
        <w:t xml:space="preserve">Sample sizes in randomised controlled trials are usually chosen to minimise the number of participants (for ethical and cost reasons) while ensuring sufficient statistical power, that is, the probability of correctly rejecting the null hypothesis when it ought to be rejected. </w:t>
      </w:r>
    </w:p>
    <w:p w:rsidR="00000000" w:rsidDel="00000000" w:rsidP="00000000" w:rsidRDefault="00000000" w:rsidRPr="00000000" w14:paraId="00000054">
      <w:pPr>
        <w:spacing w:line="276" w:lineRule="auto"/>
        <w:jc w:val="both"/>
        <w:rPr>
          <w:rFonts w:ascii="Arial" w:cs="Arial" w:eastAsia="Arial" w:hAnsi="Arial"/>
        </w:rPr>
      </w:pPr>
      <w:r w:rsidDel="00000000" w:rsidR="00000000" w:rsidRPr="00000000">
        <w:rPr>
          <w:rFonts w:ascii="Arial" w:cs="Arial" w:eastAsia="Arial" w:hAnsi="Arial"/>
          <w:rtl w:val="0"/>
        </w:rPr>
        <w:t xml:space="preserve">However, the sample size in this experiment is constrained by the available budget based on my available ESRC funding (a £6000 Advanced Quantitative Methods supplement). Using the UK minimum wage of £12.21, a survey completion time of 10 minutes, and Prolific’s 33.3% surcharge on experiments for academic purposes yields a sample size of 2211. This is of a comparable size to other conjoint experiments in political science, for instance, Horvath et al. (2023) used 2143 participants and Hainmueller, Hopkins, and Yamamoto (2013) only use 311 participants for their candidate experiment. </w:t>
      </w:r>
    </w:p>
    <w:p w:rsidR="00000000" w:rsidDel="00000000" w:rsidP="00000000" w:rsidRDefault="00000000" w:rsidRPr="00000000" w14:paraId="00000055">
      <w:pPr>
        <w:spacing w:line="276" w:lineRule="auto"/>
        <w:jc w:val="both"/>
        <w:rPr>
          <w:rFonts w:ascii="Arial" w:cs="Arial" w:eastAsia="Arial" w:hAnsi="Arial"/>
        </w:rPr>
      </w:pPr>
      <w:r w:rsidDel="00000000" w:rsidR="00000000" w:rsidRPr="00000000">
        <w:rPr>
          <w:rFonts w:ascii="Arial" w:cs="Arial" w:eastAsia="Arial" w:hAnsi="Arial"/>
          <w:rtl w:val="0"/>
        </w:rPr>
        <w:t xml:space="preserve">Participants will be excluded if they take longer than Prolific’s recommended maximum time for the experiment (~40 minutes) or if they fail the two attention checks in the experiment.</w:t>
      </w:r>
    </w:p>
    <w:p w:rsidR="00000000" w:rsidDel="00000000" w:rsidP="00000000" w:rsidRDefault="00000000" w:rsidRPr="00000000" w14:paraId="00000056">
      <w:pPr>
        <w:spacing w:line="276" w:lineRule="auto"/>
        <w:jc w:val="both"/>
        <w:rPr>
          <w:rFonts w:ascii="Arial" w:cs="Arial" w:eastAsia="Arial" w:hAnsi="Arial"/>
        </w:rPr>
      </w:pPr>
      <w:r w:rsidDel="00000000" w:rsidR="00000000" w:rsidRPr="00000000">
        <w:rPr>
          <w:rFonts w:ascii="Arial" w:cs="Arial" w:eastAsia="Arial" w:hAnsi="Arial"/>
          <w:rtl w:val="0"/>
        </w:rPr>
        <w:t xml:space="preserve">Given that the willingness-to-pay estimates will be produced from complex models in a novel context, it is quite difficult to compute an appropriate MDES here. </w:t>
      </w:r>
    </w:p>
    <w:p w:rsidR="00000000" w:rsidDel="00000000" w:rsidP="00000000" w:rsidRDefault="00000000" w:rsidRPr="00000000" w14:paraId="00000057">
      <w:pPr>
        <w:spacing w:line="276" w:lineRule="auto"/>
        <w:jc w:val="both"/>
        <w:rPr>
          <w:rFonts w:ascii="Arial" w:cs="Arial" w:eastAsia="Arial" w:hAnsi="Arial"/>
        </w:rPr>
      </w:pPr>
      <w:r w:rsidDel="00000000" w:rsidR="00000000" w:rsidRPr="00000000">
        <w:rPr>
          <w:rFonts w:ascii="Arial" w:cs="Arial" w:eastAsia="Arial" w:hAnsi="Arial"/>
          <w:rtl w:val="0"/>
        </w:rPr>
        <w:t xml:space="preserve">If the AMCEs standard in political science were used as the primary analysis and  a null hypothesis testing framework adopted, then using the cjpower application from Freitag and Schuessler (2020) based on their paper Schuessler and Freitag (2020), yields an MDES of 0.03 or assuming the conservative correction for intra-respondent reliability in Clayton et al. (2023, see Statistical Methods) 0.039, meaning a difference of 3 or 3.9 percentage points in the choice probability can be detected. While this is larger than the smallest statistically significant effect size in Horvath et al. (2023), this is a more high-stakes setting with, therefore, perhaps stronger preferences over attributes, and this MDES is still relatively low. To obtain an MDES of 0.02 would require 4,904 respondents, which is beyond the scope of the available budget.</w:t>
      </w:r>
    </w:p>
    <w:p w:rsidR="00000000" w:rsidDel="00000000" w:rsidP="00000000" w:rsidRDefault="00000000" w:rsidRPr="00000000" w14:paraId="00000058">
      <w:pPr>
        <w:spacing w:line="276"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Monitoring, Harms, and Auditing:</w:t>
      </w:r>
    </w:p>
    <w:p w:rsidR="00000000" w:rsidDel="00000000" w:rsidP="00000000" w:rsidRDefault="00000000" w:rsidRPr="00000000" w14:paraId="00000059">
      <w:pPr>
        <w:spacing w:line="276" w:lineRule="auto"/>
        <w:jc w:val="both"/>
        <w:rPr>
          <w:rFonts w:ascii="Arial" w:cs="Arial" w:eastAsia="Arial" w:hAnsi="Arial"/>
        </w:rPr>
      </w:pPr>
      <w:r w:rsidDel="00000000" w:rsidR="00000000" w:rsidRPr="00000000">
        <w:rPr>
          <w:rFonts w:ascii="Arial" w:cs="Arial" w:eastAsia="Arial" w:hAnsi="Arial"/>
          <w:rtl w:val="0"/>
        </w:rPr>
        <w:t xml:space="preserve">In healthcare settings, it is especially necessary to monitor participants and any harm that might arise from a pharmaceutical or surgical intervention. Audit procedures are also regularly used to decide whether the trial should be stopped.</w:t>
      </w:r>
    </w:p>
    <w:p w:rsidR="00000000" w:rsidDel="00000000" w:rsidP="00000000" w:rsidRDefault="00000000" w:rsidRPr="00000000" w14:paraId="0000005A">
      <w:pPr>
        <w:spacing w:line="276" w:lineRule="auto"/>
        <w:jc w:val="both"/>
        <w:rPr>
          <w:rFonts w:ascii="Arial" w:cs="Arial" w:eastAsia="Arial" w:hAnsi="Arial"/>
          <w:b w:val="1"/>
          <w:sz w:val="28"/>
          <w:szCs w:val="28"/>
        </w:rPr>
      </w:pPr>
      <w:r w:rsidDel="00000000" w:rsidR="00000000" w:rsidRPr="00000000">
        <w:rPr>
          <w:rFonts w:ascii="Arial" w:cs="Arial" w:eastAsia="Arial" w:hAnsi="Arial"/>
          <w:rtl w:val="0"/>
        </w:rPr>
        <w:t xml:space="preserve">In terms of monitoring and auditing, this is not applicable as this is an online trial, in which the interventions are a simple survey with low potential to cause distress. Despite the serious subject matter of children’s social care, this is a hypothetical choice between different decision-making systems within an online survey rather than (for example) a reflection on traumatic childhood experiences. Nonetheless, participants will be signposted to NHS CBT services in an abundance of caution. Further, auditing and monitoring could not be conducted in this context because there will be no follow-up with the participants.</w:t>
      </w:r>
      <w:r w:rsidDel="00000000" w:rsidR="00000000" w:rsidRPr="00000000">
        <w:rPr>
          <w:rtl w:val="0"/>
        </w:rPr>
      </w:r>
    </w:p>
    <w:p w:rsidR="00000000" w:rsidDel="00000000" w:rsidP="00000000" w:rsidRDefault="00000000" w:rsidRPr="00000000" w14:paraId="0000005B">
      <w:pPr>
        <w:spacing w:line="276"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Statistical Methods:</w:t>
      </w:r>
    </w:p>
    <w:p w:rsidR="00000000" w:rsidDel="00000000" w:rsidP="00000000" w:rsidRDefault="00000000" w:rsidRPr="00000000" w14:paraId="0000005C">
      <w:pPr>
        <w:spacing w:line="276" w:lineRule="auto"/>
        <w:jc w:val="both"/>
        <w:rPr>
          <w:rFonts w:ascii="Arial" w:cs="Arial" w:eastAsia="Arial" w:hAnsi="Arial"/>
        </w:rPr>
      </w:pPr>
      <w:r w:rsidDel="00000000" w:rsidR="00000000" w:rsidRPr="00000000">
        <w:rPr>
          <w:rFonts w:ascii="Arial" w:cs="Arial" w:eastAsia="Arial" w:hAnsi="Arial"/>
          <w:rtl w:val="0"/>
        </w:rPr>
        <w:t xml:space="preserve">As a guiding principle, I will not be too focussed in conducting analysis on statistical significance, and instead report all generated results and their uncertainty. I will follow the logic set out in Gelman, Hill, and Yajima (2009).</w:t>
      </w:r>
    </w:p>
    <w:p w:rsidR="00000000" w:rsidDel="00000000" w:rsidP="00000000" w:rsidRDefault="00000000" w:rsidRPr="00000000" w14:paraId="0000005D">
      <w:pPr>
        <w:spacing w:line="276" w:lineRule="auto"/>
        <w:jc w:val="both"/>
        <w:rPr>
          <w:rFonts w:ascii="Arial" w:cs="Arial" w:eastAsia="Arial" w:hAnsi="Arial"/>
        </w:rPr>
      </w:pPr>
      <w:r w:rsidDel="00000000" w:rsidR="00000000" w:rsidRPr="00000000">
        <w:rPr>
          <w:rFonts w:ascii="Arial" w:cs="Arial" w:eastAsia="Arial" w:hAnsi="Arial"/>
          <w:rtl w:val="0"/>
        </w:rPr>
        <w:t xml:space="preserve">The outcome data in a forced-choice conjoint experiment is whether a product or candidate person (here, an AI system) with a randomly chosen set of attributes is chosen over another (here, another AI system) displayed in that choice situation. </w:t>
      </w:r>
    </w:p>
    <w:p w:rsidR="00000000" w:rsidDel="00000000" w:rsidP="00000000" w:rsidRDefault="00000000" w:rsidRPr="00000000" w14:paraId="0000005E">
      <w:pPr>
        <w:spacing w:line="276" w:lineRule="auto"/>
        <w:jc w:val="both"/>
        <w:rPr>
          <w:rFonts w:ascii="Arial" w:cs="Arial" w:eastAsia="Arial" w:hAnsi="Arial"/>
        </w:rPr>
      </w:pPr>
      <w:r w:rsidDel="00000000" w:rsidR="00000000" w:rsidRPr="00000000">
        <w:rPr>
          <w:rFonts w:ascii="Arial" w:cs="Arial" w:eastAsia="Arial" w:hAnsi="Arial"/>
          <w:rtl w:val="0"/>
        </w:rPr>
        <w:t xml:space="preserve">In political science and cognate disciplines, the standard quantity to be estimated (the causal estimand) here is usually the Average Marginal Component Effect or AMCE, introduced by Hainmueller, Hopkins, and Yamamoto (2013). This corresponds here to the average effect of an attribute level on the probability that an AI system will be chosen, where the average is defined over the distribution of the other attributes across repeated samples. That paper also introduces a non-parametric estimator for AMCEs, which is implemented in the R package cjoint (Barari et al., 2023) and will be used as the primary analysis method in this experiment. </w:t>
      </w:r>
    </w:p>
    <w:p w:rsidR="00000000" w:rsidDel="00000000" w:rsidP="00000000" w:rsidRDefault="00000000" w:rsidRPr="00000000" w14:paraId="0000005F">
      <w:pPr>
        <w:spacing w:line="276" w:lineRule="auto"/>
        <w:jc w:val="both"/>
        <w:rPr>
          <w:rFonts w:ascii="Arial" w:cs="Arial" w:eastAsia="Arial" w:hAnsi="Arial"/>
        </w:rPr>
      </w:pPr>
      <w:r w:rsidDel="00000000" w:rsidR="00000000" w:rsidRPr="00000000">
        <w:rPr>
          <w:rFonts w:ascii="Arial" w:cs="Arial" w:eastAsia="Arial" w:hAnsi="Arial"/>
          <w:rtl w:val="0"/>
        </w:rPr>
        <w:t xml:space="preserve">Each of the diagnostics for the assumptions of their method outlined in Hainmueller, Hopkins, and Yamamoto (2013) will also be run, except in 5.3.5 for atypical profiles (as noted elsewhere, these systems are hypothetical and therefore an ‘atypical’ profile has little meaning). These are:</w:t>
      </w:r>
    </w:p>
    <w:p w:rsidR="00000000" w:rsidDel="00000000" w:rsidP="00000000" w:rsidRDefault="00000000" w:rsidRPr="00000000" w14:paraId="00000060">
      <w:pPr>
        <w:numPr>
          <w:ilvl w:val="0"/>
          <w:numId w:val="3"/>
        </w:numPr>
        <w:spacing w:after="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For carryover effects: for this, I will make AMCE plots for each of the first six tasks, and control for task number in random utility models.</w:t>
      </w:r>
      <w:r w:rsidDel="00000000" w:rsidR="00000000" w:rsidRPr="00000000">
        <w:rPr>
          <w:rtl w:val="0"/>
        </w:rPr>
      </w:r>
    </w:p>
    <w:p w:rsidR="00000000" w:rsidDel="00000000" w:rsidP="00000000" w:rsidRDefault="00000000" w:rsidRPr="00000000" w14:paraId="00000061">
      <w:pPr>
        <w:numPr>
          <w:ilvl w:val="0"/>
          <w:numId w:val="3"/>
        </w:numPr>
        <w:spacing w:after="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Profile order effects: for this, I will make AMCE plots for the left and right profiles, and include controls for profile orders in random utility models.</w:t>
      </w:r>
      <w:r w:rsidDel="00000000" w:rsidR="00000000" w:rsidRPr="00000000">
        <w:rPr>
          <w:rtl w:val="0"/>
        </w:rPr>
      </w:r>
    </w:p>
    <w:p w:rsidR="00000000" w:rsidDel="00000000" w:rsidP="00000000" w:rsidRDefault="00000000" w:rsidRPr="00000000" w14:paraId="00000062">
      <w:pPr>
        <w:numPr>
          <w:ilvl w:val="0"/>
          <w:numId w:val="3"/>
        </w:numPr>
        <w:spacing w:after="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Attribute order effects: for this, I will include in a RUM attribute values, dummies that indicate the row positions of the attributes, and the interactions between the two; and similar for the non-parametric estimation look at the AMCEs for each of the row positions.</w:t>
      </w:r>
      <w:r w:rsidDel="00000000" w:rsidR="00000000" w:rsidRPr="00000000">
        <w:rPr>
          <w:rtl w:val="0"/>
        </w:rPr>
      </w:r>
    </w:p>
    <w:p w:rsidR="00000000" w:rsidDel="00000000" w:rsidP="00000000" w:rsidRDefault="00000000" w:rsidRPr="00000000" w14:paraId="00000063">
      <w:pPr>
        <w:numPr>
          <w:ilvl w:val="0"/>
          <w:numId w:val="3"/>
        </w:numPr>
        <w:spacing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Randomisation: I will perform balance checks, mainly relying on qualitatively on Prolific’s demographic characteristics, although for completeness, I will include an overall F-test.</w:t>
      </w:r>
      <w:r w:rsidDel="00000000" w:rsidR="00000000" w:rsidRPr="00000000">
        <w:rPr>
          <w:rtl w:val="0"/>
        </w:rPr>
      </w:r>
    </w:p>
    <w:p w:rsidR="00000000" w:rsidDel="00000000" w:rsidP="00000000" w:rsidRDefault="00000000" w:rsidRPr="00000000" w14:paraId="00000064">
      <w:pPr>
        <w:spacing w:line="276" w:lineRule="auto"/>
        <w:jc w:val="both"/>
        <w:rPr>
          <w:rFonts w:ascii="Arial" w:cs="Arial" w:eastAsia="Arial" w:hAnsi="Arial"/>
        </w:rPr>
      </w:pPr>
      <w:r w:rsidDel="00000000" w:rsidR="00000000" w:rsidRPr="00000000">
        <w:rPr>
          <w:rFonts w:ascii="Arial" w:cs="Arial" w:eastAsia="Arial" w:hAnsi="Arial"/>
          <w:rtl w:val="0"/>
        </w:rPr>
        <w:t xml:space="preserve">The AMCE has been critiqued by Abramson, Koçak, and Magazinnik (2021) for being mistakenly used to analyse the effect on majority preferences and, therefore, to correspond to effects on the probability of, for example, for political candidates winning an election. This occurs because the AMCE </w:t>
      </w:r>
      <w:r w:rsidDel="00000000" w:rsidR="00000000" w:rsidRPr="00000000">
        <w:rPr>
          <w:rFonts w:ascii="Arial" w:cs="Arial" w:eastAsia="Arial" w:hAnsi="Arial"/>
          <w:i w:val="1"/>
          <w:rtl w:val="0"/>
        </w:rPr>
        <w:t xml:space="preserve">averages </w:t>
      </w:r>
      <w:r w:rsidDel="00000000" w:rsidR="00000000" w:rsidRPr="00000000">
        <w:rPr>
          <w:rFonts w:ascii="Arial" w:cs="Arial" w:eastAsia="Arial" w:hAnsi="Arial"/>
          <w:rtl w:val="0"/>
        </w:rPr>
        <w:t xml:space="preserve">both intensity and direction of preferences, so, for example, a small minority who will only vote for a male candidate might outweigh the majority who have a weaker preference for gender equity, leading to a small but potentially significant average AMCE for male candidates. However, as Bansak et al. (2022) argue, the AMCE corresponds to the causal effect on the share of those who prefer a product or vote for a candidate. </w:t>
      </w:r>
    </w:p>
    <w:p w:rsidR="00000000" w:rsidDel="00000000" w:rsidP="00000000" w:rsidRDefault="00000000" w:rsidRPr="00000000" w14:paraId="00000065">
      <w:pPr>
        <w:spacing w:line="276" w:lineRule="auto"/>
        <w:jc w:val="both"/>
        <w:rPr>
          <w:rFonts w:ascii="Arial" w:cs="Arial" w:eastAsia="Arial" w:hAnsi="Arial"/>
        </w:rPr>
      </w:pPr>
      <w:r w:rsidDel="00000000" w:rsidR="00000000" w:rsidRPr="00000000">
        <w:rPr>
          <w:rFonts w:ascii="Arial" w:cs="Arial" w:eastAsia="Arial" w:hAnsi="Arial"/>
          <w:rtl w:val="0"/>
        </w:rPr>
        <w:t xml:space="preserve">A broader limitation is that the method for calculating the AMCE effectively assumes that preferences over other attributes are ignorable and homogeneous across the population. One unified method for resolving these problems is using discrete choice modelling (e.g., Train, 2003, for a comprehensive introduction), in particular, so-called random utility models or RUMs that assume that consumers purchase or choose a product or candidate when the utility is greater than for other options. This method is ubiquitous across marketing and industrial microeconomics and is used in political science as a model of voting behaviour (Glasgow, 2001; Merrill III and Adams, 2001; Stoetzer &amp; Zittlau, 2015). </w:t>
      </w:r>
    </w:p>
    <w:p w:rsidR="00000000" w:rsidDel="00000000" w:rsidP="00000000" w:rsidRDefault="00000000" w:rsidRPr="00000000" w14:paraId="00000066">
      <w:pPr>
        <w:spacing w:line="276" w:lineRule="auto"/>
        <w:jc w:val="both"/>
        <w:rPr>
          <w:rFonts w:ascii="Arial" w:cs="Arial" w:eastAsia="Arial" w:hAnsi="Arial"/>
        </w:rPr>
      </w:pPr>
      <w:r w:rsidDel="00000000" w:rsidR="00000000" w:rsidRPr="00000000">
        <w:rPr>
          <w:rFonts w:ascii="Arial" w:cs="Arial" w:eastAsia="Arial" w:hAnsi="Arial"/>
          <w:rtl w:val="0"/>
        </w:rPr>
        <w:t xml:space="preserve">Chaudhry, Dotson, and Heiss (2021) use a simple RUM, the multinomial logit model, to analyse the role of trust in individual philanthropy in a conjoint experiment. This allows them to simulate the market shares of particular combinations of NGO characteristics and explore differences across observable individual characteristics. They appear to be the only authors in a political science context to use a discrete choice model to analyse a conjoint experiment.</w:t>
      </w:r>
    </w:p>
    <w:p w:rsidR="00000000" w:rsidDel="00000000" w:rsidP="00000000" w:rsidRDefault="00000000" w:rsidRPr="00000000" w14:paraId="00000067">
      <w:pPr>
        <w:spacing w:line="276" w:lineRule="auto"/>
        <w:jc w:val="both"/>
        <w:rPr>
          <w:rFonts w:ascii="Arial" w:cs="Arial" w:eastAsia="Arial" w:hAnsi="Arial"/>
        </w:rPr>
      </w:pPr>
      <w:r w:rsidDel="00000000" w:rsidR="00000000" w:rsidRPr="00000000">
        <w:rPr>
          <w:rFonts w:ascii="Arial" w:cs="Arial" w:eastAsia="Arial" w:hAnsi="Arial"/>
          <w:rtl w:val="0"/>
        </w:rPr>
        <w:t xml:space="preserve">However, as explained in Train (2003), these models employ the Independence of Irrelevant Alternatives (IIA) assumption: the relative odds of choosing one option over another don’t change when another option is added. This assumption is often absurd in political contexts; for instance, we would expect a change in the relative odds of picking Labour and the Tories if Reform is introduced. Even if the IIA assumption was approximately correct in this experiment, there are other reasons to prefer more complex models.</w:t>
      </w:r>
    </w:p>
    <w:p w:rsidR="00000000" w:rsidDel="00000000" w:rsidP="00000000" w:rsidRDefault="00000000" w:rsidRPr="00000000" w14:paraId="00000068">
      <w:pPr>
        <w:spacing w:line="276" w:lineRule="auto"/>
        <w:jc w:val="both"/>
        <w:rPr>
          <w:rFonts w:ascii="Arial" w:cs="Arial" w:eastAsia="Arial" w:hAnsi="Arial"/>
        </w:rPr>
      </w:pPr>
      <w:r w:rsidDel="00000000" w:rsidR="00000000" w:rsidRPr="00000000">
        <w:rPr>
          <w:rFonts w:ascii="Arial" w:cs="Arial" w:eastAsia="Arial" w:hAnsi="Arial"/>
          <w:rtl w:val="0"/>
        </w:rPr>
        <w:t xml:space="preserve">In particular, so-called ‘mixed’ logit models incorporate individual-level heterogeneity over preferences over the attributes and allow those preferences to be correlated. Therefore, one person might care especially about both sets of accuracy measures (consequentialist preferences), and another might care more about which data is included and the level of racial bias (perhaps rights-based or equity-based preferences). While they were introduced by McFadden (1974), they have been computationally expensive to estimate until recently, but they have recently received fast implementation in R by Helveston (2023). Like the non-parametric AMCE estimation (see Abramson et al., 2022), they do require an assumption of no preference cycles, e.g. no preferring conservatives to liberals, moderates to conservatives, and liberals to moderates. However, with the attribute levels in this experiment, the risk of such cyclic preferences should be low, as it is likely that for most individuals, there will be an ideal point in each of them that requires trading off with other attributes. </w:t>
      </w:r>
    </w:p>
    <w:p w:rsidR="00000000" w:rsidDel="00000000" w:rsidP="00000000" w:rsidRDefault="00000000" w:rsidRPr="00000000" w14:paraId="00000069">
      <w:pPr>
        <w:spacing w:line="276" w:lineRule="auto"/>
        <w:jc w:val="both"/>
        <w:rPr>
          <w:rFonts w:ascii="Arial" w:cs="Arial" w:eastAsia="Arial" w:hAnsi="Arial"/>
        </w:rPr>
      </w:pPr>
      <w:r w:rsidDel="00000000" w:rsidR="00000000" w:rsidRPr="00000000">
        <w:rPr>
          <w:rFonts w:ascii="Arial" w:cs="Arial" w:eastAsia="Arial" w:hAnsi="Arial"/>
          <w:rtl w:val="0"/>
        </w:rPr>
        <w:t xml:space="preserve">Mixed logit models then have three significant advantages over the current approach used in political science in conjoint experiments.</w:t>
      </w:r>
    </w:p>
    <w:p w:rsidR="00000000" w:rsidDel="00000000" w:rsidP="00000000" w:rsidRDefault="00000000" w:rsidRPr="00000000" w14:paraId="0000006A">
      <w:pPr>
        <w:spacing w:line="276" w:lineRule="auto"/>
        <w:jc w:val="both"/>
        <w:rPr>
          <w:rFonts w:ascii="Arial" w:cs="Arial" w:eastAsia="Arial" w:hAnsi="Arial"/>
        </w:rPr>
      </w:pPr>
      <w:r w:rsidDel="00000000" w:rsidR="00000000" w:rsidRPr="00000000">
        <w:rPr>
          <w:rFonts w:ascii="Arial" w:cs="Arial" w:eastAsia="Arial" w:hAnsi="Arial"/>
          <w:rtl w:val="0"/>
        </w:rPr>
        <w:t xml:space="preserve">First, they allow for the estimation of how heterogeneous preferences are, even including unobserved variables. For instance, one can then answer how the importance of reducing false positives varies across the population. This matters because simply knowing something is important in aggregate tells you nothing about (dis-)agreement over its importance. Unlike the approach in Zhirkov (2022), where individual-level preferences are estimated non-parametrically, the individual-level estimates are partially pooled, i.e. estimated in part using information from other participants, leading to more efficient estimation. However, this does rely on making parametric assumptions over the individual-level preferences over attributes. Therefore, robustness checks must be performed to ensure estimates do not heavily depend on distributional choices (here, multivariate normality).</w:t>
      </w:r>
    </w:p>
    <w:p w:rsidR="00000000" w:rsidDel="00000000" w:rsidP="00000000" w:rsidRDefault="00000000" w:rsidRPr="00000000" w14:paraId="0000006B">
      <w:pPr>
        <w:spacing w:line="276" w:lineRule="auto"/>
        <w:jc w:val="both"/>
        <w:rPr>
          <w:rFonts w:ascii="Arial" w:cs="Arial" w:eastAsia="Arial" w:hAnsi="Arial"/>
        </w:rPr>
      </w:pPr>
      <w:r w:rsidDel="00000000" w:rsidR="00000000" w:rsidRPr="00000000">
        <w:rPr>
          <w:rFonts w:ascii="Arial" w:cs="Arial" w:eastAsia="Arial" w:hAnsi="Arial"/>
          <w:rtl w:val="0"/>
        </w:rPr>
        <w:t xml:space="preserve">Second, they allow for correlated preferences over attributes, such as between different types of explainability. This allows for more accurate estimation of the AMCE (see Annex 3, where I derive a general estimator for the AMCE) and may also be interesting in its own right for understanding individuals' decision-making processes. </w:t>
      </w:r>
    </w:p>
    <w:p w:rsidR="00000000" w:rsidDel="00000000" w:rsidP="00000000" w:rsidRDefault="00000000" w:rsidRPr="00000000" w14:paraId="0000006C">
      <w:pPr>
        <w:spacing w:line="276" w:lineRule="auto"/>
        <w:jc w:val="both"/>
        <w:rPr>
          <w:rFonts w:ascii="Arial" w:cs="Arial" w:eastAsia="Arial" w:hAnsi="Arial"/>
        </w:rPr>
      </w:pPr>
      <w:r w:rsidDel="00000000" w:rsidR="00000000" w:rsidRPr="00000000">
        <w:rPr>
          <w:rFonts w:ascii="Arial" w:cs="Arial" w:eastAsia="Arial" w:hAnsi="Arial"/>
          <w:rtl w:val="0"/>
        </w:rPr>
        <w:t xml:space="preserve">Third, they allow an analysis of the trade-offs between different attributes, e.g., accuracy and explainability (in economics, these are commonly expressed as willingness to pay as the focus is on price). This could have broader applicability because, for example, some attributes are difficult for a political party or immigrant to satisfy simultaneously. Further, as Abramson, Koçak, and Magazinnik (2021) note, estimating these tradeoffs allows for intentionally using the fact that conjoint experiments end up incorporating information on preference intensity and direction.</w:t>
      </w:r>
    </w:p>
    <w:p w:rsidR="00000000" w:rsidDel="00000000" w:rsidP="00000000" w:rsidRDefault="00000000" w:rsidRPr="00000000" w14:paraId="0000006D">
      <w:pPr>
        <w:spacing w:line="276" w:lineRule="auto"/>
        <w:jc w:val="both"/>
        <w:rPr>
          <w:rFonts w:ascii="Arial" w:cs="Arial" w:eastAsia="Arial" w:hAnsi="Arial"/>
        </w:rPr>
      </w:pPr>
      <w:r w:rsidDel="00000000" w:rsidR="00000000" w:rsidRPr="00000000">
        <w:rPr>
          <w:rFonts w:ascii="Arial" w:cs="Arial" w:eastAsia="Arial" w:hAnsi="Arial"/>
          <w:rtl w:val="0"/>
        </w:rPr>
        <w:t xml:space="preserve">I will compute the WTP estimates above by:</w:t>
      </w:r>
    </w:p>
    <w:p w:rsidR="00000000" w:rsidDel="00000000" w:rsidP="00000000" w:rsidRDefault="00000000" w:rsidRPr="00000000" w14:paraId="0000006E">
      <w:pPr>
        <w:numPr>
          <w:ilvl w:val="0"/>
          <w:numId w:val="2"/>
        </w:numPr>
        <w:spacing w:after="0" w:afterAutospacing="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First, computing models in preference space, see e.g. Train (2003). This will be done using:</w:t>
      </w:r>
    </w:p>
    <w:p w:rsidR="00000000" w:rsidDel="00000000" w:rsidP="00000000" w:rsidRDefault="00000000" w:rsidRPr="00000000" w14:paraId="0000006F">
      <w:pPr>
        <w:numPr>
          <w:ilvl w:val="1"/>
          <w:numId w:val="2"/>
        </w:numPr>
        <w:spacing w:after="0" w:afterAutospacing="0"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A multinomial logit.</w:t>
      </w:r>
    </w:p>
    <w:p w:rsidR="00000000" w:rsidDel="00000000" w:rsidP="00000000" w:rsidRDefault="00000000" w:rsidRPr="00000000" w14:paraId="00000070">
      <w:pPr>
        <w:numPr>
          <w:ilvl w:val="1"/>
          <w:numId w:val="2"/>
        </w:numPr>
        <w:spacing w:after="0" w:afterAutospacing="0"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A mixed logit with uncorrelated normally distributed random coefficients on all parameters.</w:t>
      </w:r>
    </w:p>
    <w:p w:rsidR="00000000" w:rsidDel="00000000" w:rsidP="00000000" w:rsidRDefault="00000000" w:rsidRPr="00000000" w14:paraId="00000071">
      <w:pPr>
        <w:numPr>
          <w:ilvl w:val="1"/>
          <w:numId w:val="2"/>
        </w:numPr>
        <w:spacing w:after="0" w:afterAutospacing="0"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A mixed logit with correlated normally distributed random coefficients on all parameters. This may not be fit if it cannot be made to converge using reasonable changes to the optimisation routine in logitr, e.g. by varying the error tolerance.</w:t>
      </w:r>
    </w:p>
    <w:p w:rsidR="00000000" w:rsidDel="00000000" w:rsidP="00000000" w:rsidRDefault="00000000" w:rsidRPr="00000000" w14:paraId="00000072">
      <w:pPr>
        <w:numPr>
          <w:ilvl w:val="1"/>
          <w:numId w:val="2"/>
        </w:numPr>
        <w:spacing w:after="0" w:afterAutospacing="0"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A mixed logit with normally distributed random coefficients on the procedural safeguards, and log-normal distributed random coefficients on the accuracy measures (as assumably all participants will want more accurate models). </w:t>
      </w:r>
    </w:p>
    <w:p w:rsidR="00000000" w:rsidDel="00000000" w:rsidP="00000000" w:rsidRDefault="00000000" w:rsidRPr="00000000" w14:paraId="00000073">
      <w:pPr>
        <w:numPr>
          <w:ilvl w:val="1"/>
          <w:numId w:val="2"/>
        </w:numPr>
        <w:spacing w:after="0" w:afterAutospacing="0"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All models will share to begin as covariates the attribute levels.</w:t>
      </w:r>
    </w:p>
    <w:p w:rsidR="00000000" w:rsidDel="00000000" w:rsidP="00000000" w:rsidRDefault="00000000" w:rsidRPr="00000000" w14:paraId="00000074">
      <w:pPr>
        <w:numPr>
          <w:ilvl w:val="1"/>
          <w:numId w:val="2"/>
        </w:numPr>
        <w:spacing w:after="0" w:afterAutospacing="0"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In addition, in an omnibus model, there may be included the following interacted with the covariates: task number, whether the profile was right or left, and the attribute orders. If necessary for model convergence reasons, these may be run separately, or substituted out for graphical checks.</w:t>
      </w:r>
    </w:p>
    <w:p w:rsidR="00000000" w:rsidDel="00000000" w:rsidP="00000000" w:rsidRDefault="00000000" w:rsidRPr="00000000" w14:paraId="00000075">
      <w:pPr>
        <w:numPr>
          <w:ilvl w:val="1"/>
          <w:numId w:val="2"/>
        </w:numPr>
        <w:spacing w:after="0" w:afterAutospacing="0"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Interactions with the trust measures will be included in separate models. The four social worker trust measures will be interacted with the role of the social worker in decision making. In addition, the local government trust measure and legal system trust measure will be interacted with the two transparency measures. This is based on what it would make most sense for those trust measures to affect, and to contain what interaction effects are modelled. If necessary, this may only be fit on the best-performing model on the base model of attributes only.</w:t>
      </w:r>
    </w:p>
    <w:p w:rsidR="00000000" w:rsidDel="00000000" w:rsidP="00000000" w:rsidRDefault="00000000" w:rsidRPr="00000000" w14:paraId="00000076">
      <w:pPr>
        <w:numPr>
          <w:ilvl w:val="1"/>
          <w:numId w:val="2"/>
        </w:numPr>
        <w:spacing w:after="0" w:afterAutospacing="0"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Interactions with age and education (taken as having a bachelor’s degree or above or not as a binary) will be included with all attributes. This may be fit separately to the trust model.</w:t>
      </w:r>
    </w:p>
    <w:p w:rsidR="00000000" w:rsidDel="00000000" w:rsidP="00000000" w:rsidRDefault="00000000" w:rsidRPr="00000000" w14:paraId="00000077">
      <w:pPr>
        <w:numPr>
          <w:ilvl w:val="0"/>
          <w:numId w:val="2"/>
        </w:numPr>
        <w:spacing w:after="0" w:afterAutospacing="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Second, the above models will be compared for fit using AIC, BIC, and adjusted McFadden R^2, but all WTP and other results will be reported.</w:t>
      </w:r>
    </w:p>
    <w:p w:rsidR="00000000" w:rsidDel="00000000" w:rsidP="00000000" w:rsidRDefault="00000000" w:rsidRPr="00000000" w14:paraId="00000078">
      <w:pPr>
        <w:numPr>
          <w:ilvl w:val="0"/>
          <w:numId w:val="2"/>
        </w:numPr>
        <w:spacing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Third, models will be run in willingness-to-pay space to check if this moves the results, using the same distributions as above, but on the WTP parameters, as explained here: </w:t>
      </w:r>
    </w:p>
    <w:p w:rsidR="00000000" w:rsidDel="00000000" w:rsidP="00000000" w:rsidRDefault="00000000" w:rsidRPr="00000000" w14:paraId="00000079">
      <w:pPr>
        <w:spacing w:line="276" w:lineRule="auto"/>
        <w:ind w:left="720" w:firstLine="0"/>
        <w:jc w:val="both"/>
        <w:rPr>
          <w:rFonts w:ascii="Arial" w:cs="Arial" w:eastAsia="Arial" w:hAnsi="Arial"/>
        </w:rPr>
      </w:pPr>
      <w:hyperlink r:id="rId8">
        <w:r w:rsidDel="00000000" w:rsidR="00000000" w:rsidRPr="00000000">
          <w:rPr>
            <w:rFonts w:ascii="Arial" w:cs="Arial" w:eastAsia="Arial" w:hAnsi="Arial"/>
            <w:color w:val="1155cc"/>
            <w:u w:val="single"/>
            <w:rtl w:val="0"/>
          </w:rPr>
          <w:t xml:space="preserve">https://cran.r-project.org/web/packages/logitr/vignettes/mxl_models.html</w:t>
        </w:r>
      </w:hyperlink>
      <w:r w:rsidDel="00000000" w:rsidR="00000000" w:rsidRPr="00000000">
        <w:rPr>
          <w:rFonts w:ascii="Arial" w:cs="Arial" w:eastAsia="Arial" w:hAnsi="Arial"/>
          <w:rtl w:val="0"/>
        </w:rPr>
        <w:t xml:space="preserve">. </w:t>
      </w:r>
    </w:p>
    <w:p w:rsidR="00000000" w:rsidDel="00000000" w:rsidP="00000000" w:rsidRDefault="00000000" w:rsidRPr="00000000" w14:paraId="0000007A">
      <w:pPr>
        <w:spacing w:line="276" w:lineRule="auto"/>
        <w:jc w:val="both"/>
        <w:rPr>
          <w:rFonts w:ascii="Arial" w:cs="Arial" w:eastAsia="Arial" w:hAnsi="Arial"/>
        </w:rPr>
      </w:pPr>
      <w:r w:rsidDel="00000000" w:rsidR="00000000" w:rsidRPr="00000000">
        <w:rPr>
          <w:rFonts w:ascii="Arial" w:cs="Arial" w:eastAsia="Arial" w:hAnsi="Arial"/>
          <w:rtl w:val="0"/>
        </w:rPr>
        <w:t xml:space="preserve">As robustness checks, I will:</w:t>
      </w:r>
    </w:p>
    <w:p w:rsidR="00000000" w:rsidDel="00000000" w:rsidP="00000000" w:rsidRDefault="00000000" w:rsidRPr="00000000" w14:paraId="0000007B">
      <w:pPr>
        <w:numPr>
          <w:ilvl w:val="0"/>
          <w:numId w:val="4"/>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Pay attention how with conjoint experiments is that even if participants pass standard attention checks (as in those from Berinsky, Margolis, &amp; Sances, 2014 used by Horvath et al., 2023), conjoint analysis inherently involves considering trade-offs between attributes, which is potentially cognitively difficult and often avoided in survey design. Clayton et al. (2023) show that only about 80% of participants make consistent choices in conjoint experiments. This experiment adopts their recommendation on implementing a flipped version of the first task as the last task in the experiment, and their correction for intra-respondent reliability will be computed (this was used to inflate the MDES used in the power calculation above). It should be noted that this correction assumes that reliability is not linearly related to preferences over attributes – and relaxing this is explored below. </w:t>
      </w:r>
    </w:p>
    <w:p w:rsidR="00000000" w:rsidDel="00000000" w:rsidP="00000000" w:rsidRDefault="00000000" w:rsidRPr="00000000" w14:paraId="0000007C">
      <w:pPr>
        <w:numPr>
          <w:ilvl w:val="1"/>
          <w:numId w:val="4"/>
        </w:numPr>
        <w:spacing w:line="276" w:lineRule="auto"/>
        <w:ind w:left="1440" w:hanging="360"/>
        <w:jc w:val="both"/>
        <w:rPr>
          <w:rFonts w:ascii="Arial" w:cs="Arial" w:eastAsia="Arial" w:hAnsi="Arial"/>
        </w:rPr>
      </w:pPr>
      <w:r w:rsidDel="00000000" w:rsidR="00000000" w:rsidRPr="00000000">
        <w:rPr>
          <w:rFonts w:ascii="Arial" w:cs="Arial" w:eastAsia="Arial" w:hAnsi="Arial"/>
          <w:rtl w:val="0"/>
        </w:rPr>
        <w:t xml:space="preserve">I will test for the problems of attention to multiple attributes outlined by Clayton et al. (2023) by checking what fraction made the same choice in the swapped first and seventh choice tasks. I will compute the conservative AMCE CIs suggested in Clayton et al. (2023) and report them where applicable. </w:t>
      </w:r>
    </w:p>
    <w:p w:rsidR="00000000" w:rsidDel="00000000" w:rsidP="00000000" w:rsidRDefault="00000000" w:rsidRPr="00000000" w14:paraId="0000007D">
      <w:pPr>
        <w:numPr>
          <w:ilvl w:val="1"/>
          <w:numId w:val="4"/>
        </w:numPr>
        <w:spacing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In the context of measuring the reliability of individual response, as in Clayton et al. (2023) discussed above, RUMs allow for relaxing the assumption that reliability is not linearly related to preferences over attributes. For example, I will add a binary variable for consistent choices (through their trick of having the first and last choice situations be identical) and then interact that variable with attribute levels. That would allow for measuring whether reliability partly depends on what choice situations individuals see, as it could be that some are more nuanced and therefore cause less reliability or that some are more extreme and promote reliability.</w:t>
      </w:r>
      <w:r w:rsidDel="00000000" w:rsidR="00000000" w:rsidRPr="00000000">
        <w:rPr>
          <w:rtl w:val="0"/>
        </w:rPr>
      </w:r>
    </w:p>
    <w:p w:rsidR="00000000" w:rsidDel="00000000" w:rsidP="00000000" w:rsidRDefault="00000000" w:rsidRPr="00000000" w14:paraId="0000007E">
      <w:pPr>
        <w:numPr>
          <w:ilvl w:val="0"/>
          <w:numId w:val="4"/>
        </w:numPr>
        <w:spacing w:after="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Include a comprehension check to check what fraction of participants can correctly recall one of the attributes.</w:t>
      </w:r>
      <w:r w:rsidDel="00000000" w:rsidR="00000000" w:rsidRPr="00000000">
        <w:rPr>
          <w:rtl w:val="0"/>
        </w:rPr>
      </w:r>
    </w:p>
    <w:p w:rsidR="00000000" w:rsidDel="00000000" w:rsidP="00000000" w:rsidRDefault="00000000" w:rsidRPr="00000000" w14:paraId="0000007F">
      <w:pPr>
        <w:numPr>
          <w:ilvl w:val="0"/>
          <w:numId w:val="4"/>
        </w:numPr>
        <w:spacing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Per Berinsky, Margolis, &amp; Sances (2014), I will also report the WTP estimates for those who have passed 1 or 2 attention checks to see if there are qualitative differences. Those who fail both attention checks will be excluded.</w:t>
      </w:r>
    </w:p>
    <w:p w:rsidR="00000000" w:rsidDel="00000000" w:rsidP="00000000" w:rsidRDefault="00000000" w:rsidRPr="00000000" w14:paraId="00000080">
      <w:pPr>
        <w:spacing w:line="276" w:lineRule="auto"/>
        <w:jc w:val="both"/>
        <w:rPr>
          <w:rFonts w:ascii="Arial" w:cs="Arial" w:eastAsia="Arial" w:hAnsi="Arial"/>
        </w:rPr>
      </w:pPr>
      <w:r w:rsidDel="00000000" w:rsidR="00000000" w:rsidRPr="00000000">
        <w:rPr>
          <w:rFonts w:ascii="Arial" w:cs="Arial" w:eastAsia="Arial" w:hAnsi="Arial"/>
          <w:rtl w:val="0"/>
        </w:rPr>
        <w:t xml:space="preserve">If fit, I will also compute the AMCEs from the correlated model to show how this might change estimated AMCEs. I may also compare the random coefficients distributions with the individual effects estimated in Zhirkov (2022) to show efficiency gains from such estimation.</w:t>
      </w:r>
    </w:p>
    <w:p w:rsidR="00000000" w:rsidDel="00000000" w:rsidP="00000000" w:rsidRDefault="00000000" w:rsidRPr="00000000" w14:paraId="00000081">
      <w:pPr>
        <w:spacing w:line="276" w:lineRule="auto"/>
        <w:jc w:val="both"/>
        <w:rPr>
          <w:rFonts w:ascii="Arial" w:cs="Arial" w:eastAsia="Arial" w:hAnsi="Arial"/>
        </w:rPr>
      </w:pPr>
      <w:r w:rsidDel="00000000" w:rsidR="00000000" w:rsidRPr="00000000">
        <w:rPr>
          <w:rFonts w:ascii="Arial" w:cs="Arial" w:eastAsia="Arial" w:hAnsi="Arial"/>
          <w:rtl w:val="0"/>
        </w:rPr>
        <w:t xml:space="preserve">Any analysis not described here will be purely exploratory, and described as having come after the pre-registration.</w:t>
      </w:r>
    </w:p>
    <w:p w:rsidR="00000000" w:rsidDel="00000000" w:rsidP="00000000" w:rsidRDefault="00000000" w:rsidRPr="00000000" w14:paraId="00000082">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3">
      <w:pPr>
        <w:spacing w:line="276"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Research Ethics Approval, Consent, and Confidentiality:</w:t>
      </w:r>
    </w:p>
    <w:p w:rsidR="00000000" w:rsidDel="00000000" w:rsidP="00000000" w:rsidRDefault="00000000" w:rsidRPr="00000000" w14:paraId="00000084">
      <w:pPr>
        <w:spacing w:line="276" w:lineRule="auto"/>
        <w:jc w:val="both"/>
        <w:rPr>
          <w:rFonts w:ascii="Arial" w:cs="Arial" w:eastAsia="Arial" w:hAnsi="Arial"/>
        </w:rPr>
      </w:pPr>
      <w:r w:rsidDel="00000000" w:rsidR="00000000" w:rsidRPr="00000000">
        <w:rPr>
          <w:rFonts w:ascii="Arial" w:cs="Arial" w:eastAsia="Arial" w:hAnsi="Arial"/>
          <w:rtl w:val="0"/>
        </w:rPr>
        <w:t xml:space="preserve">Research Ethics approval was obtained through the Birkbeck School of Social Sciences’ process.</w:t>
      </w:r>
    </w:p>
    <w:p w:rsidR="00000000" w:rsidDel="00000000" w:rsidP="00000000" w:rsidRDefault="00000000" w:rsidRPr="00000000" w14:paraId="00000085">
      <w:pPr>
        <w:spacing w:line="276" w:lineRule="auto"/>
        <w:jc w:val="both"/>
        <w:rPr>
          <w:rFonts w:ascii="Arial" w:cs="Arial" w:eastAsia="Arial" w:hAnsi="Arial"/>
        </w:rPr>
      </w:pPr>
      <w:r w:rsidDel="00000000" w:rsidR="00000000" w:rsidRPr="00000000">
        <w:rPr>
          <w:rFonts w:ascii="Arial" w:cs="Arial" w:eastAsia="Arial" w:hAnsi="Arial"/>
          <w:rtl w:val="0"/>
        </w:rPr>
        <w:t xml:space="preserve">Informed consent will be obtained from all participants, including clarifying the purpose of the research, flagging the potential for content that might distress participants, and clarifying that the data will be retained in an anonymised form and published in a public repository.  </w:t>
      </w:r>
    </w:p>
    <w:p w:rsidR="00000000" w:rsidDel="00000000" w:rsidP="00000000" w:rsidRDefault="00000000" w:rsidRPr="00000000" w14:paraId="00000086">
      <w:pPr>
        <w:spacing w:line="276" w:lineRule="auto"/>
        <w:jc w:val="both"/>
        <w:rPr>
          <w:rFonts w:ascii="Arial" w:cs="Arial" w:eastAsia="Arial" w:hAnsi="Arial"/>
        </w:rPr>
      </w:pPr>
      <w:r w:rsidDel="00000000" w:rsidR="00000000" w:rsidRPr="00000000">
        <w:rPr>
          <w:rFonts w:ascii="Arial" w:cs="Arial" w:eastAsia="Arial" w:hAnsi="Arial"/>
          <w:rtl w:val="0"/>
        </w:rPr>
        <w:t xml:space="preserve">Prolific maintains confidentiality by only providing researchers with an anonymised ID and ensuring that demographic information does not make participants identifiable. </w:t>
      </w:r>
    </w:p>
    <w:p w:rsidR="00000000" w:rsidDel="00000000" w:rsidP="00000000" w:rsidRDefault="00000000" w:rsidRPr="00000000" w14:paraId="00000087">
      <w:pPr>
        <w:spacing w:line="276" w:lineRule="auto"/>
        <w:jc w:val="both"/>
        <w:rPr>
          <w:rFonts w:ascii="Arial" w:cs="Arial" w:eastAsia="Arial" w:hAnsi="Arial"/>
        </w:rPr>
      </w:pPr>
      <w:r w:rsidDel="00000000" w:rsidR="00000000" w:rsidRPr="00000000">
        <w:rPr>
          <w:rFonts w:ascii="Arial" w:cs="Arial" w:eastAsia="Arial" w:hAnsi="Arial"/>
          <w:b w:val="1"/>
          <w:sz w:val="28"/>
          <w:szCs w:val="28"/>
          <w:rtl w:val="0"/>
        </w:rPr>
        <w:t xml:space="preserve">Dissemination</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b w:val="1"/>
          <w:sz w:val="28"/>
          <w:szCs w:val="28"/>
          <w:rtl w:val="0"/>
        </w:rPr>
        <w:t xml:space="preserve">Policy:</w:t>
      </w:r>
      <w:r w:rsidDel="00000000" w:rsidR="00000000" w:rsidRPr="00000000">
        <w:rPr>
          <w:rFonts w:ascii="Arial" w:cs="Arial" w:eastAsia="Arial" w:hAnsi="Arial"/>
          <w:rtl w:val="0"/>
        </w:rPr>
        <w:t xml:space="preserve"> The results will be included in Daniel’s PhD thesis and submitted to a journal (likely either </w:t>
      </w:r>
      <w:r w:rsidDel="00000000" w:rsidR="00000000" w:rsidRPr="00000000">
        <w:rPr>
          <w:rFonts w:ascii="Arial" w:cs="Arial" w:eastAsia="Arial" w:hAnsi="Arial"/>
          <w:i w:val="1"/>
          <w:rtl w:val="0"/>
        </w:rPr>
        <w:t xml:space="preserve">Political</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Analysis</w:t>
      </w:r>
      <w:r w:rsidDel="00000000" w:rsidR="00000000" w:rsidRPr="00000000">
        <w:rPr>
          <w:rFonts w:ascii="Arial" w:cs="Arial" w:eastAsia="Arial" w:hAnsi="Arial"/>
          <w:rtl w:val="0"/>
        </w:rPr>
        <w:t xml:space="preserve"> or the </w:t>
      </w:r>
      <w:r w:rsidDel="00000000" w:rsidR="00000000" w:rsidRPr="00000000">
        <w:rPr>
          <w:rFonts w:ascii="Arial" w:cs="Arial" w:eastAsia="Arial" w:hAnsi="Arial"/>
          <w:i w:val="1"/>
          <w:rtl w:val="0"/>
        </w:rPr>
        <w:t xml:space="preserve">Journal</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of</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Experimental</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Political</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Science</w:t>
      </w:r>
      <w:r w:rsidDel="00000000" w:rsidR="00000000" w:rsidRPr="00000000">
        <w:rPr>
          <w:rFonts w:ascii="Arial" w:cs="Arial" w:eastAsia="Arial" w:hAnsi="Arial"/>
          <w:rtl w:val="0"/>
        </w:rPr>
        <w:t xml:space="preserve">) for publication. They will also be disseminated to social work practitioners through submissions to the Community Care and Professional Social Work newsletters. Finally, they will be communicated to data scientists through a conference such as ACM FAccT. </w:t>
      </w:r>
    </w:p>
    <w:p w:rsidR="00000000" w:rsidDel="00000000" w:rsidP="00000000" w:rsidRDefault="00000000" w:rsidRPr="00000000" w14:paraId="00000088">
      <w:pPr>
        <w:spacing w:line="276"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Bibliography: </w:t>
      </w:r>
      <w:r w:rsidDel="00000000" w:rsidR="00000000" w:rsidRPr="00000000">
        <w:rPr>
          <w:rtl w:val="0"/>
        </w:rPr>
      </w:r>
    </w:p>
    <w:p w:rsidR="00000000" w:rsidDel="00000000" w:rsidP="00000000" w:rsidRDefault="00000000" w:rsidRPr="00000000" w14:paraId="00000089">
      <w:pPr>
        <w:spacing w:after="0" w:line="276" w:lineRule="auto"/>
        <w:jc w:val="both"/>
        <w:rPr>
          <w:rFonts w:ascii="Arial" w:cs="Arial" w:eastAsia="Arial" w:hAnsi="Arial"/>
        </w:rPr>
      </w:pPr>
      <w:r w:rsidDel="00000000" w:rsidR="00000000" w:rsidRPr="00000000">
        <w:rPr>
          <w:rFonts w:ascii="Arial" w:cs="Arial" w:eastAsia="Arial" w:hAnsi="Arial"/>
          <w:rtl w:val="0"/>
        </w:rPr>
        <w:t xml:space="preserve">Abramson, S.F., Kocak, K., and Magazinnik, A. (2022). What Do We Learn about Voter Preferences from Conjoint Experiments? </w:t>
      </w:r>
      <w:r w:rsidDel="00000000" w:rsidR="00000000" w:rsidRPr="00000000">
        <w:rPr>
          <w:rFonts w:ascii="Arial" w:cs="Arial" w:eastAsia="Arial" w:hAnsi="Arial"/>
          <w:i w:val="1"/>
          <w:rtl w:val="0"/>
        </w:rPr>
        <w:t xml:space="preserve">American Journal of Political Science</w:t>
      </w:r>
      <w:r w:rsidDel="00000000" w:rsidR="00000000" w:rsidRPr="00000000">
        <w:rPr>
          <w:rFonts w:ascii="Arial" w:cs="Arial" w:eastAsia="Arial" w:hAnsi="Arial"/>
          <w:rtl w:val="0"/>
        </w:rPr>
        <w:t xml:space="preserve">, 66, 1008-1020. </w:t>
      </w:r>
      <w:hyperlink r:id="rId9">
        <w:r w:rsidDel="00000000" w:rsidR="00000000" w:rsidRPr="00000000">
          <w:rPr>
            <w:rFonts w:ascii="Arial" w:cs="Arial" w:eastAsia="Arial" w:hAnsi="Arial"/>
            <w:color w:val="0000ff"/>
            <w:u w:val="single"/>
            <w:rtl w:val="0"/>
          </w:rPr>
          <w:t xml:space="preserve">https://doi.org/10.1111/ajps.12714</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A">
      <w:pP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B">
      <w:pPr>
        <w:spacing w:after="0" w:line="276" w:lineRule="auto"/>
        <w:jc w:val="both"/>
        <w:rPr>
          <w:rFonts w:ascii="Arial" w:cs="Arial" w:eastAsia="Arial" w:hAnsi="Arial"/>
        </w:rPr>
      </w:pPr>
      <w:r w:rsidDel="00000000" w:rsidR="00000000" w:rsidRPr="00000000">
        <w:rPr>
          <w:rFonts w:ascii="Arial" w:cs="Arial" w:eastAsia="Arial" w:hAnsi="Arial"/>
          <w:rtl w:val="0"/>
        </w:rPr>
        <w:t xml:space="preserve">Alan Turing Institute. (2023). How do people feel about AI? Available at: </w:t>
      </w:r>
      <w:hyperlink r:id="rId10">
        <w:r w:rsidDel="00000000" w:rsidR="00000000" w:rsidRPr="00000000">
          <w:rPr>
            <w:rFonts w:ascii="Arial" w:cs="Arial" w:eastAsia="Arial" w:hAnsi="Arial"/>
            <w:color w:val="0000ff"/>
            <w:u w:val="single"/>
            <w:rtl w:val="0"/>
          </w:rPr>
          <w:t xml:space="preserve">https://www.turing.ac.uk/news/publications/how-do-people-feel-about-ai</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C">
      <w:pP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D">
      <w:pPr>
        <w:spacing w:after="0" w:line="276" w:lineRule="auto"/>
        <w:jc w:val="both"/>
        <w:rPr>
          <w:rFonts w:ascii="Arial" w:cs="Arial" w:eastAsia="Arial" w:hAnsi="Arial"/>
        </w:rPr>
      </w:pPr>
      <w:r w:rsidDel="00000000" w:rsidR="00000000" w:rsidRPr="00000000">
        <w:rPr>
          <w:rFonts w:ascii="Arial" w:cs="Arial" w:eastAsia="Arial" w:hAnsi="Arial"/>
          <w:rtl w:val="0"/>
        </w:rPr>
        <w:t xml:space="preserve">Allegheny County. (2019). Allegheny Family Screening Tool, Version 2. </w:t>
      </w:r>
      <w:hyperlink r:id="rId11">
        <w:r w:rsidDel="00000000" w:rsidR="00000000" w:rsidRPr="00000000">
          <w:rPr>
            <w:rFonts w:ascii="Arial" w:cs="Arial" w:eastAsia="Arial" w:hAnsi="Arial"/>
            <w:color w:val="1155cc"/>
            <w:u w:val="single"/>
            <w:rtl w:val="0"/>
          </w:rPr>
          <w:t xml:space="preserve">https://www.alleghenycountyanalytics.us/wp-content/uploads/2019/05/Methodology-V2-from-16-ACDHS-26_PredictiveRisk_Package_050119_FINAL-7.pdf</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E">
      <w:pPr>
        <w:spacing w:after="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F">
      <w:pPr>
        <w:spacing w:line="276" w:lineRule="auto"/>
        <w:rPr>
          <w:rFonts w:ascii="Arial" w:cs="Arial" w:eastAsia="Arial" w:hAnsi="Arial"/>
        </w:rPr>
      </w:pPr>
      <w:r w:rsidDel="00000000" w:rsidR="00000000" w:rsidRPr="00000000">
        <w:rPr>
          <w:rFonts w:ascii="Arial" w:cs="Arial" w:eastAsia="Arial" w:hAnsi="Arial"/>
          <w:rtl w:val="0"/>
        </w:rPr>
        <w:t xml:space="preserve">Bansak, K., Hainmueller, J., Hopkins, D.J., and Yamamoto, T. (2018). The Number of Choice Tasks and Survey Satisficing in Conjoint Experiments. </w:t>
      </w:r>
      <w:r w:rsidDel="00000000" w:rsidR="00000000" w:rsidRPr="00000000">
        <w:rPr>
          <w:rFonts w:ascii="Arial" w:cs="Arial" w:eastAsia="Arial" w:hAnsi="Arial"/>
          <w:i w:val="1"/>
          <w:rtl w:val="0"/>
        </w:rPr>
        <w:t xml:space="preserve">Political Analysis</w:t>
      </w:r>
      <w:r w:rsidDel="00000000" w:rsidR="00000000" w:rsidRPr="00000000">
        <w:rPr>
          <w:rFonts w:ascii="Arial" w:cs="Arial" w:eastAsia="Arial" w:hAnsi="Arial"/>
          <w:rtl w:val="0"/>
        </w:rPr>
        <w:t xml:space="preserve">, 26(1): 112-119.</w:t>
      </w:r>
    </w:p>
    <w:p w:rsidR="00000000" w:rsidDel="00000000" w:rsidP="00000000" w:rsidRDefault="00000000" w:rsidRPr="00000000" w14:paraId="00000090">
      <w:pPr>
        <w:spacing w:line="276" w:lineRule="auto"/>
        <w:rPr>
          <w:rFonts w:ascii="Arial" w:cs="Arial" w:eastAsia="Arial" w:hAnsi="Arial"/>
        </w:rPr>
      </w:pPr>
      <w:r w:rsidDel="00000000" w:rsidR="00000000" w:rsidRPr="00000000">
        <w:rPr>
          <w:rFonts w:ascii="Arial" w:cs="Arial" w:eastAsia="Arial" w:hAnsi="Arial"/>
          <w:rtl w:val="0"/>
        </w:rPr>
        <w:t xml:space="preserve">Barari, S., Berwick, E., Hainmueller, J., Hopkins, D., Liu, S., Strezhnev, A., and Yamamoto, T. (2023). </w:t>
      </w:r>
      <w:r w:rsidDel="00000000" w:rsidR="00000000" w:rsidRPr="00000000">
        <w:rPr>
          <w:rFonts w:ascii="Arial" w:cs="Arial" w:eastAsia="Arial" w:hAnsi="Arial"/>
          <w:i w:val="1"/>
          <w:rtl w:val="0"/>
        </w:rPr>
        <w:t xml:space="preserve">cjoint</w:t>
      </w:r>
      <w:r w:rsidDel="00000000" w:rsidR="00000000" w:rsidRPr="00000000">
        <w:rPr>
          <w:rFonts w:ascii="Arial" w:cs="Arial" w:eastAsia="Arial" w:hAnsi="Arial"/>
          <w:rtl w:val="0"/>
        </w:rPr>
        <w:t xml:space="preserve">. [Source code]. </w:t>
      </w:r>
      <w:hyperlink r:id="rId12">
        <w:r w:rsidDel="00000000" w:rsidR="00000000" w:rsidRPr="00000000">
          <w:rPr>
            <w:rFonts w:ascii="Arial" w:cs="Arial" w:eastAsia="Arial" w:hAnsi="Arial"/>
            <w:color w:val="0000ff"/>
            <w:u w:val="single"/>
            <w:rtl w:val="0"/>
          </w:rPr>
          <w:t xml:space="preserve">https://cran.r-project.org/web/packages/cjoint/cjoint.pdf</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1">
      <w:pPr>
        <w:spacing w:line="276" w:lineRule="auto"/>
        <w:rPr>
          <w:rFonts w:ascii="Arial" w:cs="Arial" w:eastAsia="Arial" w:hAnsi="Arial"/>
        </w:rPr>
      </w:pPr>
      <w:r w:rsidDel="00000000" w:rsidR="00000000" w:rsidRPr="00000000">
        <w:rPr>
          <w:rFonts w:ascii="Arial" w:cs="Arial" w:eastAsia="Arial" w:hAnsi="Arial"/>
          <w:rtl w:val="0"/>
        </w:rPr>
        <w:t xml:space="preserve">Bauer, M., Chytilová, J., and Miguel, E. (2020). Using survey questions to measure preferences: Lessons from an experimental validation in Kenya, </w:t>
      </w:r>
      <w:r w:rsidDel="00000000" w:rsidR="00000000" w:rsidRPr="00000000">
        <w:rPr>
          <w:rFonts w:ascii="Arial" w:cs="Arial" w:eastAsia="Arial" w:hAnsi="Arial"/>
          <w:i w:val="1"/>
          <w:rtl w:val="0"/>
        </w:rPr>
        <w:t xml:space="preserve">European Economic Review</w:t>
      </w:r>
      <w:r w:rsidDel="00000000" w:rsidR="00000000" w:rsidRPr="00000000">
        <w:rPr>
          <w:rFonts w:ascii="Arial" w:cs="Arial" w:eastAsia="Arial" w:hAnsi="Arial"/>
          <w:rtl w:val="0"/>
        </w:rPr>
        <w:t xml:space="preserve">, 127. </w:t>
      </w:r>
      <w:hyperlink r:id="rId13">
        <w:r w:rsidDel="00000000" w:rsidR="00000000" w:rsidRPr="00000000">
          <w:rPr>
            <w:rFonts w:ascii="Arial" w:cs="Arial" w:eastAsia="Arial" w:hAnsi="Arial"/>
            <w:color w:val="1155cc"/>
            <w:u w:val="single"/>
            <w:rtl w:val="0"/>
          </w:rPr>
          <w:t xml:space="preserve">https://doi.org/10.1016/j.euroecorev.2020.103493</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2">
      <w:pPr>
        <w:spacing w:line="276" w:lineRule="auto"/>
        <w:rPr>
          <w:rFonts w:ascii="Arial" w:cs="Arial" w:eastAsia="Arial" w:hAnsi="Arial"/>
        </w:rPr>
      </w:pPr>
      <w:r w:rsidDel="00000000" w:rsidR="00000000" w:rsidRPr="00000000">
        <w:rPr>
          <w:rFonts w:ascii="Arial" w:cs="Arial" w:eastAsia="Arial" w:hAnsi="Arial"/>
          <w:rtl w:val="0"/>
        </w:rPr>
        <w:t xml:space="preserve">Berinsky, A.J., Margolis, M.F., and Sances, M.W. (2013). Separating the Shirkers from the Workers? Making Sure Respondents Pay Attention on Self-Administered Surveys. </w:t>
      </w:r>
      <w:r w:rsidDel="00000000" w:rsidR="00000000" w:rsidRPr="00000000">
        <w:rPr>
          <w:rFonts w:ascii="Arial" w:cs="Arial" w:eastAsia="Arial" w:hAnsi="Arial"/>
          <w:i w:val="1"/>
          <w:rtl w:val="0"/>
        </w:rPr>
        <w:t xml:space="preserve">American Journal of Political Science</w:t>
      </w:r>
      <w:r w:rsidDel="00000000" w:rsidR="00000000" w:rsidRPr="00000000">
        <w:rPr>
          <w:rFonts w:ascii="Arial" w:cs="Arial" w:eastAsia="Arial" w:hAnsi="Arial"/>
          <w:rtl w:val="0"/>
        </w:rPr>
        <w:t xml:space="preserve">, 58(3), 739-753. </w:t>
      </w:r>
      <w:hyperlink r:id="rId14">
        <w:r w:rsidDel="00000000" w:rsidR="00000000" w:rsidRPr="00000000">
          <w:rPr>
            <w:rFonts w:ascii="Arial" w:cs="Arial" w:eastAsia="Arial" w:hAnsi="Arial"/>
            <w:color w:val="0000ff"/>
            <w:u w:val="single"/>
            <w:rtl w:val="0"/>
          </w:rPr>
          <w:t xml:space="preserve">https://doi.org/10.1111/ajps.12081</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3">
      <w:pPr>
        <w:spacing w:line="276" w:lineRule="auto"/>
        <w:rPr>
          <w:rFonts w:ascii="Arial" w:cs="Arial" w:eastAsia="Arial" w:hAnsi="Arial"/>
        </w:rPr>
      </w:pPr>
      <w:r w:rsidDel="00000000" w:rsidR="00000000" w:rsidRPr="00000000">
        <w:rPr>
          <w:rFonts w:ascii="Arial" w:cs="Arial" w:eastAsia="Arial" w:hAnsi="Arial"/>
          <w:rtl w:val="0"/>
        </w:rPr>
        <w:t xml:space="preserve">Bristol City Council (2024). Insight Bristol and the Think Family Database. Available at: </w:t>
      </w:r>
      <w:hyperlink r:id="rId15">
        <w:r w:rsidDel="00000000" w:rsidR="00000000" w:rsidRPr="00000000">
          <w:rPr>
            <w:rFonts w:ascii="Arial" w:cs="Arial" w:eastAsia="Arial" w:hAnsi="Arial"/>
            <w:color w:val="1155cc"/>
            <w:u w:val="single"/>
            <w:rtl w:val="0"/>
          </w:rPr>
          <w:t xml:space="preserve">https://www.bristol.gov.uk/residents/social-care-and-health/children-and-families/insight-bristol</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4">
      <w:pPr>
        <w:spacing w:line="276" w:lineRule="auto"/>
        <w:rPr>
          <w:rFonts w:ascii="Arial" w:cs="Arial" w:eastAsia="Arial" w:hAnsi="Arial"/>
        </w:rPr>
      </w:pPr>
      <w:r w:rsidDel="00000000" w:rsidR="00000000" w:rsidRPr="00000000">
        <w:rPr>
          <w:rFonts w:ascii="Arial" w:cs="Arial" w:eastAsia="Arial" w:hAnsi="Arial"/>
          <w:rtl w:val="0"/>
        </w:rPr>
        <w:t xml:space="preserve">Chan, A-W, Tetzlaff, J.M., Altman, D.G. et. al. (2013). SPIRIT 2013 Statement: Defining Standard Protocol Items for Clinical Trials. </w:t>
      </w:r>
      <w:r w:rsidDel="00000000" w:rsidR="00000000" w:rsidRPr="00000000">
        <w:rPr>
          <w:rFonts w:ascii="Arial" w:cs="Arial" w:eastAsia="Arial" w:hAnsi="Arial"/>
          <w:i w:val="1"/>
          <w:rtl w:val="0"/>
        </w:rPr>
        <w:t xml:space="preserve">Annals of Internal Medicine. </w:t>
      </w:r>
      <w:r w:rsidDel="00000000" w:rsidR="00000000" w:rsidRPr="00000000">
        <w:rPr>
          <w:rFonts w:ascii="Arial" w:cs="Arial" w:eastAsia="Arial" w:hAnsi="Arial"/>
          <w:rtl w:val="0"/>
        </w:rPr>
        <w:t xml:space="preserve">158, 200-207. </w:t>
      </w:r>
      <w:hyperlink r:id="rId16">
        <w:r w:rsidDel="00000000" w:rsidR="00000000" w:rsidRPr="00000000">
          <w:rPr>
            <w:rFonts w:ascii="Arial" w:cs="Arial" w:eastAsia="Arial" w:hAnsi="Arial"/>
            <w:color w:val="1155cc"/>
            <w:u w:val="single"/>
            <w:rtl w:val="0"/>
          </w:rPr>
          <w:t xml:space="preserve">https://doi.org/10.7326/0003-4819-158-3-201302050-00583</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5">
      <w:pPr>
        <w:spacing w:line="276" w:lineRule="auto"/>
        <w:rPr>
          <w:rFonts w:ascii="Arial" w:cs="Arial" w:eastAsia="Arial" w:hAnsi="Arial"/>
        </w:rPr>
      </w:pPr>
      <w:r w:rsidDel="00000000" w:rsidR="00000000" w:rsidRPr="00000000">
        <w:rPr>
          <w:rFonts w:ascii="Arial" w:cs="Arial" w:eastAsia="Arial" w:hAnsi="Arial"/>
          <w:rtl w:val="0"/>
        </w:rPr>
        <w:t xml:space="preserve">Chaudhry, S., Dotson, M. and Heiss, A. (2021), Who Cares about Crackdowns? Exploring the Role of Trust in Individual Philanthropy. </w:t>
      </w:r>
      <w:r w:rsidDel="00000000" w:rsidR="00000000" w:rsidRPr="00000000">
        <w:rPr>
          <w:rFonts w:ascii="Arial" w:cs="Arial" w:eastAsia="Arial" w:hAnsi="Arial"/>
          <w:i w:val="1"/>
          <w:rtl w:val="0"/>
        </w:rPr>
        <w:t xml:space="preserve">Global Policy</w:t>
      </w:r>
      <w:r w:rsidDel="00000000" w:rsidR="00000000" w:rsidRPr="00000000">
        <w:rPr>
          <w:rFonts w:ascii="Arial" w:cs="Arial" w:eastAsia="Arial" w:hAnsi="Arial"/>
          <w:rtl w:val="0"/>
        </w:rPr>
        <w:t xml:space="preserve">, 12, 45-58. </w:t>
      </w:r>
      <w:hyperlink r:id="rId17">
        <w:r w:rsidDel="00000000" w:rsidR="00000000" w:rsidRPr="00000000">
          <w:rPr>
            <w:rFonts w:ascii="Arial" w:cs="Arial" w:eastAsia="Arial" w:hAnsi="Arial"/>
            <w:color w:val="0000ff"/>
            <w:u w:val="single"/>
            <w:rtl w:val="0"/>
          </w:rPr>
          <w:t xml:space="preserve">https://doi.org/10.1111/1758-5899.12984</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6">
      <w:pPr>
        <w:spacing w:line="276" w:lineRule="auto"/>
        <w:rPr>
          <w:rFonts w:ascii="Arial" w:cs="Arial" w:eastAsia="Arial" w:hAnsi="Arial"/>
        </w:rPr>
      </w:pPr>
      <w:r w:rsidDel="00000000" w:rsidR="00000000" w:rsidRPr="00000000">
        <w:rPr>
          <w:rFonts w:ascii="Arial" w:cs="Arial" w:eastAsia="Arial" w:hAnsi="Arial"/>
          <w:rtl w:val="0"/>
        </w:rPr>
        <w:t xml:space="preserve">Clayton, K., Horiuchi, Y., Kaufman, A.K., King, G., and Komisarchik, M. (2023). Correcting Measurement Error Bias in Conjoint Survey Experiments. Available at: </w:t>
      </w:r>
      <w:hyperlink r:id="rId18">
        <w:r w:rsidDel="00000000" w:rsidR="00000000" w:rsidRPr="00000000">
          <w:rPr>
            <w:rFonts w:ascii="Arial" w:cs="Arial" w:eastAsia="Arial" w:hAnsi="Arial"/>
            <w:color w:val="0000ff"/>
            <w:u w:val="single"/>
            <w:rtl w:val="0"/>
          </w:rPr>
          <w:t xml:space="preserve">https://gking.harvard.edu/sites/scholar.harvard.edu/files/gking/files/conerr.pdf</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7">
      <w:pPr>
        <w:spacing w:line="276" w:lineRule="auto"/>
        <w:rPr>
          <w:rFonts w:ascii="Arial" w:cs="Arial" w:eastAsia="Arial" w:hAnsi="Arial"/>
        </w:rPr>
      </w:pPr>
      <w:r w:rsidDel="00000000" w:rsidR="00000000" w:rsidRPr="00000000">
        <w:rPr>
          <w:rFonts w:ascii="Arial" w:cs="Arial" w:eastAsia="Arial" w:hAnsi="Arial"/>
          <w:rtl w:val="0"/>
        </w:rPr>
        <w:t xml:space="preserve">Clayton, V., Sanders, M., Schoenwald, E., Surkis, L., Bogiatzis-Gibbons, D. (2020). Machine Learning in Children’s Services. </w:t>
      </w:r>
      <w:r w:rsidDel="00000000" w:rsidR="00000000" w:rsidRPr="00000000">
        <w:rPr>
          <w:rFonts w:ascii="Arial" w:cs="Arial" w:eastAsia="Arial" w:hAnsi="Arial"/>
          <w:i w:val="1"/>
          <w:rtl w:val="0"/>
        </w:rPr>
        <w:t xml:space="preserve">What Works Centre for Children’s Social Care Research Reports</w:t>
      </w:r>
      <w:r w:rsidDel="00000000" w:rsidR="00000000" w:rsidRPr="00000000">
        <w:rPr>
          <w:rFonts w:ascii="Arial" w:cs="Arial" w:eastAsia="Arial" w:hAnsi="Arial"/>
          <w:rtl w:val="0"/>
        </w:rPr>
        <w:t xml:space="preserve">. Available at: </w:t>
      </w:r>
      <w:hyperlink r:id="rId19">
        <w:r w:rsidDel="00000000" w:rsidR="00000000" w:rsidRPr="00000000">
          <w:rPr>
            <w:rFonts w:ascii="Arial" w:cs="Arial" w:eastAsia="Arial" w:hAnsi="Arial"/>
            <w:color w:val="0000ff"/>
            <w:u w:val="single"/>
            <w:rtl w:val="0"/>
          </w:rPr>
          <w:t xml:space="preserve">https://whatworks-csc.org.uk/wp-content/uploads/WWCSC_technical-_report_machine_learning_in_childrens_services_does_it_work_Sep_2020.pdf</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8">
      <w:pPr>
        <w:spacing w:line="276" w:lineRule="auto"/>
        <w:rPr>
          <w:rFonts w:ascii="Arial" w:cs="Arial" w:eastAsia="Arial" w:hAnsi="Arial"/>
        </w:rPr>
      </w:pPr>
      <w:r w:rsidDel="00000000" w:rsidR="00000000" w:rsidRPr="00000000">
        <w:rPr>
          <w:rFonts w:ascii="Arial" w:cs="Arial" w:eastAsia="Arial" w:hAnsi="Arial"/>
          <w:rtl w:val="0"/>
        </w:rPr>
        <w:t xml:space="preserve">de la Cuesta, B., Egami, N., &amp; Imai, K. (2022). Improving the External Validity of Conjoint Analysis: The Essential Role of Profile Distribution. </w:t>
      </w:r>
      <w:r w:rsidDel="00000000" w:rsidR="00000000" w:rsidRPr="00000000">
        <w:rPr>
          <w:rFonts w:ascii="Arial" w:cs="Arial" w:eastAsia="Arial" w:hAnsi="Arial"/>
          <w:i w:val="1"/>
          <w:rtl w:val="0"/>
        </w:rPr>
        <w:t xml:space="preserve">Political Analysis</w:t>
      </w:r>
      <w:r w:rsidDel="00000000" w:rsidR="00000000" w:rsidRPr="00000000">
        <w:rPr>
          <w:rFonts w:ascii="Arial" w:cs="Arial" w:eastAsia="Arial" w:hAnsi="Arial"/>
          <w:rtl w:val="0"/>
        </w:rPr>
        <w:t xml:space="preserve">, 30(1), 19–45. </w:t>
      </w:r>
      <w:hyperlink r:id="rId20">
        <w:r w:rsidDel="00000000" w:rsidR="00000000" w:rsidRPr="00000000">
          <w:rPr>
            <w:rFonts w:ascii="Arial" w:cs="Arial" w:eastAsia="Arial" w:hAnsi="Arial"/>
            <w:color w:val="1155cc"/>
            <w:u w:val="single"/>
            <w:rtl w:val="0"/>
          </w:rPr>
          <w:t xml:space="preserve">https://doi.org/10.1017/pan.2020.40</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9">
      <w:pPr>
        <w:spacing w:line="276" w:lineRule="auto"/>
        <w:rPr>
          <w:rFonts w:ascii="Arial" w:cs="Arial" w:eastAsia="Arial" w:hAnsi="Arial"/>
        </w:rPr>
      </w:pPr>
      <w:r w:rsidDel="00000000" w:rsidR="00000000" w:rsidRPr="00000000">
        <w:rPr>
          <w:rFonts w:ascii="Arial" w:cs="Arial" w:eastAsia="Arial" w:hAnsi="Arial"/>
          <w:rtl w:val="0"/>
        </w:rPr>
        <w:t xml:space="preserve">Douglas, B.D., Ewell, P.J., &amp; Brauer, M. (2023). Data quality in online human-subjects research: Comparisons between MTurk, Prolific, CloudResearch, Qualtrics, and SONA. </w:t>
      </w:r>
      <w:r w:rsidDel="00000000" w:rsidR="00000000" w:rsidRPr="00000000">
        <w:rPr>
          <w:rFonts w:ascii="Arial" w:cs="Arial" w:eastAsia="Arial" w:hAnsi="Arial"/>
          <w:i w:val="1"/>
          <w:rtl w:val="0"/>
        </w:rPr>
        <w:t xml:space="preserve">PLOS One</w:t>
      </w:r>
      <w:r w:rsidDel="00000000" w:rsidR="00000000" w:rsidRPr="00000000">
        <w:rPr>
          <w:rFonts w:ascii="Arial" w:cs="Arial" w:eastAsia="Arial" w:hAnsi="Arial"/>
          <w:rtl w:val="0"/>
        </w:rPr>
        <w:t xml:space="preserve">. </w:t>
      </w:r>
      <w:hyperlink r:id="rId21">
        <w:r w:rsidDel="00000000" w:rsidR="00000000" w:rsidRPr="00000000">
          <w:rPr>
            <w:rFonts w:ascii="Arial" w:cs="Arial" w:eastAsia="Arial" w:hAnsi="Arial"/>
            <w:color w:val="1155cc"/>
            <w:u w:val="single"/>
            <w:rtl w:val="0"/>
          </w:rPr>
          <w:t xml:space="preserve">https://doi.org/10.1371/journal.pone.0279720</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A">
      <w:pPr>
        <w:spacing w:line="276" w:lineRule="auto"/>
        <w:jc w:val="both"/>
        <w:rPr>
          <w:rFonts w:ascii="Arial" w:cs="Arial" w:eastAsia="Arial" w:hAnsi="Arial"/>
        </w:rPr>
      </w:pPr>
      <w:r w:rsidDel="00000000" w:rsidR="00000000" w:rsidRPr="00000000">
        <w:rPr>
          <w:rFonts w:ascii="Arial" w:cs="Arial" w:eastAsia="Arial" w:hAnsi="Arial"/>
          <w:rtl w:val="0"/>
        </w:rPr>
        <w:t xml:space="preserve">Durand, C., Peña Ibarra, L.P., Rezgui, N. et al. (2022) How to combine and analyze all the data from diverse sources: a multilevel analysis of institutional trust in the world. </w:t>
      </w:r>
      <w:r w:rsidDel="00000000" w:rsidR="00000000" w:rsidRPr="00000000">
        <w:rPr>
          <w:rFonts w:ascii="Arial" w:cs="Arial" w:eastAsia="Arial" w:hAnsi="Arial"/>
          <w:i w:val="1"/>
          <w:rtl w:val="0"/>
        </w:rPr>
        <w:t xml:space="preserve">Quality &amp; Quantity</w:t>
      </w:r>
      <w:r w:rsidDel="00000000" w:rsidR="00000000" w:rsidRPr="00000000">
        <w:rPr>
          <w:rFonts w:ascii="Arial" w:cs="Arial" w:eastAsia="Arial" w:hAnsi="Arial"/>
          <w:rtl w:val="0"/>
        </w:rPr>
        <w:t xml:space="preserve">, 56. </w:t>
      </w:r>
      <w:hyperlink r:id="rId22">
        <w:r w:rsidDel="00000000" w:rsidR="00000000" w:rsidRPr="00000000">
          <w:rPr>
            <w:rFonts w:ascii="Arial" w:cs="Arial" w:eastAsia="Arial" w:hAnsi="Arial"/>
            <w:color w:val="1155cc"/>
            <w:u w:val="single"/>
            <w:rtl w:val="0"/>
          </w:rPr>
          <w:t xml:space="preserve">https://doi.org/10.1007/s11135-020-01088-1</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B">
      <w:pPr>
        <w:spacing w:line="276" w:lineRule="auto"/>
        <w:rPr>
          <w:rFonts w:ascii="Arial" w:cs="Arial" w:eastAsia="Arial" w:hAnsi="Arial"/>
        </w:rPr>
      </w:pPr>
      <w:r w:rsidDel="00000000" w:rsidR="00000000" w:rsidRPr="00000000">
        <w:rPr>
          <w:rFonts w:ascii="Arial" w:cs="Arial" w:eastAsia="Arial" w:hAnsi="Arial"/>
          <w:rtl w:val="0"/>
        </w:rPr>
        <w:t xml:space="preserve">Eubanks, V. (2018). </w:t>
      </w:r>
      <w:r w:rsidDel="00000000" w:rsidR="00000000" w:rsidRPr="00000000">
        <w:rPr>
          <w:rFonts w:ascii="Arial" w:cs="Arial" w:eastAsia="Arial" w:hAnsi="Arial"/>
          <w:i w:val="1"/>
          <w:rtl w:val="0"/>
        </w:rPr>
        <w:t xml:space="preserve">Automating Inequality: how high-tech tools profile, police, and punish the poor</w:t>
      </w:r>
      <w:r w:rsidDel="00000000" w:rsidR="00000000" w:rsidRPr="00000000">
        <w:rPr>
          <w:rFonts w:ascii="Arial" w:cs="Arial" w:eastAsia="Arial" w:hAnsi="Arial"/>
          <w:rtl w:val="0"/>
        </w:rPr>
        <w:t xml:space="preserve">. New York: St Martin’s Press.</w:t>
      </w:r>
    </w:p>
    <w:p w:rsidR="00000000" w:rsidDel="00000000" w:rsidP="00000000" w:rsidRDefault="00000000" w:rsidRPr="00000000" w14:paraId="0000009C">
      <w:pPr>
        <w:spacing w:line="276" w:lineRule="auto"/>
        <w:rPr>
          <w:rFonts w:ascii="Arial" w:cs="Arial" w:eastAsia="Arial" w:hAnsi="Arial"/>
        </w:rPr>
      </w:pPr>
      <w:r w:rsidDel="00000000" w:rsidR="00000000" w:rsidRPr="00000000">
        <w:rPr>
          <w:rFonts w:ascii="Arial" w:cs="Arial" w:eastAsia="Arial" w:hAnsi="Arial"/>
          <w:rtl w:val="0"/>
        </w:rPr>
        <w:t xml:space="preserve">European Social Survey European Research Infrastructure Consortium. (2025). Source Questionnaire. Available at : </w:t>
      </w:r>
      <w:hyperlink r:id="rId23">
        <w:r w:rsidDel="00000000" w:rsidR="00000000" w:rsidRPr="00000000">
          <w:rPr>
            <w:rFonts w:ascii="Arial" w:cs="Arial" w:eastAsia="Arial" w:hAnsi="Arial"/>
            <w:color w:val="0000ff"/>
            <w:u w:val="single"/>
            <w:rtl w:val="0"/>
          </w:rPr>
          <w:t xml:space="preserve">https://www.europeansocialsurvey.org/methodology/ess-methodology/source-questionnaire</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D">
      <w:pPr>
        <w:spacing w:line="276" w:lineRule="auto"/>
        <w:jc w:val="both"/>
        <w:rPr>
          <w:rFonts w:ascii="Arial" w:cs="Arial" w:eastAsia="Arial" w:hAnsi="Arial"/>
        </w:rPr>
      </w:pPr>
      <w:r w:rsidDel="00000000" w:rsidR="00000000" w:rsidRPr="00000000">
        <w:rPr>
          <w:rFonts w:ascii="Arial" w:cs="Arial" w:eastAsia="Arial" w:hAnsi="Arial"/>
          <w:rtl w:val="0"/>
        </w:rPr>
        <w:t xml:space="preserve">Falk, A., Becker, A., Dohmen, T., Huffman, D., and Sunde, U. (2023). The Preference Survey Module: A Validated Instrument for Measuring Risk, Time, and Social Preferences. </w:t>
      </w:r>
      <w:r w:rsidDel="00000000" w:rsidR="00000000" w:rsidRPr="00000000">
        <w:rPr>
          <w:rFonts w:ascii="Arial" w:cs="Arial" w:eastAsia="Arial" w:hAnsi="Arial"/>
          <w:i w:val="1"/>
          <w:rtl w:val="0"/>
        </w:rPr>
        <w:t xml:space="preserve">Management Science</w:t>
      </w:r>
      <w:r w:rsidDel="00000000" w:rsidR="00000000" w:rsidRPr="00000000">
        <w:rPr>
          <w:rFonts w:ascii="Arial" w:cs="Arial" w:eastAsia="Arial" w:hAnsi="Arial"/>
          <w:rtl w:val="0"/>
        </w:rPr>
        <w:t xml:space="preserve">, 69(4): 1935-1950.</w:t>
      </w:r>
    </w:p>
    <w:p w:rsidR="00000000" w:rsidDel="00000000" w:rsidP="00000000" w:rsidRDefault="00000000" w:rsidRPr="00000000" w14:paraId="0000009E">
      <w:pPr>
        <w:spacing w:line="276" w:lineRule="auto"/>
        <w:jc w:val="both"/>
        <w:rPr>
          <w:rFonts w:ascii="Arial" w:cs="Arial" w:eastAsia="Arial" w:hAnsi="Arial"/>
        </w:rPr>
      </w:pPr>
      <w:r w:rsidDel="00000000" w:rsidR="00000000" w:rsidRPr="00000000">
        <w:rPr>
          <w:rFonts w:ascii="Arial" w:cs="Arial" w:eastAsia="Arial" w:hAnsi="Arial"/>
          <w:rtl w:val="0"/>
        </w:rPr>
        <w:t xml:space="preserve">Falk, A., Becker, A., Dohmen, T., Huffman, D., Enke, B. Huffman, D. and Sunde, U. (2018). Global Evidence on Economic Preferences, The Quarterly Journal of Economics, Volume 133, Issue 4, November 2018, Pages 1645–1692, </w:t>
      </w:r>
      <w:hyperlink r:id="rId24">
        <w:r w:rsidDel="00000000" w:rsidR="00000000" w:rsidRPr="00000000">
          <w:rPr>
            <w:rFonts w:ascii="Arial" w:cs="Arial" w:eastAsia="Arial" w:hAnsi="Arial"/>
            <w:color w:val="1155cc"/>
            <w:u w:val="single"/>
            <w:rtl w:val="0"/>
          </w:rPr>
          <w:t xml:space="preserve">https://doi.org/10.1093/qje/qjy013</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F">
      <w:pPr>
        <w:spacing w:line="276" w:lineRule="auto"/>
        <w:jc w:val="both"/>
        <w:rPr>
          <w:rFonts w:ascii="Arial" w:cs="Arial" w:eastAsia="Arial" w:hAnsi="Arial"/>
        </w:rPr>
      </w:pPr>
      <w:r w:rsidDel="00000000" w:rsidR="00000000" w:rsidRPr="00000000">
        <w:rPr>
          <w:rFonts w:ascii="Arial" w:cs="Arial" w:eastAsia="Arial" w:hAnsi="Arial"/>
          <w:rtl w:val="0"/>
        </w:rPr>
        <w:t xml:space="preserve">Freitag, M., and Schuessler, J. (2020). </w:t>
      </w:r>
      <w:r w:rsidDel="00000000" w:rsidR="00000000" w:rsidRPr="00000000">
        <w:rPr>
          <w:rFonts w:ascii="Arial" w:cs="Arial" w:eastAsia="Arial" w:hAnsi="Arial"/>
          <w:i w:val="1"/>
          <w:rtl w:val="0"/>
        </w:rPr>
        <w:t xml:space="preserve">cjpowR – A Priori Power Analyses for Conjoint Experiments</w:t>
      </w:r>
      <w:r w:rsidDel="00000000" w:rsidR="00000000" w:rsidRPr="00000000">
        <w:rPr>
          <w:rFonts w:ascii="Arial" w:cs="Arial" w:eastAsia="Arial" w:hAnsi="Arial"/>
          <w:rtl w:val="0"/>
        </w:rPr>
        <w:t xml:space="preserve">. [Source code]. </w:t>
      </w:r>
      <w:hyperlink r:id="rId25">
        <w:r w:rsidDel="00000000" w:rsidR="00000000" w:rsidRPr="00000000">
          <w:rPr>
            <w:rFonts w:ascii="Arial" w:cs="Arial" w:eastAsia="Arial" w:hAnsi="Arial"/>
            <w:color w:val="0000ff"/>
            <w:u w:val="single"/>
            <w:rtl w:val="0"/>
          </w:rPr>
          <w:t xml:space="preserve">https://m-freitag.github.io/cjpowR_shiny/</w:t>
        </w:r>
      </w:hyperlink>
      <w:r w:rsidDel="00000000" w:rsidR="00000000" w:rsidRPr="00000000">
        <w:rPr>
          <w:rFonts w:ascii="Arial" w:cs="Arial" w:eastAsia="Arial" w:hAnsi="Arial"/>
          <w:rtl w:val="0"/>
        </w:rPr>
        <w:t xml:space="preserve">. </w:t>
      </w:r>
    </w:p>
    <w:p w:rsidR="00000000" w:rsidDel="00000000" w:rsidP="00000000" w:rsidRDefault="00000000" w:rsidRPr="00000000" w14:paraId="000000A0">
      <w:pPr>
        <w:spacing w:line="276" w:lineRule="auto"/>
        <w:rPr>
          <w:rFonts w:ascii="Arial" w:cs="Arial" w:eastAsia="Arial" w:hAnsi="Arial"/>
        </w:rPr>
      </w:pPr>
      <w:r w:rsidDel="00000000" w:rsidR="00000000" w:rsidRPr="00000000">
        <w:rPr>
          <w:rFonts w:ascii="Arial" w:cs="Arial" w:eastAsia="Arial" w:hAnsi="Arial"/>
          <w:rtl w:val="0"/>
        </w:rPr>
        <w:t xml:space="preserve">Gerchick, M., Jegede, T., Shah, T., Gutierrez, A., Beiers, S., Shemtov, N., Xu, K., Samant, A., &amp; Horowitz, A. (2023). The Devil is in the Details: Interrogating Values Embedded in the Allegheny Family Screening Tool. In </w:t>
      </w:r>
      <w:r w:rsidDel="00000000" w:rsidR="00000000" w:rsidRPr="00000000">
        <w:rPr>
          <w:rFonts w:ascii="Arial" w:cs="Arial" w:eastAsia="Arial" w:hAnsi="Arial"/>
          <w:i w:val="1"/>
          <w:rtl w:val="0"/>
        </w:rPr>
        <w:t xml:space="preserve">Proceedings of the 2023 ACM Conference on Fairness, Accountability, and Transparency (FAccT '23)</w:t>
      </w:r>
      <w:r w:rsidDel="00000000" w:rsidR="00000000" w:rsidRPr="00000000">
        <w:rPr>
          <w:rFonts w:ascii="Arial" w:cs="Arial" w:eastAsia="Arial" w:hAnsi="Arial"/>
          <w:rtl w:val="0"/>
        </w:rPr>
        <w:t xml:space="preserve">, 1292–1310. </w:t>
      </w:r>
      <w:hyperlink r:id="rId26">
        <w:r w:rsidDel="00000000" w:rsidR="00000000" w:rsidRPr="00000000">
          <w:rPr>
            <w:rFonts w:ascii="Arial" w:cs="Arial" w:eastAsia="Arial" w:hAnsi="Arial"/>
            <w:color w:val="1155cc"/>
            <w:u w:val="single"/>
            <w:rtl w:val="0"/>
          </w:rPr>
          <w:t xml:space="preserve">https://doi.org/10.1145/3593013.3594081</w:t>
        </w:r>
      </w:hyperlink>
      <w:r w:rsidDel="00000000" w:rsidR="00000000" w:rsidRPr="00000000">
        <w:rPr>
          <w:rFonts w:ascii="Arial" w:cs="Arial" w:eastAsia="Arial" w:hAnsi="Arial"/>
          <w:rtl w:val="0"/>
        </w:rPr>
        <w:t xml:space="preserve">. </w:t>
      </w:r>
    </w:p>
    <w:p w:rsidR="00000000" w:rsidDel="00000000" w:rsidP="00000000" w:rsidRDefault="00000000" w:rsidRPr="00000000" w14:paraId="000000A1">
      <w:pPr>
        <w:spacing w:line="276" w:lineRule="auto"/>
        <w:jc w:val="both"/>
        <w:rPr>
          <w:rFonts w:ascii="Arial" w:cs="Arial" w:eastAsia="Arial" w:hAnsi="Arial"/>
        </w:rPr>
      </w:pPr>
      <w:r w:rsidDel="00000000" w:rsidR="00000000" w:rsidRPr="00000000">
        <w:rPr>
          <w:rFonts w:ascii="Arial" w:cs="Arial" w:eastAsia="Arial" w:hAnsi="Arial"/>
          <w:rtl w:val="0"/>
        </w:rPr>
        <w:t xml:space="preserve">Gelman, A. (2018). </w:t>
      </w:r>
      <w:r w:rsidDel="00000000" w:rsidR="00000000" w:rsidRPr="00000000">
        <w:rPr>
          <w:rFonts w:ascii="Arial" w:cs="Arial" w:eastAsia="Arial" w:hAnsi="Arial"/>
          <w:highlight w:val="white"/>
          <w:rtl w:val="0"/>
        </w:rPr>
        <w:t xml:space="preserve">The Failure of Null Hypothesis Significance Testing When Studying Incremental Changes, and What to Do About It. </w:t>
      </w:r>
      <w:r w:rsidDel="00000000" w:rsidR="00000000" w:rsidRPr="00000000">
        <w:rPr>
          <w:rFonts w:ascii="Arial" w:cs="Arial" w:eastAsia="Arial" w:hAnsi="Arial"/>
          <w:i w:val="1"/>
          <w:highlight w:val="white"/>
          <w:rtl w:val="0"/>
        </w:rPr>
        <w:t xml:space="preserve">Personality and Social Psychology Bulletin</w:t>
      </w:r>
      <w:r w:rsidDel="00000000" w:rsidR="00000000" w:rsidRPr="00000000">
        <w:rPr>
          <w:rFonts w:ascii="Arial" w:cs="Arial" w:eastAsia="Arial" w:hAnsi="Arial"/>
          <w:highlight w:val="white"/>
          <w:rtl w:val="0"/>
        </w:rPr>
        <w:t xml:space="preserve">. 44(1):16-23. </w:t>
      </w:r>
      <w:hyperlink r:id="rId27">
        <w:r w:rsidDel="00000000" w:rsidR="00000000" w:rsidRPr="00000000">
          <w:rPr>
            <w:rFonts w:ascii="Arial" w:cs="Arial" w:eastAsia="Arial" w:hAnsi="Arial"/>
            <w:color w:val="1155cc"/>
            <w:highlight w:val="white"/>
            <w:u w:val="single"/>
            <w:rtl w:val="0"/>
          </w:rPr>
          <w:t xml:space="preserve">https://doi.org/10.1177/0146167217729162</w:t>
        </w:r>
      </w:hyperlink>
      <w:r w:rsidDel="00000000" w:rsidR="00000000" w:rsidRPr="00000000">
        <w:rPr>
          <w:rFonts w:ascii="Arial" w:cs="Arial" w:eastAsia="Arial" w:hAnsi="Arial"/>
          <w:highlight w:val="white"/>
          <w:rtl w:val="0"/>
        </w:rPr>
        <w:t xml:space="preserve">.  </w:t>
      </w:r>
      <w:r w:rsidDel="00000000" w:rsidR="00000000" w:rsidRPr="00000000">
        <w:rPr>
          <w:rtl w:val="0"/>
        </w:rPr>
      </w:r>
    </w:p>
    <w:p w:rsidR="00000000" w:rsidDel="00000000" w:rsidP="00000000" w:rsidRDefault="00000000" w:rsidRPr="00000000" w14:paraId="000000A2">
      <w:pPr>
        <w:spacing w:line="276" w:lineRule="auto"/>
        <w:rPr>
          <w:rFonts w:ascii="Arial" w:cs="Arial" w:eastAsia="Arial" w:hAnsi="Arial"/>
        </w:rPr>
      </w:pPr>
      <w:r w:rsidDel="00000000" w:rsidR="00000000" w:rsidRPr="00000000">
        <w:rPr>
          <w:rFonts w:ascii="Arial" w:cs="Arial" w:eastAsia="Arial" w:hAnsi="Arial"/>
          <w:rtl w:val="0"/>
        </w:rPr>
        <w:t xml:space="preserve">Gelman, A., Hill, J., and Yajima, M. (2009). Why we (usually) don’t have to worry about multiple comparisons. </w:t>
      </w:r>
      <w:hyperlink r:id="rId28">
        <w:r w:rsidDel="00000000" w:rsidR="00000000" w:rsidRPr="00000000">
          <w:rPr>
            <w:rFonts w:ascii="Arial" w:cs="Arial" w:eastAsia="Arial" w:hAnsi="Arial"/>
            <w:color w:val="1155cc"/>
            <w:u w:val="single"/>
            <w:rtl w:val="0"/>
          </w:rPr>
          <w:t xml:space="preserve">https://sites.stat.columbia.edu/gelman/research/published/multiple2f.pdf</w:t>
        </w:r>
      </w:hyperlink>
      <w:r w:rsidDel="00000000" w:rsidR="00000000" w:rsidRPr="00000000">
        <w:rPr>
          <w:rFonts w:ascii="Arial" w:cs="Arial" w:eastAsia="Arial" w:hAnsi="Arial"/>
          <w:rtl w:val="0"/>
        </w:rPr>
        <w:t xml:space="preserve">. </w:t>
      </w:r>
    </w:p>
    <w:p w:rsidR="00000000" w:rsidDel="00000000" w:rsidP="00000000" w:rsidRDefault="00000000" w:rsidRPr="00000000" w14:paraId="000000A3">
      <w:pPr>
        <w:spacing w:line="276" w:lineRule="auto"/>
        <w:rPr>
          <w:rFonts w:ascii="Arial" w:cs="Arial" w:eastAsia="Arial" w:hAnsi="Arial"/>
        </w:rPr>
      </w:pPr>
      <w:r w:rsidDel="00000000" w:rsidR="00000000" w:rsidRPr="00000000">
        <w:rPr>
          <w:rFonts w:ascii="Arial" w:cs="Arial" w:eastAsia="Arial" w:hAnsi="Arial"/>
          <w:rtl w:val="0"/>
        </w:rPr>
        <w:t xml:space="preserve">Givati, Y. (2019). Preferences for criminal justice error types: Theory and evidence. </w:t>
      </w:r>
      <w:r w:rsidDel="00000000" w:rsidR="00000000" w:rsidRPr="00000000">
        <w:rPr>
          <w:rFonts w:ascii="Arial" w:cs="Arial" w:eastAsia="Arial" w:hAnsi="Arial"/>
          <w:i w:val="1"/>
          <w:rtl w:val="0"/>
        </w:rPr>
        <w:t xml:space="preserve">Journal of Legal Studies</w:t>
      </w:r>
      <w:r w:rsidDel="00000000" w:rsidR="00000000" w:rsidRPr="00000000">
        <w:rPr>
          <w:rFonts w:ascii="Arial" w:cs="Arial" w:eastAsia="Arial" w:hAnsi="Arial"/>
          <w:rtl w:val="0"/>
        </w:rPr>
        <w:t xml:space="preserve">, 48(2), 307–339. </w:t>
      </w:r>
      <w:hyperlink r:id="rId29">
        <w:r w:rsidDel="00000000" w:rsidR="00000000" w:rsidRPr="00000000">
          <w:rPr>
            <w:rFonts w:ascii="Arial" w:cs="Arial" w:eastAsia="Arial" w:hAnsi="Arial"/>
            <w:color w:val="0000ff"/>
            <w:u w:val="single"/>
            <w:rtl w:val="0"/>
          </w:rPr>
          <w:t xml:space="preserve">https://doi.org/10.1086/704362</w:t>
        </w:r>
      </w:hyperlink>
      <w:r w:rsidDel="00000000" w:rsidR="00000000" w:rsidRPr="00000000">
        <w:rPr>
          <w:rFonts w:ascii="Arial" w:cs="Arial" w:eastAsia="Arial" w:hAnsi="Arial"/>
          <w:rtl w:val="0"/>
        </w:rPr>
        <w:t xml:space="preserve">. </w:t>
      </w:r>
    </w:p>
    <w:p w:rsidR="00000000" w:rsidDel="00000000" w:rsidP="00000000" w:rsidRDefault="00000000" w:rsidRPr="00000000" w14:paraId="000000A4">
      <w:pPr>
        <w:spacing w:line="276" w:lineRule="auto"/>
        <w:rPr>
          <w:rFonts w:ascii="Arial" w:cs="Arial" w:eastAsia="Arial" w:hAnsi="Arial"/>
        </w:rPr>
      </w:pPr>
      <w:r w:rsidDel="00000000" w:rsidR="00000000" w:rsidRPr="00000000">
        <w:rPr>
          <w:rFonts w:ascii="Arial" w:cs="Arial" w:eastAsia="Arial" w:hAnsi="Arial"/>
          <w:rtl w:val="0"/>
        </w:rPr>
        <w:t xml:space="preserve">Glasgow, G. (2001). Mixed Logit Models for Multiparty Elections. </w:t>
      </w:r>
      <w:r w:rsidDel="00000000" w:rsidR="00000000" w:rsidRPr="00000000">
        <w:rPr>
          <w:rFonts w:ascii="Arial" w:cs="Arial" w:eastAsia="Arial" w:hAnsi="Arial"/>
          <w:i w:val="1"/>
          <w:rtl w:val="0"/>
        </w:rPr>
        <w:t xml:space="preserve">Political Analysis</w:t>
      </w:r>
      <w:r w:rsidDel="00000000" w:rsidR="00000000" w:rsidRPr="00000000">
        <w:rPr>
          <w:rFonts w:ascii="Arial" w:cs="Arial" w:eastAsia="Arial" w:hAnsi="Arial"/>
          <w:rtl w:val="0"/>
        </w:rPr>
        <w:t xml:space="preserve">, 9(2), 112-136. </w:t>
      </w:r>
      <w:hyperlink r:id="rId30">
        <w:r w:rsidDel="00000000" w:rsidR="00000000" w:rsidRPr="00000000">
          <w:rPr>
            <w:rFonts w:ascii="Arial" w:cs="Arial" w:eastAsia="Arial" w:hAnsi="Arial"/>
            <w:color w:val="0000ff"/>
            <w:u w:val="single"/>
            <w:rtl w:val="0"/>
          </w:rPr>
          <w:t xml:space="preserve">https://www.jstor.org/stable/25791636</w:t>
        </w:r>
      </w:hyperlink>
      <w:r w:rsidDel="00000000" w:rsidR="00000000" w:rsidRPr="00000000">
        <w:rPr>
          <w:rFonts w:ascii="Arial" w:cs="Arial" w:eastAsia="Arial" w:hAnsi="Arial"/>
          <w:rtl w:val="0"/>
        </w:rPr>
        <w:t xml:space="preserve">. </w:t>
      </w:r>
    </w:p>
    <w:p w:rsidR="00000000" w:rsidDel="00000000" w:rsidP="00000000" w:rsidRDefault="00000000" w:rsidRPr="00000000" w14:paraId="000000A5">
      <w:pPr>
        <w:spacing w:line="276" w:lineRule="auto"/>
        <w:rPr>
          <w:rFonts w:ascii="Arial" w:cs="Arial" w:eastAsia="Arial" w:hAnsi="Arial"/>
        </w:rPr>
      </w:pPr>
      <w:r w:rsidDel="00000000" w:rsidR="00000000" w:rsidRPr="00000000">
        <w:rPr>
          <w:rFonts w:ascii="Arial" w:cs="Arial" w:eastAsia="Arial" w:hAnsi="Arial"/>
          <w:rtl w:val="0"/>
        </w:rPr>
        <w:t xml:space="preserve">Graham, J. (2017). London uses data to predict which children will be abused. </w:t>
      </w:r>
      <w:r w:rsidDel="00000000" w:rsidR="00000000" w:rsidRPr="00000000">
        <w:rPr>
          <w:rFonts w:ascii="Arial" w:cs="Arial" w:eastAsia="Arial" w:hAnsi="Arial"/>
          <w:i w:val="1"/>
          <w:rtl w:val="0"/>
        </w:rPr>
        <w:t xml:space="preserve">apolitical</w:t>
      </w:r>
      <w:r w:rsidDel="00000000" w:rsidR="00000000" w:rsidRPr="00000000">
        <w:rPr>
          <w:rFonts w:ascii="Arial" w:cs="Arial" w:eastAsia="Arial" w:hAnsi="Arial"/>
          <w:rtl w:val="0"/>
        </w:rPr>
        <w:t xml:space="preserve">. Available at: </w:t>
      </w:r>
      <w:hyperlink r:id="rId31">
        <w:r w:rsidDel="00000000" w:rsidR="00000000" w:rsidRPr="00000000">
          <w:rPr>
            <w:rFonts w:ascii="Arial" w:cs="Arial" w:eastAsia="Arial" w:hAnsi="Arial"/>
            <w:color w:val="0000ff"/>
            <w:u w:val="single"/>
            <w:rtl w:val="0"/>
          </w:rPr>
          <w:t xml:space="preserve">https://apolitical.co/solution-articles/en/london-uses-data-predict-which-children-abuse</w:t>
        </w:r>
      </w:hyperlink>
      <w:r w:rsidDel="00000000" w:rsidR="00000000" w:rsidRPr="00000000">
        <w:rPr>
          <w:rFonts w:ascii="Arial" w:cs="Arial" w:eastAsia="Arial" w:hAnsi="Arial"/>
          <w:rtl w:val="0"/>
        </w:rPr>
        <w:t xml:space="preserve">.  </w:t>
      </w:r>
    </w:p>
    <w:p w:rsidR="00000000" w:rsidDel="00000000" w:rsidP="00000000" w:rsidRDefault="00000000" w:rsidRPr="00000000" w14:paraId="000000A6">
      <w:pPr>
        <w:spacing w:line="276" w:lineRule="auto"/>
        <w:rPr>
          <w:rFonts w:ascii="Arial" w:cs="Arial" w:eastAsia="Arial" w:hAnsi="Arial"/>
        </w:rPr>
      </w:pPr>
      <w:r w:rsidDel="00000000" w:rsidR="00000000" w:rsidRPr="00000000">
        <w:rPr>
          <w:rFonts w:ascii="Arial" w:cs="Arial" w:eastAsia="Arial" w:hAnsi="Arial"/>
          <w:rtl w:val="0"/>
        </w:rPr>
        <w:t xml:space="preserve">Hainmueller, J., Hopkins, D. J., &amp; Yamamoto, T. (2014). Causal inference in conjoint analysis: Understanding multidimensional choices via stated preference experiments. </w:t>
      </w:r>
      <w:r w:rsidDel="00000000" w:rsidR="00000000" w:rsidRPr="00000000">
        <w:rPr>
          <w:rFonts w:ascii="Arial" w:cs="Arial" w:eastAsia="Arial" w:hAnsi="Arial"/>
          <w:i w:val="1"/>
          <w:rtl w:val="0"/>
        </w:rPr>
        <w:t xml:space="preserve">Political Analysis</w:t>
      </w:r>
      <w:r w:rsidDel="00000000" w:rsidR="00000000" w:rsidRPr="00000000">
        <w:rPr>
          <w:rFonts w:ascii="Arial" w:cs="Arial" w:eastAsia="Arial" w:hAnsi="Arial"/>
          <w:rtl w:val="0"/>
        </w:rPr>
        <w:t xml:space="preserve">, 22(1), 1–30. </w:t>
      </w:r>
      <w:hyperlink r:id="rId32">
        <w:r w:rsidDel="00000000" w:rsidR="00000000" w:rsidRPr="00000000">
          <w:rPr>
            <w:rFonts w:ascii="Arial" w:cs="Arial" w:eastAsia="Arial" w:hAnsi="Arial"/>
            <w:color w:val="1155cc"/>
            <w:u w:val="single"/>
            <w:rtl w:val="0"/>
          </w:rPr>
          <w:t xml:space="preserve">https://doi.org/10.1093/pan/mpt024</w:t>
        </w:r>
      </w:hyperlink>
      <w:r w:rsidDel="00000000" w:rsidR="00000000" w:rsidRPr="00000000">
        <w:rPr>
          <w:rFonts w:ascii="Arial" w:cs="Arial" w:eastAsia="Arial" w:hAnsi="Arial"/>
          <w:rtl w:val="0"/>
        </w:rPr>
        <w:t xml:space="preserve">. </w:t>
      </w:r>
    </w:p>
    <w:p w:rsidR="00000000" w:rsidDel="00000000" w:rsidP="00000000" w:rsidRDefault="00000000" w:rsidRPr="00000000" w14:paraId="000000A7">
      <w:pPr>
        <w:spacing w:line="276" w:lineRule="auto"/>
        <w:rPr>
          <w:rFonts w:ascii="Arial" w:cs="Arial" w:eastAsia="Arial" w:hAnsi="Arial"/>
        </w:rPr>
      </w:pPr>
      <w:r w:rsidDel="00000000" w:rsidR="00000000" w:rsidRPr="00000000">
        <w:rPr>
          <w:rFonts w:ascii="Arial" w:cs="Arial" w:eastAsia="Arial" w:hAnsi="Arial"/>
          <w:rtl w:val="0"/>
        </w:rPr>
        <w:t xml:space="preserve">Helveston, J.P. (2023). logitr: Fast Estimation of Multinomial and Mixed Logit Models with Preference Space and Willingness-to-Pay Space Utility Parameterizations. </w:t>
      </w:r>
      <w:r w:rsidDel="00000000" w:rsidR="00000000" w:rsidRPr="00000000">
        <w:rPr>
          <w:rFonts w:ascii="Arial" w:cs="Arial" w:eastAsia="Arial" w:hAnsi="Arial"/>
          <w:i w:val="1"/>
          <w:rtl w:val="0"/>
        </w:rPr>
        <w:t xml:space="preserve">Journal of Statistical Software, </w:t>
      </w:r>
      <w:r w:rsidDel="00000000" w:rsidR="00000000" w:rsidRPr="00000000">
        <w:rPr>
          <w:rFonts w:ascii="Arial" w:cs="Arial" w:eastAsia="Arial" w:hAnsi="Arial"/>
          <w:rtl w:val="0"/>
        </w:rPr>
        <w:t xml:space="preserve">105(10), 1-37. </w:t>
      </w:r>
      <w:hyperlink r:id="rId33">
        <w:r w:rsidDel="00000000" w:rsidR="00000000" w:rsidRPr="00000000">
          <w:rPr>
            <w:rFonts w:ascii="Arial" w:cs="Arial" w:eastAsia="Arial" w:hAnsi="Arial"/>
            <w:color w:val="0000ff"/>
            <w:u w:val="single"/>
            <w:rtl w:val="0"/>
          </w:rPr>
          <w:t xml:space="preserve">https://doi.org/10.18637/jss.v105.i10</w:t>
        </w:r>
      </w:hyperlink>
      <w:r w:rsidDel="00000000" w:rsidR="00000000" w:rsidRPr="00000000">
        <w:rPr>
          <w:rFonts w:ascii="Arial" w:cs="Arial" w:eastAsia="Arial" w:hAnsi="Arial"/>
          <w:rtl w:val="0"/>
        </w:rPr>
        <w:t xml:space="preserve">. </w:t>
      </w:r>
    </w:p>
    <w:p w:rsidR="00000000" w:rsidDel="00000000" w:rsidP="00000000" w:rsidRDefault="00000000" w:rsidRPr="00000000" w14:paraId="000000A8">
      <w:pPr>
        <w:spacing w:line="276" w:lineRule="auto"/>
        <w:rPr>
          <w:rFonts w:ascii="Arial" w:cs="Arial" w:eastAsia="Arial" w:hAnsi="Arial"/>
        </w:rPr>
      </w:pPr>
      <w:r w:rsidDel="00000000" w:rsidR="00000000" w:rsidRPr="00000000">
        <w:rPr>
          <w:rFonts w:ascii="Arial" w:cs="Arial" w:eastAsia="Arial" w:hAnsi="Arial"/>
          <w:rtl w:val="0"/>
        </w:rPr>
        <w:t xml:space="preserve">Horvath, L., James, O., Banducci, S. &amp; Beduschi, A. (2023). Citizens' acceptance of artificial intelligence in public services: Evidence from a conjoint experiment about processing permit applications. </w:t>
      </w:r>
      <w:r w:rsidDel="00000000" w:rsidR="00000000" w:rsidRPr="00000000">
        <w:rPr>
          <w:rFonts w:ascii="Arial" w:cs="Arial" w:eastAsia="Arial" w:hAnsi="Arial"/>
          <w:i w:val="1"/>
          <w:rtl w:val="0"/>
        </w:rPr>
        <w:t xml:space="preserve">Government Information Quarterly</w:t>
      </w:r>
      <w:r w:rsidDel="00000000" w:rsidR="00000000" w:rsidRPr="00000000">
        <w:rPr>
          <w:rFonts w:ascii="Arial" w:cs="Arial" w:eastAsia="Arial" w:hAnsi="Arial"/>
          <w:rtl w:val="0"/>
        </w:rPr>
        <w:t xml:space="preserve">, 4. </w:t>
      </w:r>
      <w:hyperlink r:id="rId34">
        <w:r w:rsidDel="00000000" w:rsidR="00000000" w:rsidRPr="00000000">
          <w:rPr>
            <w:rFonts w:ascii="Arial" w:cs="Arial" w:eastAsia="Arial" w:hAnsi="Arial"/>
            <w:color w:val="1155cc"/>
            <w:u w:val="single"/>
            <w:rtl w:val="0"/>
          </w:rPr>
          <w:t xml:space="preserve">https://doi.org/10.1016/j.giq.2023.101876</w:t>
        </w:r>
      </w:hyperlink>
      <w:r w:rsidDel="00000000" w:rsidR="00000000" w:rsidRPr="00000000">
        <w:rPr>
          <w:rFonts w:ascii="Arial" w:cs="Arial" w:eastAsia="Arial" w:hAnsi="Arial"/>
          <w:rtl w:val="0"/>
        </w:rPr>
        <w:t xml:space="preserve">. </w:t>
      </w:r>
    </w:p>
    <w:p w:rsidR="00000000" w:rsidDel="00000000" w:rsidP="00000000" w:rsidRDefault="00000000" w:rsidRPr="00000000" w14:paraId="000000A9">
      <w:pPr>
        <w:spacing w:line="276" w:lineRule="auto"/>
        <w:rPr>
          <w:rFonts w:ascii="Arial" w:cs="Arial" w:eastAsia="Arial" w:hAnsi="Arial"/>
        </w:rPr>
      </w:pPr>
      <w:r w:rsidDel="00000000" w:rsidR="00000000" w:rsidRPr="00000000">
        <w:rPr>
          <w:rFonts w:ascii="Arial" w:cs="Arial" w:eastAsia="Arial" w:hAnsi="Arial"/>
          <w:rtl w:val="0"/>
        </w:rPr>
        <w:t xml:space="preserve">Huber, P.J. (1967) The Behavior of Maximum Likelihood Estimates under Nonstandard Conditions. In </w:t>
      </w:r>
      <w:r w:rsidDel="00000000" w:rsidR="00000000" w:rsidRPr="00000000">
        <w:rPr>
          <w:rFonts w:ascii="Arial" w:cs="Arial" w:eastAsia="Arial" w:hAnsi="Arial"/>
          <w:i w:val="1"/>
          <w:rtl w:val="0"/>
        </w:rPr>
        <w:t xml:space="preserve">Proceedings of the 5th Berkeley Symposium on Mathematical Statistics and Probability</w:t>
      </w:r>
      <w:r w:rsidDel="00000000" w:rsidR="00000000" w:rsidRPr="00000000">
        <w:rPr>
          <w:rFonts w:ascii="Arial" w:cs="Arial" w:eastAsia="Arial" w:hAnsi="Arial"/>
          <w:rtl w:val="0"/>
        </w:rPr>
        <w:t xml:space="preserve">, Berkeley: University of California Press, 1, 221-223.</w:t>
      </w:r>
    </w:p>
    <w:p w:rsidR="00000000" w:rsidDel="00000000" w:rsidP="00000000" w:rsidRDefault="00000000" w:rsidRPr="00000000" w14:paraId="000000AA">
      <w:pPr>
        <w:spacing w:line="276" w:lineRule="auto"/>
        <w:rPr>
          <w:rFonts w:ascii="Arial" w:cs="Arial" w:eastAsia="Arial" w:hAnsi="Arial"/>
        </w:rPr>
      </w:pPr>
      <w:r w:rsidDel="00000000" w:rsidR="00000000" w:rsidRPr="00000000">
        <w:rPr>
          <w:rFonts w:ascii="Arial" w:cs="Arial" w:eastAsia="Arial" w:hAnsi="Arial"/>
          <w:color w:val="222222"/>
          <w:highlight w:val="white"/>
          <w:rtl w:val="0"/>
        </w:rPr>
        <w:t xml:space="preserve">Kamiran, F., Žliobaitė, I. &amp; Calders, T. (2013). Quantifying explainable discrimination and removing illegal discrimination in automated decision making. </w:t>
      </w:r>
      <w:r w:rsidDel="00000000" w:rsidR="00000000" w:rsidRPr="00000000">
        <w:rPr>
          <w:rFonts w:ascii="Arial" w:cs="Arial" w:eastAsia="Arial" w:hAnsi="Arial"/>
          <w:i w:val="1"/>
          <w:color w:val="222222"/>
          <w:highlight w:val="white"/>
          <w:rtl w:val="0"/>
        </w:rPr>
        <w:t xml:space="preserve">Knowledge and Information Systems </w:t>
      </w:r>
      <w:r w:rsidDel="00000000" w:rsidR="00000000" w:rsidRPr="00000000">
        <w:rPr>
          <w:rFonts w:ascii="Arial" w:cs="Arial" w:eastAsia="Arial" w:hAnsi="Arial"/>
          <w:color w:val="222222"/>
          <w:highlight w:val="white"/>
          <w:rtl w:val="0"/>
        </w:rPr>
        <w:t xml:space="preserve">35, 613–644. </w:t>
      </w:r>
      <w:hyperlink r:id="rId35">
        <w:r w:rsidDel="00000000" w:rsidR="00000000" w:rsidRPr="00000000">
          <w:rPr>
            <w:rFonts w:ascii="Arial" w:cs="Arial" w:eastAsia="Arial" w:hAnsi="Arial"/>
            <w:color w:val="1155cc"/>
            <w:highlight w:val="white"/>
            <w:u w:val="single"/>
            <w:rtl w:val="0"/>
          </w:rPr>
          <w:t xml:space="preserve">https://doi.org/10.1007/s10115-012-0584-8</w:t>
        </w:r>
      </w:hyperlink>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AB">
      <w:pPr>
        <w:spacing w:line="276"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La Valle, I., Graham, B., &amp; Payne L. (2016). A consistent identifier in education and children’s services. Department for Education. Available at: </w:t>
      </w:r>
      <w:hyperlink r:id="rId36">
        <w:r w:rsidDel="00000000" w:rsidR="00000000" w:rsidRPr="00000000">
          <w:rPr>
            <w:rFonts w:ascii="Arial" w:cs="Arial" w:eastAsia="Arial" w:hAnsi="Arial"/>
            <w:color w:val="1155cc"/>
            <w:highlight w:val="white"/>
            <w:u w:val="single"/>
            <w:rtl w:val="0"/>
          </w:rPr>
          <w:t xml:space="preserve">https://assets.publishing.service.gov.uk/media/5a8157e5ed915d74e6231bd2/Consistent_identifier__report_July_2016.pdf</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AC">
      <w:pPr>
        <w:spacing w:line="276"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McFadden, D. (1974). Conditional Logit Analysis of Qualitative Choice Behavior. In </w:t>
      </w:r>
      <w:r w:rsidDel="00000000" w:rsidR="00000000" w:rsidRPr="00000000">
        <w:rPr>
          <w:rFonts w:ascii="Arial" w:cs="Arial" w:eastAsia="Arial" w:hAnsi="Arial"/>
          <w:i w:val="1"/>
          <w:color w:val="222222"/>
          <w:highlight w:val="white"/>
          <w:rtl w:val="0"/>
        </w:rPr>
        <w:t xml:space="preserve">Frontiers in Econometrics</w:t>
      </w:r>
      <w:r w:rsidDel="00000000" w:rsidR="00000000" w:rsidRPr="00000000">
        <w:rPr>
          <w:rFonts w:ascii="Arial" w:cs="Arial" w:eastAsia="Arial" w:hAnsi="Arial"/>
          <w:color w:val="222222"/>
          <w:highlight w:val="white"/>
          <w:rtl w:val="0"/>
        </w:rPr>
        <w:t xml:space="preserve"> (pp. 105-142). chapter, New York: Academic Press.</w:t>
      </w:r>
    </w:p>
    <w:p w:rsidR="00000000" w:rsidDel="00000000" w:rsidP="00000000" w:rsidRDefault="00000000" w:rsidRPr="00000000" w14:paraId="000000AD">
      <w:pPr>
        <w:spacing w:line="276" w:lineRule="auto"/>
        <w:rPr>
          <w:rFonts w:ascii="Arial" w:cs="Arial" w:eastAsia="Arial" w:hAnsi="Arial"/>
          <w:color w:val="222222"/>
          <w:highlight w:val="white"/>
        </w:rPr>
      </w:pPr>
      <w:r w:rsidDel="00000000" w:rsidR="00000000" w:rsidRPr="00000000">
        <w:rPr>
          <w:rFonts w:ascii="Arial" w:cs="Arial" w:eastAsia="Arial" w:hAnsi="Arial"/>
          <w:color w:val="222222"/>
          <w:rtl w:val="0"/>
        </w:rPr>
        <w:t xml:space="preserve">Merrill, III, S., &amp; Grofman, B. (1999). Empirical Fitting of Probabilistic Models of Voter Choice in Multiparty Electorates. In </w:t>
      </w:r>
      <w:r w:rsidDel="00000000" w:rsidR="00000000" w:rsidRPr="00000000">
        <w:rPr>
          <w:rFonts w:ascii="Arial" w:cs="Arial" w:eastAsia="Arial" w:hAnsi="Arial"/>
          <w:i w:val="1"/>
          <w:color w:val="222222"/>
          <w:rtl w:val="0"/>
        </w:rPr>
        <w:t xml:space="preserve">A Unified Theory of Voting: Directional and Proximity Spatial Models</w:t>
      </w:r>
      <w:r w:rsidDel="00000000" w:rsidR="00000000" w:rsidRPr="00000000">
        <w:rPr>
          <w:rFonts w:ascii="Arial" w:cs="Arial" w:eastAsia="Arial" w:hAnsi="Arial"/>
          <w:color w:val="222222"/>
          <w:rtl w:val="0"/>
        </w:rPr>
        <w:t xml:space="preserve"> (pp. 91–106). chapter, Cambridge: Cambridge University Press.</w:t>
      </w:r>
      <w:r w:rsidDel="00000000" w:rsidR="00000000" w:rsidRPr="00000000">
        <w:rPr>
          <w:rtl w:val="0"/>
        </w:rPr>
      </w:r>
    </w:p>
    <w:p w:rsidR="00000000" w:rsidDel="00000000" w:rsidP="00000000" w:rsidRDefault="00000000" w:rsidRPr="00000000" w14:paraId="000000AE">
      <w:pPr>
        <w:spacing w:line="276"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Molnar, C. (2024). </w:t>
      </w:r>
      <w:r w:rsidDel="00000000" w:rsidR="00000000" w:rsidRPr="00000000">
        <w:rPr>
          <w:rFonts w:ascii="Arial" w:cs="Arial" w:eastAsia="Arial" w:hAnsi="Arial"/>
          <w:i w:val="1"/>
          <w:color w:val="222222"/>
          <w:highlight w:val="white"/>
          <w:rtl w:val="0"/>
        </w:rPr>
        <w:t xml:space="preserve">Interpretable Machine Learning</w:t>
      </w:r>
      <w:r w:rsidDel="00000000" w:rsidR="00000000" w:rsidRPr="00000000">
        <w:rPr>
          <w:rFonts w:ascii="Arial" w:cs="Arial" w:eastAsia="Arial" w:hAnsi="Arial"/>
          <w:color w:val="222222"/>
          <w:highlight w:val="white"/>
          <w:rtl w:val="0"/>
        </w:rPr>
        <w:t xml:space="preserve">. Available at: </w:t>
      </w:r>
      <w:hyperlink r:id="rId37">
        <w:r w:rsidDel="00000000" w:rsidR="00000000" w:rsidRPr="00000000">
          <w:rPr>
            <w:rFonts w:ascii="Arial" w:cs="Arial" w:eastAsia="Arial" w:hAnsi="Arial"/>
            <w:color w:val="1155cc"/>
            <w:highlight w:val="white"/>
            <w:u w:val="single"/>
            <w:rtl w:val="0"/>
          </w:rPr>
          <w:t xml:space="preserve">https://christophm.github.io/interpretable-ml-book/</w:t>
        </w:r>
      </w:hyperlink>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AF">
      <w:pPr>
        <w:spacing w:line="276" w:lineRule="auto"/>
        <w:rPr>
          <w:rFonts w:ascii="Arial" w:cs="Arial" w:eastAsia="Arial" w:hAnsi="Arial"/>
        </w:rPr>
      </w:pPr>
      <w:r w:rsidDel="00000000" w:rsidR="00000000" w:rsidRPr="00000000">
        <w:rPr>
          <w:rFonts w:ascii="Arial" w:cs="Arial" w:eastAsia="Arial" w:hAnsi="Arial"/>
          <w:color w:val="222222"/>
          <w:highlight w:val="white"/>
          <w:rtl w:val="0"/>
        </w:rPr>
        <w:t xml:space="preserve">Murphy, J.J., Allen, P.G., Stevens, T.H., &amp; Weatherhead, D. (2005). A Meta-analysis of Hypothetical Bias in Stated Preference Valuation. </w:t>
      </w:r>
      <w:r w:rsidDel="00000000" w:rsidR="00000000" w:rsidRPr="00000000">
        <w:rPr>
          <w:rFonts w:ascii="Arial" w:cs="Arial" w:eastAsia="Arial" w:hAnsi="Arial"/>
          <w:i w:val="1"/>
          <w:color w:val="222222"/>
          <w:highlight w:val="white"/>
          <w:rtl w:val="0"/>
        </w:rPr>
        <w:t xml:space="preserve">Environmental Resource Economics</w:t>
      </w:r>
      <w:r w:rsidDel="00000000" w:rsidR="00000000" w:rsidRPr="00000000">
        <w:rPr>
          <w:rFonts w:ascii="Arial" w:cs="Arial" w:eastAsia="Arial" w:hAnsi="Arial"/>
          <w:color w:val="222222"/>
          <w:highlight w:val="white"/>
          <w:rtl w:val="0"/>
        </w:rPr>
        <w:t xml:space="preserve">, 30, 313–325. </w:t>
      </w:r>
      <w:hyperlink r:id="rId38">
        <w:r w:rsidDel="00000000" w:rsidR="00000000" w:rsidRPr="00000000">
          <w:rPr>
            <w:rFonts w:ascii="Arial" w:cs="Arial" w:eastAsia="Arial" w:hAnsi="Arial"/>
            <w:color w:val="1155cc"/>
            <w:highlight w:val="white"/>
            <w:u w:val="single"/>
            <w:rtl w:val="0"/>
          </w:rPr>
          <w:t xml:space="preserve">https://doi.org/10.1007/s10640-004-3332-z</w:t>
        </w:r>
      </w:hyperlink>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B0">
      <w:pPr>
        <w:spacing w:line="276" w:lineRule="auto"/>
        <w:rPr>
          <w:rFonts w:ascii="Arial" w:cs="Arial" w:eastAsia="Arial" w:hAnsi="Arial"/>
        </w:rPr>
      </w:pPr>
      <w:r w:rsidDel="00000000" w:rsidR="00000000" w:rsidRPr="00000000">
        <w:rPr>
          <w:rFonts w:ascii="Arial" w:cs="Arial" w:eastAsia="Arial" w:hAnsi="Arial"/>
          <w:rtl w:val="0"/>
        </w:rPr>
        <w:t xml:space="preserve">Office for National Statistics (2016). Developing admin-based ethnicity statistics for England: 2016. Available at: </w:t>
      </w:r>
      <w:hyperlink r:id="rId39">
        <w:r w:rsidDel="00000000" w:rsidR="00000000" w:rsidRPr="00000000">
          <w:rPr>
            <w:rFonts w:ascii="Arial" w:cs="Arial" w:eastAsia="Arial" w:hAnsi="Arial"/>
            <w:color w:val="1155cc"/>
            <w:u w:val="single"/>
            <w:rtl w:val="0"/>
          </w:rPr>
          <w:t xml:space="preserve">https://www.ons.gov.uk/peoplepopulationandcommunity/culturalidentity/ethnicity/articles/developingadminbasedethnicitystatisticsforengland/2016</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1">
      <w:pPr>
        <w:spacing w:line="276" w:lineRule="auto"/>
        <w:rPr>
          <w:rFonts w:ascii="Arial" w:cs="Arial" w:eastAsia="Arial" w:hAnsi="Arial"/>
        </w:rPr>
      </w:pPr>
      <w:r w:rsidDel="00000000" w:rsidR="00000000" w:rsidRPr="00000000">
        <w:rPr>
          <w:rFonts w:ascii="Arial" w:cs="Arial" w:eastAsia="Arial" w:hAnsi="Arial"/>
          <w:rtl w:val="0"/>
        </w:rPr>
        <w:t xml:space="preserve">Ploug, T., Sundby, A., Moeslund, T.B., and Holm, S. (2021). Population Preferences for Performance and Explainability of Artificial Intelligence in Health Care: Choice-Based Conjoint Survey. </w:t>
      </w:r>
      <w:r w:rsidDel="00000000" w:rsidR="00000000" w:rsidRPr="00000000">
        <w:rPr>
          <w:rFonts w:ascii="Arial" w:cs="Arial" w:eastAsia="Arial" w:hAnsi="Arial"/>
          <w:i w:val="1"/>
          <w:rtl w:val="0"/>
        </w:rPr>
        <w:t xml:space="preserve">Journal of Medical Internet Research</w:t>
      </w:r>
      <w:r w:rsidDel="00000000" w:rsidR="00000000" w:rsidRPr="00000000">
        <w:rPr>
          <w:rFonts w:ascii="Arial" w:cs="Arial" w:eastAsia="Arial" w:hAnsi="Arial"/>
          <w:rtl w:val="0"/>
        </w:rPr>
        <w:t xml:space="preserve">, 23(12). </w:t>
      </w:r>
      <w:hyperlink r:id="rId40">
        <w:r w:rsidDel="00000000" w:rsidR="00000000" w:rsidRPr="00000000">
          <w:rPr>
            <w:rFonts w:ascii="Arial" w:cs="Arial" w:eastAsia="Arial" w:hAnsi="Arial"/>
            <w:color w:val="1155cc"/>
            <w:u w:val="single"/>
            <w:rtl w:val="0"/>
          </w:rPr>
          <w:t xml:space="preserve">https://doi.org/10.2196/26611</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2">
      <w:pPr>
        <w:spacing w:line="276" w:lineRule="auto"/>
        <w:rPr>
          <w:rFonts w:ascii="Arial" w:cs="Arial" w:eastAsia="Arial" w:hAnsi="Arial"/>
        </w:rPr>
      </w:pPr>
      <w:r w:rsidDel="00000000" w:rsidR="00000000" w:rsidRPr="00000000">
        <w:rPr>
          <w:rFonts w:ascii="Arial" w:cs="Arial" w:eastAsia="Arial" w:hAnsi="Arial"/>
          <w:rtl w:val="0"/>
        </w:rPr>
        <w:t xml:space="preserve">Prolific (2024). Representative samples FAQ. Prolific Researcher Help. Available at: </w:t>
      </w:r>
      <w:hyperlink r:id="rId41">
        <w:r w:rsidDel="00000000" w:rsidR="00000000" w:rsidRPr="00000000">
          <w:rPr>
            <w:rFonts w:ascii="Arial" w:cs="Arial" w:eastAsia="Arial" w:hAnsi="Arial"/>
            <w:color w:val="1155cc"/>
            <w:u w:val="single"/>
            <w:rtl w:val="0"/>
          </w:rPr>
          <w:t xml:space="preserve">https://researcher-help.prolific.com/en/article/e6555f</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3">
      <w:pPr>
        <w:spacing w:line="276" w:lineRule="auto"/>
        <w:rPr>
          <w:rFonts w:ascii="Arial" w:cs="Arial" w:eastAsia="Arial" w:hAnsi="Arial"/>
        </w:rPr>
      </w:pPr>
      <w:r w:rsidDel="00000000" w:rsidR="00000000" w:rsidRPr="00000000">
        <w:rPr>
          <w:rFonts w:ascii="Arial" w:cs="Arial" w:eastAsia="Arial" w:hAnsi="Arial"/>
          <w:rtl w:val="0"/>
        </w:rPr>
        <w:t xml:space="preserve">Robinson, J.S. (2012) </w:t>
      </w:r>
      <w:r w:rsidDel="00000000" w:rsidR="00000000" w:rsidRPr="00000000">
        <w:rPr>
          <w:rFonts w:ascii="Arial" w:cs="Arial" w:eastAsia="Arial" w:hAnsi="Arial"/>
          <w:i w:val="1"/>
          <w:rtl w:val="0"/>
        </w:rPr>
        <w:t xml:space="preserve">The Consequentialist Scale: Elucidating the Role of Deontological and Utilitarian Beliefs in Moral Judgments</w:t>
      </w:r>
      <w:r w:rsidDel="00000000" w:rsidR="00000000" w:rsidRPr="00000000">
        <w:rPr>
          <w:rFonts w:ascii="Arial" w:cs="Arial" w:eastAsia="Arial" w:hAnsi="Arial"/>
          <w:rtl w:val="0"/>
        </w:rPr>
        <w:t xml:space="preserve">. (Publication No. 1033194972). [Doctoral Dissertation, University of Toronto]. Library Archives of Canada.</w:t>
      </w:r>
    </w:p>
    <w:p w:rsidR="00000000" w:rsidDel="00000000" w:rsidP="00000000" w:rsidRDefault="00000000" w:rsidRPr="00000000" w14:paraId="000000B4">
      <w:pPr>
        <w:spacing w:line="276" w:lineRule="auto"/>
        <w:rPr>
          <w:rFonts w:ascii="Arial" w:cs="Arial" w:eastAsia="Arial" w:hAnsi="Arial"/>
        </w:rPr>
      </w:pPr>
      <w:r w:rsidDel="00000000" w:rsidR="00000000" w:rsidRPr="00000000">
        <w:rPr>
          <w:rFonts w:ascii="Arial" w:cs="Arial" w:eastAsia="Arial" w:hAnsi="Arial"/>
          <w:rtl w:val="0"/>
        </w:rPr>
        <w:t xml:space="preserve">Schuessler, J., and Freitag, M. (2020). Power Analysis for Conjoint Experiments. </w:t>
      </w:r>
      <w:r w:rsidDel="00000000" w:rsidR="00000000" w:rsidRPr="00000000">
        <w:rPr>
          <w:rFonts w:ascii="Arial" w:cs="Arial" w:eastAsia="Arial" w:hAnsi="Arial"/>
          <w:i w:val="1"/>
          <w:rtl w:val="0"/>
        </w:rPr>
        <w:t xml:space="preserve">SocArxiv Papers</w:t>
      </w:r>
      <w:r w:rsidDel="00000000" w:rsidR="00000000" w:rsidRPr="00000000">
        <w:rPr>
          <w:rFonts w:ascii="Arial" w:cs="Arial" w:eastAsia="Arial" w:hAnsi="Arial"/>
          <w:rtl w:val="0"/>
        </w:rPr>
        <w:t xml:space="preserve">. Available at: </w:t>
      </w:r>
      <w:hyperlink r:id="rId42">
        <w:r w:rsidDel="00000000" w:rsidR="00000000" w:rsidRPr="00000000">
          <w:rPr>
            <w:rFonts w:ascii="Arial" w:cs="Arial" w:eastAsia="Arial" w:hAnsi="Arial"/>
            <w:color w:val="0000ff"/>
            <w:u w:val="single"/>
            <w:rtl w:val="0"/>
          </w:rPr>
          <w:t xml:space="preserve">https://osf.io/preprints/socarxiv/9yuhp</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5">
      <w:pPr>
        <w:spacing w:line="276" w:lineRule="auto"/>
        <w:rPr>
          <w:rFonts w:ascii="Arial" w:cs="Arial" w:eastAsia="Arial" w:hAnsi="Arial"/>
        </w:rPr>
      </w:pPr>
      <w:r w:rsidDel="00000000" w:rsidR="00000000" w:rsidRPr="00000000">
        <w:rPr>
          <w:rFonts w:ascii="Arial" w:cs="Arial" w:eastAsia="Arial" w:hAnsi="Arial"/>
          <w:rtl w:val="0"/>
        </w:rPr>
        <w:t xml:space="preserve">Scurich, N. (2015). Criminal Justice Policy Preferences: Blackstone Ratios and the Veil of Ignorance. </w:t>
      </w:r>
      <w:r w:rsidDel="00000000" w:rsidR="00000000" w:rsidRPr="00000000">
        <w:rPr>
          <w:rFonts w:ascii="Arial" w:cs="Arial" w:eastAsia="Arial" w:hAnsi="Arial"/>
          <w:i w:val="1"/>
          <w:rtl w:val="0"/>
        </w:rPr>
        <w:t xml:space="preserve">Stanford Law &amp; Policy Review</w:t>
      </w:r>
      <w:r w:rsidDel="00000000" w:rsidR="00000000" w:rsidRPr="00000000">
        <w:rPr>
          <w:rFonts w:ascii="Arial" w:cs="Arial" w:eastAsia="Arial" w:hAnsi="Arial"/>
          <w:rtl w:val="0"/>
        </w:rPr>
        <w:t xml:space="preserve">, 26, 23-35. </w:t>
      </w:r>
      <w:hyperlink r:id="rId43">
        <w:r w:rsidDel="00000000" w:rsidR="00000000" w:rsidRPr="00000000">
          <w:rPr>
            <w:rFonts w:ascii="Arial" w:cs="Arial" w:eastAsia="Arial" w:hAnsi="Arial"/>
            <w:color w:val="0000ff"/>
            <w:u w:val="single"/>
            <w:rtl w:val="0"/>
          </w:rPr>
          <w:t xml:space="preserve">https://papers.ssrn.com/sol3/papers.cfm?abstract_id=2576993</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6">
      <w:pPr>
        <w:spacing w:line="276" w:lineRule="auto"/>
        <w:rPr>
          <w:rFonts w:ascii="Arial" w:cs="Arial" w:eastAsia="Arial" w:hAnsi="Arial"/>
        </w:rPr>
      </w:pPr>
      <w:r w:rsidDel="00000000" w:rsidR="00000000" w:rsidRPr="00000000">
        <w:rPr>
          <w:rFonts w:ascii="Arial" w:cs="Arial" w:eastAsia="Arial" w:hAnsi="Arial"/>
          <w:rtl w:val="0"/>
        </w:rPr>
        <w:t xml:space="preserve">Srivastava, M., Heidari, H., &amp; Krause, A. (2019). Mathematical Notions vs. Human Perception of Fairness: A Descriptive Approach to Fairness for Machine Learning. In </w:t>
      </w:r>
      <w:r w:rsidDel="00000000" w:rsidR="00000000" w:rsidRPr="00000000">
        <w:rPr>
          <w:rFonts w:ascii="Arial" w:cs="Arial" w:eastAsia="Arial" w:hAnsi="Arial"/>
          <w:i w:val="1"/>
          <w:rtl w:val="0"/>
        </w:rPr>
        <w:t xml:space="preserve">Proceedings of the 25th ACM SIGKDD International Conference on Knowledge Discovery &amp; Data Mining</w:t>
      </w:r>
      <w:r w:rsidDel="00000000" w:rsidR="00000000" w:rsidRPr="00000000">
        <w:rPr>
          <w:rFonts w:ascii="Arial" w:cs="Arial" w:eastAsia="Arial" w:hAnsi="Arial"/>
          <w:rtl w:val="0"/>
        </w:rPr>
        <w:t xml:space="preserve">, 2459–2468. </w:t>
      </w:r>
      <w:hyperlink r:id="rId44">
        <w:r w:rsidDel="00000000" w:rsidR="00000000" w:rsidRPr="00000000">
          <w:rPr>
            <w:rFonts w:ascii="Arial" w:cs="Arial" w:eastAsia="Arial" w:hAnsi="Arial"/>
            <w:color w:val="1155cc"/>
            <w:u w:val="single"/>
            <w:rtl w:val="0"/>
          </w:rPr>
          <w:t xml:space="preserve">https://doi.org/10.1145/3292500.3330664</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7">
      <w:pPr>
        <w:spacing w:line="276" w:lineRule="auto"/>
        <w:rPr>
          <w:rFonts w:ascii="Arial" w:cs="Arial" w:eastAsia="Arial" w:hAnsi="Arial"/>
        </w:rPr>
      </w:pPr>
      <w:r w:rsidDel="00000000" w:rsidR="00000000" w:rsidRPr="00000000">
        <w:rPr>
          <w:rFonts w:ascii="Arial" w:cs="Arial" w:eastAsia="Arial" w:hAnsi="Arial"/>
          <w:rtl w:val="0"/>
        </w:rPr>
        <w:t xml:space="preserve">Stoetzer, L.F., and Zittlau, S. (2015). Multidimensional Spatial Voting with Non-separable Preferences. </w:t>
      </w:r>
      <w:r w:rsidDel="00000000" w:rsidR="00000000" w:rsidRPr="00000000">
        <w:rPr>
          <w:rFonts w:ascii="Arial" w:cs="Arial" w:eastAsia="Arial" w:hAnsi="Arial"/>
          <w:i w:val="1"/>
          <w:rtl w:val="0"/>
        </w:rPr>
        <w:t xml:space="preserve">Political Analysis</w:t>
      </w:r>
      <w:r w:rsidDel="00000000" w:rsidR="00000000" w:rsidRPr="00000000">
        <w:rPr>
          <w:rFonts w:ascii="Arial" w:cs="Arial" w:eastAsia="Arial" w:hAnsi="Arial"/>
          <w:rtl w:val="0"/>
        </w:rPr>
        <w:t xml:space="preserve">, 23(3), 415–428. </w:t>
      </w:r>
      <w:hyperlink r:id="rId45">
        <w:r w:rsidDel="00000000" w:rsidR="00000000" w:rsidRPr="00000000">
          <w:rPr>
            <w:rFonts w:ascii="Arial" w:cs="Arial" w:eastAsia="Arial" w:hAnsi="Arial"/>
            <w:color w:val="0000ff"/>
            <w:u w:val="single"/>
            <w:rtl w:val="0"/>
          </w:rPr>
          <w:t xml:space="preserve">https://doi.org/10.1093/pan/mpv013</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8">
      <w:pPr>
        <w:spacing w:line="276" w:lineRule="auto"/>
        <w:rPr>
          <w:rFonts w:ascii="Arial" w:cs="Arial" w:eastAsia="Arial" w:hAnsi="Arial"/>
        </w:rPr>
      </w:pPr>
      <w:r w:rsidDel="00000000" w:rsidR="00000000" w:rsidRPr="00000000">
        <w:rPr>
          <w:rFonts w:ascii="Arial" w:cs="Arial" w:eastAsia="Arial" w:hAnsi="Arial"/>
          <w:rtl w:val="0"/>
        </w:rPr>
        <w:t xml:space="preserve">Train, K. (2003). </w:t>
      </w:r>
      <w:r w:rsidDel="00000000" w:rsidR="00000000" w:rsidRPr="00000000">
        <w:rPr>
          <w:rFonts w:ascii="Arial" w:cs="Arial" w:eastAsia="Arial" w:hAnsi="Arial"/>
          <w:i w:val="1"/>
          <w:rtl w:val="0"/>
        </w:rPr>
        <w:t xml:space="preserve">Discrete choice methods with simulation</w:t>
      </w:r>
      <w:r w:rsidDel="00000000" w:rsidR="00000000" w:rsidRPr="00000000">
        <w:rPr>
          <w:rFonts w:ascii="Arial" w:cs="Arial" w:eastAsia="Arial" w:hAnsi="Arial"/>
          <w:rtl w:val="0"/>
        </w:rPr>
        <w:t xml:space="preserve">. Cambridge: Cambridge University Press.</w:t>
      </w:r>
    </w:p>
    <w:p w:rsidR="00000000" w:rsidDel="00000000" w:rsidP="00000000" w:rsidRDefault="00000000" w:rsidRPr="00000000" w14:paraId="000000B9">
      <w:pPr>
        <w:spacing w:line="276" w:lineRule="auto"/>
        <w:rPr>
          <w:rFonts w:ascii="Arial" w:cs="Arial" w:eastAsia="Arial" w:hAnsi="Arial"/>
        </w:rPr>
      </w:pPr>
      <w:r w:rsidDel="00000000" w:rsidR="00000000" w:rsidRPr="00000000">
        <w:rPr>
          <w:rFonts w:ascii="Arial" w:cs="Arial" w:eastAsia="Arial" w:hAnsi="Arial"/>
          <w:rtl w:val="0"/>
        </w:rPr>
        <w:t xml:space="preserve">University of Helsinki, and Reaktor. (2021). A free online introduction to artificial intelligence for non-experts. Available at: </w:t>
      </w:r>
      <w:hyperlink r:id="rId46">
        <w:r w:rsidDel="00000000" w:rsidR="00000000" w:rsidRPr="00000000">
          <w:rPr>
            <w:rFonts w:ascii="Arial" w:cs="Arial" w:eastAsia="Arial" w:hAnsi="Arial"/>
            <w:color w:val="1155cc"/>
            <w:u w:val="single"/>
            <w:rtl w:val="0"/>
          </w:rPr>
          <w:t xml:space="preserve">https://www.elementsofai.com/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A">
      <w:pPr>
        <w:spacing w:line="276" w:lineRule="auto"/>
        <w:rPr>
          <w:rFonts w:ascii="Arial" w:cs="Arial" w:eastAsia="Arial" w:hAnsi="Arial"/>
        </w:rPr>
      </w:pPr>
      <w:r w:rsidDel="00000000" w:rsidR="00000000" w:rsidRPr="00000000">
        <w:rPr>
          <w:rFonts w:ascii="Arial" w:cs="Arial" w:eastAsia="Arial" w:hAnsi="Arial"/>
          <w:rtl w:val="0"/>
        </w:rPr>
        <w:t xml:space="preserve">van der Veer, S., Riste, L., Cheraghi-Sohi, S., Phipps, D.L., Tully, M.P., Bozentko, K., Atwood, S., Hubbard, A., Wiper, C., Oswald, M., Peeks, N. (2021). Trading off accuracy and explainability in AI decision-making: findings from 2 citizens’ juries. </w:t>
      </w:r>
      <w:r w:rsidDel="00000000" w:rsidR="00000000" w:rsidRPr="00000000">
        <w:rPr>
          <w:rFonts w:ascii="Arial" w:cs="Arial" w:eastAsia="Arial" w:hAnsi="Arial"/>
          <w:i w:val="1"/>
          <w:rtl w:val="0"/>
        </w:rPr>
        <w:t xml:space="preserve">Journal of the American Medical Informatics Association</w:t>
      </w:r>
      <w:r w:rsidDel="00000000" w:rsidR="00000000" w:rsidRPr="00000000">
        <w:rPr>
          <w:rFonts w:ascii="Arial" w:cs="Arial" w:eastAsia="Arial" w:hAnsi="Arial"/>
          <w:rtl w:val="0"/>
        </w:rPr>
        <w:t xml:space="preserve">, 28(10): 2128-2138. </w:t>
      </w:r>
      <w:r w:rsidDel="00000000" w:rsidR="00000000" w:rsidRPr="00000000">
        <w:rPr>
          <w:rFonts w:ascii="Arial" w:cs="Arial" w:eastAsia="Arial" w:hAnsi="Arial"/>
          <w:color w:val="2a2a2a"/>
          <w:sz w:val="23"/>
          <w:szCs w:val="23"/>
          <w:highlight w:val="white"/>
          <w:rtl w:val="0"/>
        </w:rPr>
        <w:t xml:space="preserve"> </w:t>
      </w:r>
      <w:hyperlink r:id="rId47">
        <w:r w:rsidDel="00000000" w:rsidR="00000000" w:rsidRPr="00000000">
          <w:rPr>
            <w:rFonts w:ascii="Arial" w:cs="Arial" w:eastAsia="Arial" w:hAnsi="Arial"/>
            <w:color w:val="1155cc"/>
            <w:sz w:val="23"/>
            <w:szCs w:val="23"/>
            <w:highlight w:val="white"/>
            <w:u w:val="single"/>
            <w:rtl w:val="0"/>
          </w:rPr>
          <w:t xml:space="preserve">https://doi.org/10.1093/jamia/ocab127</w:t>
        </w:r>
      </w:hyperlink>
      <w:r w:rsidDel="00000000" w:rsidR="00000000" w:rsidRPr="00000000">
        <w:rPr>
          <w:rFonts w:ascii="Arial" w:cs="Arial" w:eastAsia="Arial" w:hAnsi="Arial"/>
          <w:color w:val="2a2a2a"/>
          <w:sz w:val="23"/>
          <w:szCs w:val="23"/>
          <w:highlight w:val="white"/>
          <w:rtl w:val="0"/>
        </w:rPr>
        <w:t xml:space="preserve">. </w:t>
      </w:r>
      <w:r w:rsidDel="00000000" w:rsidR="00000000" w:rsidRPr="00000000">
        <w:rPr>
          <w:rtl w:val="0"/>
        </w:rPr>
      </w:r>
    </w:p>
    <w:p w:rsidR="00000000" w:rsidDel="00000000" w:rsidP="00000000" w:rsidRDefault="00000000" w:rsidRPr="00000000" w14:paraId="000000BB">
      <w:pPr>
        <w:spacing w:line="276" w:lineRule="auto"/>
        <w:rPr>
          <w:rFonts w:ascii="Arial" w:cs="Arial" w:eastAsia="Arial" w:hAnsi="Arial"/>
        </w:rPr>
      </w:pPr>
      <w:r w:rsidDel="00000000" w:rsidR="00000000" w:rsidRPr="00000000">
        <w:rPr>
          <w:rFonts w:ascii="Arial" w:cs="Arial" w:eastAsia="Arial" w:hAnsi="Arial"/>
          <w:rtl w:val="0"/>
        </w:rPr>
        <w:t xml:space="preserve">Wachter, S., Mittelstadt, B., &amp; Russell, C. (2021). Why Fairness Cannot Be Automated: Bridging the Gap Between EU Non-Discrimination Law and AI. </w:t>
      </w:r>
      <w:r w:rsidDel="00000000" w:rsidR="00000000" w:rsidRPr="00000000">
        <w:rPr>
          <w:rFonts w:ascii="Arial" w:cs="Arial" w:eastAsia="Arial" w:hAnsi="Arial"/>
          <w:i w:val="1"/>
          <w:rtl w:val="0"/>
        </w:rPr>
        <w:t xml:space="preserve">Computer Law &amp; Security Review</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rtl w:val="0"/>
        </w:rPr>
        <w:t xml:space="preserve">41. </w:t>
      </w:r>
      <w:hyperlink r:id="rId48">
        <w:r w:rsidDel="00000000" w:rsidR="00000000" w:rsidRPr="00000000">
          <w:rPr>
            <w:rFonts w:ascii="Arial" w:cs="Arial" w:eastAsia="Arial" w:hAnsi="Arial"/>
            <w:color w:val="1155cc"/>
            <w:u w:val="single"/>
            <w:rtl w:val="0"/>
          </w:rPr>
          <w:t xml:space="preserve">https://doi.org/10.1016/j.clsr.2021.105567</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C">
      <w:pPr>
        <w:spacing w:line="276" w:lineRule="auto"/>
        <w:rPr>
          <w:rFonts w:ascii="Arial" w:cs="Arial" w:eastAsia="Arial" w:hAnsi="Arial"/>
        </w:rPr>
      </w:pPr>
      <w:r w:rsidDel="00000000" w:rsidR="00000000" w:rsidRPr="00000000">
        <w:rPr>
          <w:rFonts w:ascii="Arial" w:cs="Arial" w:eastAsia="Arial" w:hAnsi="Arial"/>
          <w:rtl w:val="0"/>
        </w:rPr>
        <w:t xml:space="preserve">White, H. (1980). A Heteroskedasticity-Consistent Covariance Matrix Estimator and a Direct Test for Heteroskedasticity. </w:t>
      </w:r>
      <w:r w:rsidDel="00000000" w:rsidR="00000000" w:rsidRPr="00000000">
        <w:rPr>
          <w:rFonts w:ascii="Arial" w:cs="Arial" w:eastAsia="Arial" w:hAnsi="Arial"/>
          <w:i w:val="1"/>
          <w:rtl w:val="0"/>
        </w:rPr>
        <w:t xml:space="preserve">Econometrica</w:t>
      </w:r>
      <w:r w:rsidDel="00000000" w:rsidR="00000000" w:rsidRPr="00000000">
        <w:rPr>
          <w:rFonts w:ascii="Arial" w:cs="Arial" w:eastAsia="Arial" w:hAnsi="Arial"/>
          <w:rtl w:val="0"/>
        </w:rPr>
        <w:t xml:space="preserve">, 48(4), 817-838. </w:t>
      </w:r>
    </w:p>
    <w:p w:rsidR="00000000" w:rsidDel="00000000" w:rsidP="00000000" w:rsidRDefault="00000000" w:rsidRPr="00000000" w14:paraId="000000BD">
      <w:pPr>
        <w:spacing w:line="276" w:lineRule="auto"/>
        <w:rPr>
          <w:rFonts w:ascii="Arial" w:cs="Arial" w:eastAsia="Arial" w:hAnsi="Arial"/>
        </w:rPr>
      </w:pPr>
      <w:r w:rsidDel="00000000" w:rsidR="00000000" w:rsidRPr="00000000">
        <w:rPr>
          <w:rFonts w:ascii="Arial" w:cs="Arial" w:eastAsia="Arial" w:hAnsi="Arial"/>
          <w:rtl w:val="0"/>
        </w:rPr>
        <w:t xml:space="preserve">Williamson, H., Sato, M., &amp; Dioso-Villa, R. (2023). Wrongful Convictions and Erroneous Acquittals: Applying Packer’s Model to Examine Public Perceptions of Judicial Errors in Australia</w:t>
      </w:r>
      <w:r w:rsidDel="00000000" w:rsidR="00000000" w:rsidRPr="00000000">
        <w:rPr>
          <w:rFonts w:ascii="Arial" w:cs="Arial" w:eastAsia="Arial" w:hAnsi="Arial"/>
          <w:i w:val="1"/>
          <w:rtl w:val="0"/>
        </w:rPr>
        <w:t xml:space="preserve">. International Journal of Offender Therapy and Comparative Criminology</w:t>
      </w:r>
      <w:r w:rsidDel="00000000" w:rsidR="00000000" w:rsidRPr="00000000">
        <w:rPr>
          <w:rFonts w:ascii="Arial" w:cs="Arial" w:eastAsia="Arial" w:hAnsi="Arial"/>
          <w:rtl w:val="0"/>
        </w:rPr>
        <w:t xml:space="preserve">, 67(8), 783-802. </w:t>
      </w:r>
      <w:hyperlink r:id="rId49">
        <w:r w:rsidDel="00000000" w:rsidR="00000000" w:rsidRPr="00000000">
          <w:rPr>
            <w:rFonts w:ascii="Arial" w:cs="Arial" w:eastAsia="Arial" w:hAnsi="Arial"/>
            <w:color w:val="0000ff"/>
            <w:u w:val="single"/>
            <w:rtl w:val="0"/>
          </w:rPr>
          <w:t xml:space="preserve">https://doi.org/10.1177/0306624X211066826</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E">
      <w:pPr>
        <w:spacing w:line="276" w:lineRule="auto"/>
        <w:rPr>
          <w:rFonts w:ascii="Arial" w:cs="Arial" w:eastAsia="Arial" w:hAnsi="Arial"/>
        </w:rPr>
      </w:pPr>
      <w:r w:rsidDel="00000000" w:rsidR="00000000" w:rsidRPr="00000000">
        <w:rPr>
          <w:rFonts w:ascii="Arial" w:cs="Arial" w:eastAsia="Arial" w:hAnsi="Arial"/>
          <w:rtl w:val="0"/>
        </w:rPr>
        <w:t xml:space="preserve">Xiong, M., Greenleaf, R. G., and Goldschmidt, J. (2017). Citizen attitudes toward errors in criminal justice: Implications of the declining acceptance of Blackstone’s ratio. </w:t>
      </w:r>
      <w:r w:rsidDel="00000000" w:rsidR="00000000" w:rsidRPr="00000000">
        <w:rPr>
          <w:rFonts w:ascii="Arial" w:cs="Arial" w:eastAsia="Arial" w:hAnsi="Arial"/>
          <w:i w:val="1"/>
          <w:rtl w:val="0"/>
        </w:rPr>
        <w:t xml:space="preserve">International Journal of Law, Crime, and Justice</w:t>
      </w:r>
      <w:r w:rsidDel="00000000" w:rsidR="00000000" w:rsidRPr="00000000">
        <w:rPr>
          <w:rFonts w:ascii="Arial" w:cs="Arial" w:eastAsia="Arial" w:hAnsi="Arial"/>
          <w:rtl w:val="0"/>
        </w:rPr>
        <w:t xml:space="preserve">, 48, 14–26. </w:t>
      </w:r>
      <w:hyperlink r:id="rId50">
        <w:r w:rsidDel="00000000" w:rsidR="00000000" w:rsidRPr="00000000">
          <w:rPr>
            <w:rFonts w:ascii="Arial" w:cs="Arial" w:eastAsia="Arial" w:hAnsi="Arial"/>
            <w:color w:val="0000ff"/>
            <w:u w:val="single"/>
            <w:rtl w:val="0"/>
          </w:rPr>
          <w:t xml:space="preserve">https://doi.org/10.1016/j.ijlcj.2016.10.001</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F">
      <w:pPr>
        <w:spacing w:line="276" w:lineRule="auto"/>
        <w:rPr>
          <w:rFonts w:ascii="Arial" w:cs="Arial" w:eastAsia="Arial" w:hAnsi="Arial"/>
        </w:rPr>
      </w:pPr>
      <w:r w:rsidDel="00000000" w:rsidR="00000000" w:rsidRPr="00000000">
        <w:rPr>
          <w:rFonts w:ascii="Arial" w:cs="Arial" w:eastAsia="Arial" w:hAnsi="Arial"/>
          <w:rtl w:val="0"/>
        </w:rPr>
        <w:t xml:space="preserve">Zhirkov, K. (2022). Estimating and Using Individual Marginal Component Effects from Conjoint Experiments. </w:t>
      </w:r>
      <w:r w:rsidDel="00000000" w:rsidR="00000000" w:rsidRPr="00000000">
        <w:rPr>
          <w:rFonts w:ascii="Arial" w:cs="Arial" w:eastAsia="Arial" w:hAnsi="Arial"/>
          <w:i w:val="1"/>
          <w:rtl w:val="0"/>
        </w:rPr>
        <w:t xml:space="preserve">Political Analysis</w:t>
      </w:r>
      <w:r w:rsidDel="00000000" w:rsidR="00000000" w:rsidRPr="00000000">
        <w:rPr>
          <w:rFonts w:ascii="Arial" w:cs="Arial" w:eastAsia="Arial" w:hAnsi="Arial"/>
          <w:rtl w:val="0"/>
        </w:rPr>
        <w:t xml:space="preserve">, 30(2), 236–249. </w:t>
      </w:r>
      <w:hyperlink r:id="rId51">
        <w:r w:rsidDel="00000000" w:rsidR="00000000" w:rsidRPr="00000000">
          <w:rPr>
            <w:rFonts w:ascii="Arial" w:cs="Arial" w:eastAsia="Arial" w:hAnsi="Arial"/>
            <w:color w:val="0000ff"/>
            <w:u w:val="single"/>
            <w:rtl w:val="0"/>
          </w:rPr>
          <w:t xml:space="preserve">https://doi.org/10.1017/pan.2021.4</w:t>
        </w:r>
      </w:hyperlink>
      <w:r w:rsidDel="00000000" w:rsidR="00000000" w:rsidRPr="00000000">
        <w:rPr>
          <w:rFonts w:ascii="Arial" w:cs="Arial" w:eastAsia="Arial" w:hAnsi="Arial"/>
          <w:rtl w:val="0"/>
        </w:rPr>
        <w:t xml:space="preserve">.   </w:t>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tl w:val="0"/>
        </w:rPr>
      </w:r>
    </w:p>
    <w:sectPr>
      <w:headerReference r:id="rId52" w:type="default"/>
      <w:headerReference r:id="rId53" w:type="first"/>
      <w:headerReference r:id="rId54" w:type="even"/>
      <w:footerReference r:id="rId55" w:type="default"/>
      <w:pgSz w:h="16838" w:w="11906" w:orient="portrait"/>
      <w:pgMar w:bottom="1440" w:top="1843"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percu"/>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left" w:leader="none" w:pos="142"/>
      </w:tabs>
      <w:spacing w:after="708" w:lineRule="auto"/>
      <w:jc w:val="right"/>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left" w:leader="none" w:pos="142"/>
      </w:tabs>
      <w:spacing w:after="708" w:lineRule="auto"/>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center" w:leader="none" w:pos="4513"/>
        <w:tab w:val="right" w:leader="none" w:pos="9026"/>
      </w:tabs>
      <w:spacing w:after="0" w:before="708" w:line="240" w:lineRule="auto"/>
      <w:jc w:val="cente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ercu" w:cs="Apercu" w:eastAsia="Apercu" w:hAnsi="Apercu"/>
        <w:b w:val="0"/>
        <w:i w:val="0"/>
        <w:smallCaps w:val="0"/>
        <w:strike w:val="0"/>
        <w:color w:val="000000"/>
        <w:sz w:val="24"/>
        <w:szCs w:val="24"/>
        <w:u w:val="none"/>
        <w:shd w:fill="auto" w:val="clear"/>
        <w:vertAlign w:val="baseline"/>
      </w:rPr>
    </w:pPr>
    <w:r w:rsidDel="00000000" w:rsidR="00000000" w:rsidRPr="00000000">
      <w:rPr>
        <w:rFonts w:ascii="Apercu" w:cs="Apercu" w:eastAsia="Apercu" w:hAnsi="Apercu"/>
        <w:b w:val="0"/>
        <w:i w:val="0"/>
        <w:smallCaps w:val="0"/>
        <w:strike w:val="0"/>
        <w:color w:val="000000"/>
        <w:sz w:val="24"/>
        <w:szCs w:val="24"/>
        <w:u w:val="none"/>
        <w:shd w:fill="auto" w:val="clear"/>
        <w:vertAlign w:val="baseline"/>
      </w:rPr>
      <mc:AlternateContent>
        <mc:Choice Requires="wpg">
          <w:drawing>
            <wp:anchor allowOverlap="1" behindDoc="0" distB="0" distT="0" distL="0" distR="0" hidden="0" layoutInCell="1" locked="0" relativeHeight="0" simplePos="0">
              <wp:simplePos x="0" y="0"/>
              <wp:positionH relativeFrom="page">
                <wp:align>left</wp:align>
              </wp:positionH>
              <wp:positionV relativeFrom="page">
                <wp:align>top</wp:align>
              </wp:positionV>
              <wp:extent cx="462915" cy="462915"/>
              <wp:effectExtent b="0" l="0" r="0" t="0"/>
              <wp:wrapNone/>
              <wp:docPr descr="FCA Public" id="24" name=""/>
              <a:graphic>
                <a:graphicData uri="http://schemas.microsoft.com/office/word/2010/wordprocessingShape">
                  <wps:wsp>
                    <wps:cNvSpPr/>
                    <wps:cNvPr id="3" name="Shape 3"/>
                    <wps:spPr>
                      <a:xfrm>
                        <a:off x="5124068" y="3558068"/>
                        <a:ext cx="443865" cy="443865"/>
                      </a:xfrm>
                      <a:prstGeom prst="rect">
                        <a:avLst/>
                      </a:prstGeom>
                      <a:noFill/>
                      <a:ln>
                        <a:noFill/>
                      </a:ln>
                    </wps:spPr>
                    <wps:txbx>
                      <w:txbxContent>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FCA Public</w:t>
                          </w:r>
                        </w:p>
                      </w:txbxContent>
                    </wps:txbx>
                    <wps:bodyPr anchorCtr="0" anchor="t" bIns="0" lIns="254000" spcFirstLastPara="1" rIns="0" wrap="square" tIns="190500">
                      <a:noAutofit/>
                    </wps:bodyPr>
                  </wps:wsp>
                </a:graphicData>
              </a:graphic>
            </wp:anchor>
          </w:drawing>
        </mc:Choice>
        <mc:Fallback>
          <w:drawing>
            <wp:anchor allowOverlap="1" behindDoc="0" distB="0" distT="0" distL="0" distR="0" hidden="0" layoutInCell="1" locked="0" relativeHeight="0" simplePos="0">
              <wp:simplePos x="0" y="0"/>
              <wp:positionH relativeFrom="page">
                <wp:align>left</wp:align>
              </wp:positionH>
              <wp:positionV relativeFrom="page">
                <wp:align>top</wp:align>
              </wp:positionV>
              <wp:extent cx="462915" cy="462915"/>
              <wp:effectExtent b="0" l="0" r="0" t="0"/>
              <wp:wrapNone/>
              <wp:docPr descr="FCA Public" id="24" name="image2.png"/>
              <a:graphic>
                <a:graphicData uri="http://schemas.openxmlformats.org/drawingml/2006/picture">
                  <pic:pic>
                    <pic:nvPicPr>
                      <pic:cNvPr descr="FCA Public" id="0" name="image2.png"/>
                      <pic:cNvPicPr preferRelativeResize="0"/>
                    </pic:nvPicPr>
                    <pic:blipFill>
                      <a:blip r:embed="rId1"/>
                      <a:srcRect/>
                      <a:stretch>
                        <a:fillRect/>
                      </a:stretch>
                    </pic:blipFill>
                    <pic:spPr>
                      <a:xfrm>
                        <a:off x="0" y="0"/>
                        <a:ext cx="462915" cy="462915"/>
                      </a:xfrm>
                      <a:prstGeom prst="rect"/>
                      <a:ln/>
                    </pic:spPr>
                  </pic:pic>
                </a:graphicData>
              </a:graphic>
            </wp:anchor>
          </w:drawing>
        </mc:Fallback>
      </mc:AlternateConten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ercu" w:cs="Apercu" w:eastAsia="Apercu" w:hAnsi="Apercu"/>
        <w:b w:val="0"/>
        <w:i w:val="0"/>
        <w:smallCaps w:val="0"/>
        <w:strike w:val="0"/>
        <w:color w:val="000000"/>
        <w:sz w:val="24"/>
        <w:szCs w:val="24"/>
        <w:u w:val="none"/>
        <w:shd w:fill="auto" w:val="clear"/>
        <w:vertAlign w:val="baseline"/>
      </w:rPr>
    </w:pPr>
    <w:r w:rsidDel="00000000" w:rsidR="00000000" w:rsidRPr="00000000">
      <w:rPr>
        <w:rFonts w:ascii="Apercu" w:cs="Apercu" w:eastAsia="Apercu" w:hAnsi="Apercu"/>
        <w:b w:val="0"/>
        <w:i w:val="0"/>
        <w:smallCaps w:val="0"/>
        <w:strike w:val="0"/>
        <w:color w:val="000000"/>
        <w:sz w:val="24"/>
        <w:szCs w:val="24"/>
        <w:u w:val="none"/>
        <w:shd w:fill="auto" w:val="clear"/>
        <w:vertAlign w:val="baseline"/>
      </w:rPr>
      <mc:AlternateContent>
        <mc:Choice Requires="wpg">
          <w:drawing>
            <wp:anchor allowOverlap="1" behindDoc="0" distB="0" distT="0" distL="0" distR="0" hidden="0" layoutInCell="1" locked="0" relativeHeight="0" simplePos="0">
              <wp:simplePos x="0" y="0"/>
              <wp:positionH relativeFrom="page">
                <wp:align>left</wp:align>
              </wp:positionH>
              <wp:positionV relativeFrom="page">
                <wp:align>top</wp:align>
              </wp:positionV>
              <wp:extent cx="462915" cy="462915"/>
              <wp:effectExtent b="0" l="0" r="0" t="0"/>
              <wp:wrapNone/>
              <wp:docPr descr="FCA Public" id="23" name=""/>
              <a:graphic>
                <a:graphicData uri="http://schemas.microsoft.com/office/word/2010/wordprocessingShape">
                  <wps:wsp>
                    <wps:cNvSpPr/>
                    <wps:cNvPr id="2" name="Shape 2"/>
                    <wps:spPr>
                      <a:xfrm>
                        <a:off x="5124068" y="3558068"/>
                        <a:ext cx="443865" cy="443865"/>
                      </a:xfrm>
                      <a:prstGeom prst="rect">
                        <a:avLst/>
                      </a:prstGeom>
                      <a:noFill/>
                      <a:ln>
                        <a:noFill/>
                      </a:ln>
                    </wps:spPr>
                    <wps:txbx>
                      <w:txbxContent>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FCA Public</w:t>
                          </w:r>
                        </w:p>
                      </w:txbxContent>
                    </wps:txbx>
                    <wps:bodyPr anchorCtr="0" anchor="t" bIns="0" lIns="254000" spcFirstLastPara="1" rIns="0" wrap="square" tIns="190500">
                      <a:noAutofit/>
                    </wps:bodyPr>
                  </wps:wsp>
                </a:graphicData>
              </a:graphic>
            </wp:anchor>
          </w:drawing>
        </mc:Choice>
        <mc:Fallback>
          <w:drawing>
            <wp:anchor allowOverlap="1" behindDoc="0" distB="0" distT="0" distL="0" distR="0" hidden="0" layoutInCell="1" locked="0" relativeHeight="0" simplePos="0">
              <wp:simplePos x="0" y="0"/>
              <wp:positionH relativeFrom="page">
                <wp:align>left</wp:align>
              </wp:positionH>
              <wp:positionV relativeFrom="page">
                <wp:align>top</wp:align>
              </wp:positionV>
              <wp:extent cx="462915" cy="462915"/>
              <wp:effectExtent b="0" l="0" r="0" t="0"/>
              <wp:wrapNone/>
              <wp:docPr descr="FCA Public" id="23" name="image1.png"/>
              <a:graphic>
                <a:graphicData uri="http://schemas.openxmlformats.org/drawingml/2006/picture">
                  <pic:pic>
                    <pic:nvPicPr>
                      <pic:cNvPr descr="FCA Public" id="0" name="image1.png"/>
                      <pic:cNvPicPr preferRelativeResize="0"/>
                    </pic:nvPicPr>
                    <pic:blipFill>
                      <a:blip r:embed="rId1"/>
                      <a:srcRect/>
                      <a:stretch>
                        <a:fillRect/>
                      </a:stretch>
                    </pic:blipFill>
                    <pic:spPr>
                      <a:xfrm>
                        <a:off x="0" y="0"/>
                        <a:ext cx="462915" cy="462915"/>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ercu" w:cs="Apercu" w:eastAsia="Apercu" w:hAnsi="Apercu"/>
        <w:sz w:val="24"/>
        <w:szCs w:val="24"/>
        <w:lang w:val="en"/>
      </w:rPr>
    </w:rPrDefault>
    <w:pPrDefault>
      <w:pPr>
        <w:spacing w:after="240" w:line="288"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60" w:before="480" w:lineRule="auto"/>
    </w:pPr>
    <w:rPr>
      <w:b w:val="1"/>
      <w:color w:val="00aeef"/>
      <w:sz w:val="28"/>
      <w:szCs w:val="28"/>
    </w:rPr>
  </w:style>
  <w:style w:type="paragraph" w:styleId="Heading2">
    <w:name w:val="heading 2"/>
    <w:basedOn w:val="Normal"/>
    <w:next w:val="Normal"/>
    <w:pPr>
      <w:keepNext w:val="1"/>
      <w:keepLines w:val="1"/>
      <w:spacing w:after="60" w:before="480" w:lineRule="auto"/>
    </w:pPr>
    <w:rPr>
      <w:b w:val="1"/>
      <w:color w:val="00aeef"/>
    </w:rPr>
  </w:style>
  <w:style w:type="paragraph" w:styleId="Heading3">
    <w:name w:val="heading 3"/>
    <w:basedOn w:val="Normal"/>
    <w:next w:val="Normal"/>
    <w:pPr>
      <w:keepNext w:val="1"/>
      <w:keepLines w:val="1"/>
      <w:spacing w:after="60" w:before="480" w:lineRule="auto"/>
    </w:pPr>
    <w:rPr>
      <w:color w:val="00aeef"/>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360" w:line="240" w:lineRule="auto"/>
    </w:pPr>
    <w:rPr>
      <w:b w:val="1"/>
      <w:color w:val="00aeef"/>
      <w:sz w:val="32"/>
      <w:szCs w:val="32"/>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pPr>
      <w:spacing w:after="0" w:line="240" w:lineRule="auto"/>
    </w:pPr>
    <w:tblPr>
      <w:tblStyleRowBandSize w:val="1"/>
      <w:tblStyleColBandSize w:val="1"/>
      <w:tblCellMar>
        <w:left w:w="115.0" w:type="dxa"/>
        <w:right w:w="115.0" w:type="dxa"/>
      </w:tblCellMar>
    </w:tblPr>
    <w:tblStylePr w:type="firstRow">
      <w:pPr>
        <w:spacing w:after="0" w:before="0" w:line="240" w:lineRule="auto"/>
      </w:pPr>
      <w:rPr>
        <w:b w:val="1"/>
      </w:rPr>
      <w:tblPr/>
      <w:tcPr>
        <w:shd w:color="auto" w:fill="00aeef" w:val="clear"/>
        <w:tcMar>
          <w:top w:w="0.0" w:type="dxa"/>
          <w:left w:w="115.0" w:type="dxa"/>
          <w:bottom w:w="0.0" w:type="dxa"/>
          <w:right w:w="115.0" w:type="dxa"/>
        </w:tcMar>
      </w:tcPr>
    </w:tblStylePr>
    <w:tblStylePr w:type="lastRow">
      <w:pPr>
        <w:spacing w:after="0" w:before="0" w:line="240" w:lineRule="auto"/>
      </w:pPr>
      <w:rPr>
        <w:b w:val="1"/>
      </w:rPr>
      <w:tblPr/>
      <w:tcPr>
        <w:tcBorders>
          <w:top w:color="00aeef" w:space="0" w:sz="6" w:val="single"/>
          <w:left w:color="00aeef" w:space="0" w:sz="8" w:val="single"/>
          <w:bottom w:color="00aeef" w:space="0" w:sz="8" w:val="single"/>
          <w:right w:color="00aeef" w:space="0" w:sz="8" w:val="single"/>
        </w:tcBorders>
        <w:tcMar>
          <w:top w:w="0.0" w:type="dxa"/>
          <w:left w:w="115.0" w:type="dxa"/>
          <w:bottom w:w="0.0" w:type="dxa"/>
          <w:right w:w="115.0" w:type="dxa"/>
        </w:tcMar>
      </w:tcPr>
    </w:tblStylePr>
    <w:tblStylePr w:type="firstCol">
      <w:rPr>
        <w:b w:val="1"/>
      </w:rPr>
      <w:tblPr/>
      <w:tcPr>
        <w:tcMar>
          <w:top w:w="0.0" w:type="dxa"/>
          <w:left w:w="115.0" w:type="dxa"/>
          <w:bottom w:w="0.0" w:type="dxa"/>
          <w:right w:w="115.0" w:type="dxa"/>
        </w:tcMar>
      </w:tcPr>
    </w:tblStylePr>
    <w:tblStylePr w:type="lastCol">
      <w:rPr>
        <w:b w:val="1"/>
      </w:rPr>
      <w:tblPr/>
      <w:tcPr>
        <w:tcMar>
          <w:top w:w="0.0" w:type="dxa"/>
          <w:left w:w="115.0" w:type="dxa"/>
          <w:bottom w:w="0.0" w:type="dxa"/>
          <w:right w:w="115.0" w:type="dxa"/>
        </w:tcMar>
      </w:tcPr>
    </w:tblStylePr>
    <w:tblStylePr w:type="band1Vert">
      <w:tblPr/>
      <w:tcPr>
        <w:tcBorders>
          <w:top w:color="00aeef" w:space="0" w:sz="8" w:val="single"/>
          <w:left w:color="00aeef" w:space="0" w:sz="8" w:val="single"/>
          <w:bottom w:color="00aeef" w:space="0" w:sz="8" w:val="single"/>
          <w:right w:color="00aeef" w:space="0" w:sz="8" w:val="single"/>
        </w:tcBorders>
        <w:tcMar>
          <w:top w:w="0.0" w:type="dxa"/>
          <w:left w:w="115.0" w:type="dxa"/>
          <w:bottom w:w="0.0" w:type="dxa"/>
          <w:right w:w="115.0" w:type="dxa"/>
        </w:tcMar>
      </w:tcPr>
    </w:tblStylePr>
    <w:tblStylePr w:type="band1Horz">
      <w:tblPr/>
      <w:tcPr>
        <w:tcBorders>
          <w:top w:color="00aeef" w:space="0" w:sz="8" w:val="single"/>
          <w:left w:color="00aeef" w:space="0" w:sz="8" w:val="single"/>
          <w:bottom w:color="00aeef" w:space="0" w:sz="8" w:val="single"/>
          <w:right w:color="00aeef" w:space="0" w:sz="8" w:val="single"/>
        </w:tcBorders>
        <w:tcMar>
          <w:top w:w="0.0" w:type="dxa"/>
          <w:left w:w="115.0" w:type="dxa"/>
          <w:bottom w:w="0.0" w:type="dxa"/>
          <w:right w:w="115.0" w:type="dxa"/>
        </w:tcMar>
      </w:tcPr>
    </w:tblStylePr>
  </w:style>
  <w:style w:type="table" w:styleId="a0" w:customStyle="1">
    <w:basedOn w:val="TableNormal"/>
    <w:pPr>
      <w:spacing w:after="0" w:line="240" w:lineRule="auto"/>
    </w:pPr>
    <w:tblPr>
      <w:tblStyleRowBandSize w:val="1"/>
      <w:tblStyleColBandSize w:val="1"/>
      <w:tblCellMar>
        <w:left w:w="115.0" w:type="dxa"/>
        <w:right w:w="115.0" w:type="dxa"/>
      </w:tblCellMar>
    </w:tblPr>
    <w:tblStylePr w:type="firstRow">
      <w:pPr>
        <w:spacing w:after="0" w:before="0" w:line="240" w:lineRule="auto"/>
      </w:pPr>
      <w:rPr>
        <w:b w:val="1"/>
      </w:rPr>
      <w:tblPr/>
      <w:tcPr>
        <w:shd w:color="auto" w:fill="00aeef" w:val="clear"/>
        <w:tcMar>
          <w:top w:w="0.0" w:type="dxa"/>
          <w:left w:w="115.0" w:type="dxa"/>
          <w:bottom w:w="0.0" w:type="dxa"/>
          <w:right w:w="115.0" w:type="dxa"/>
        </w:tcMar>
      </w:tcPr>
    </w:tblStylePr>
    <w:tblStylePr w:type="lastRow">
      <w:pPr>
        <w:spacing w:after="0" w:before="0" w:line="240" w:lineRule="auto"/>
      </w:pPr>
      <w:rPr>
        <w:b w:val="1"/>
      </w:rPr>
      <w:tblPr/>
      <w:tcPr>
        <w:tcBorders>
          <w:top w:color="00aeef" w:space="0" w:sz="6" w:val="single"/>
          <w:left w:color="00aeef" w:space="0" w:sz="8" w:val="single"/>
          <w:bottom w:color="00aeef" w:space="0" w:sz="8" w:val="single"/>
          <w:right w:color="00aeef" w:space="0" w:sz="8" w:val="single"/>
        </w:tcBorders>
        <w:tcMar>
          <w:top w:w="0.0" w:type="dxa"/>
          <w:left w:w="115.0" w:type="dxa"/>
          <w:bottom w:w="0.0" w:type="dxa"/>
          <w:right w:w="115.0" w:type="dxa"/>
        </w:tcMar>
      </w:tcPr>
    </w:tblStylePr>
    <w:tblStylePr w:type="firstCol">
      <w:rPr>
        <w:b w:val="1"/>
      </w:rPr>
      <w:tblPr/>
      <w:tcPr>
        <w:tcMar>
          <w:top w:w="0.0" w:type="dxa"/>
          <w:left w:w="115.0" w:type="dxa"/>
          <w:bottom w:w="0.0" w:type="dxa"/>
          <w:right w:w="115.0" w:type="dxa"/>
        </w:tcMar>
      </w:tcPr>
    </w:tblStylePr>
    <w:tblStylePr w:type="lastCol">
      <w:rPr>
        <w:b w:val="1"/>
      </w:rPr>
      <w:tblPr/>
      <w:tcPr>
        <w:tcMar>
          <w:top w:w="0.0" w:type="dxa"/>
          <w:left w:w="115.0" w:type="dxa"/>
          <w:bottom w:w="0.0" w:type="dxa"/>
          <w:right w:w="115.0" w:type="dxa"/>
        </w:tcMar>
      </w:tcPr>
    </w:tblStylePr>
    <w:tblStylePr w:type="band1Vert">
      <w:tblPr/>
      <w:tcPr>
        <w:tcBorders>
          <w:top w:color="00aeef" w:space="0" w:sz="8" w:val="single"/>
          <w:left w:color="00aeef" w:space="0" w:sz="8" w:val="single"/>
          <w:bottom w:color="00aeef" w:space="0" w:sz="8" w:val="single"/>
          <w:right w:color="00aeef" w:space="0" w:sz="8" w:val="single"/>
        </w:tcBorders>
        <w:tcMar>
          <w:top w:w="0.0" w:type="dxa"/>
          <w:left w:w="115.0" w:type="dxa"/>
          <w:bottom w:w="0.0" w:type="dxa"/>
          <w:right w:w="115.0" w:type="dxa"/>
        </w:tcMar>
      </w:tcPr>
    </w:tblStylePr>
    <w:tblStylePr w:type="band1Horz">
      <w:tblPr/>
      <w:tcPr>
        <w:tcBorders>
          <w:top w:color="00aeef" w:space="0" w:sz="8" w:val="single"/>
          <w:left w:color="00aeef" w:space="0" w:sz="8" w:val="single"/>
          <w:bottom w:color="00aeef" w:space="0" w:sz="8" w:val="single"/>
          <w:right w:color="00aeef" w:space="0" w:sz="8" w:val="single"/>
        </w:tcBorders>
        <w:tcMar>
          <w:top w:w="0.0" w:type="dxa"/>
          <w:left w:w="115.0" w:type="dxa"/>
          <w:bottom w:w="0.0" w:type="dxa"/>
          <w:right w:w="115.0" w:type="dxa"/>
        </w:tcMar>
      </w:tcPr>
    </w:tblStyle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pPr>
      <w:spacing w:after="0" w:line="240" w:lineRule="auto"/>
    </w:pPr>
    <w:tblPr>
      <w:tblStyleRowBandSize w:val="1"/>
      <w:tblStyleColBandSize w:val="1"/>
      <w:tblCellMar>
        <w:left w:w="115.0" w:type="dxa"/>
        <w:right w:w="115.0" w:type="dxa"/>
      </w:tblCellMar>
    </w:tblPr>
  </w:style>
  <w:style w:type="table" w:styleId="a4" w:customStyle="1">
    <w:basedOn w:val="TableNormal"/>
    <w:pPr>
      <w:spacing w:after="0" w:line="240" w:lineRule="auto"/>
    </w:pPr>
    <w:tblPr>
      <w:tblStyleRowBandSize w:val="1"/>
      <w:tblStyleColBandSize w:val="1"/>
      <w:tblCellMar>
        <w:left w:w="115.0" w:type="dxa"/>
        <w:right w:w="115.0" w:type="dxa"/>
      </w:tblCellMar>
    </w:tblPr>
  </w:style>
  <w:style w:type="table" w:styleId="a5" w:customStyle="1">
    <w:basedOn w:val="TableNormal"/>
    <w:pPr>
      <w:spacing w:after="0" w:line="240" w:lineRule="auto"/>
    </w:pPr>
    <w:tblPr>
      <w:tblStyleRowBandSize w:val="1"/>
      <w:tblStyleColBandSize w:val="1"/>
      <w:tblCellMar>
        <w:left w:w="115.0" w:type="dxa"/>
        <w:right w:w="115.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Header">
    <w:name w:val="header"/>
    <w:basedOn w:val="Normal"/>
    <w:link w:val="HeaderChar"/>
    <w:uiPriority w:val="99"/>
    <w:unhideWhenUsed w:val="1"/>
    <w:rsid w:val="00113AC3"/>
    <w:pPr>
      <w:tabs>
        <w:tab w:val="center" w:pos="4513"/>
        <w:tab w:val="right" w:pos="9026"/>
      </w:tabs>
      <w:spacing w:after="0" w:line="240" w:lineRule="auto"/>
    </w:pPr>
  </w:style>
  <w:style w:type="character" w:styleId="HeaderChar" w:customStyle="1">
    <w:name w:val="Header Char"/>
    <w:basedOn w:val="DefaultParagraphFont"/>
    <w:link w:val="Header"/>
    <w:uiPriority w:val="99"/>
    <w:rsid w:val="00113AC3"/>
  </w:style>
  <w:style w:type="character" w:styleId="PlaceholderText">
    <w:name w:val="Placeholder Text"/>
    <w:basedOn w:val="DefaultParagraphFont"/>
    <w:uiPriority w:val="99"/>
    <w:semiHidden w:val="1"/>
    <w:rsid w:val="006C4300"/>
    <w:rPr>
      <w:color w:val="808080"/>
    </w:rPr>
  </w:style>
  <w:style w:type="paragraph" w:styleId="ListParagraph">
    <w:name w:val="List Paragraph"/>
    <w:basedOn w:val="Normal"/>
    <w:uiPriority w:val="34"/>
    <w:qFormat w:val="1"/>
    <w:rsid w:val="006C3EC0"/>
    <w:pPr>
      <w:ind w:left="720"/>
      <w:contextualSpacing w:val="1"/>
    </w:pPr>
  </w:style>
  <w:style w:type="paragraph" w:styleId="Footer">
    <w:name w:val="footer"/>
    <w:basedOn w:val="Normal"/>
    <w:link w:val="FooterChar"/>
    <w:uiPriority w:val="99"/>
    <w:unhideWhenUsed w:val="1"/>
    <w:rsid w:val="002925F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25FA"/>
  </w:style>
  <w:style w:type="character" w:styleId="Hyperlink">
    <w:name w:val="Hyperlink"/>
    <w:basedOn w:val="DefaultParagraphFont"/>
    <w:uiPriority w:val="99"/>
    <w:unhideWhenUsed w:val="1"/>
    <w:rsid w:val="008A63BE"/>
    <w:rPr>
      <w:color w:val="0000ff" w:themeColor="hyperlink"/>
      <w:u w:val="single"/>
    </w:rPr>
  </w:style>
  <w:style w:type="character" w:styleId="UnresolvedMention">
    <w:name w:val="Unresolved Mention"/>
    <w:basedOn w:val="DefaultParagraphFont"/>
    <w:uiPriority w:val="99"/>
    <w:semiHidden w:val="1"/>
    <w:unhideWhenUsed w:val="1"/>
    <w:rsid w:val="008A63BE"/>
    <w:rPr>
      <w:color w:val="605e5c"/>
      <w:shd w:color="auto" w:fill="e1dfdd" w:val="clear"/>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tcPr>
      <w:shd w:fill="ffffff" w:val="clear"/>
    </w:tcPr>
  </w:style>
  <w:style w:type="paragraph" w:styleId="Subtitle">
    <w:name w:val="Subtitle"/>
    <w:basedOn w:val="Normal"/>
    <w:next w:val="Normal"/>
    <w:pPr>
      <w:keepNext w:val="1"/>
      <w:keepLines w:val="1"/>
    </w:pPr>
    <w:rPr>
      <w:b w:val="1"/>
      <w:i w:val="1"/>
      <w:color w:val="999a9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2196/26611" TargetMode="External"/><Relationship Id="rId42" Type="http://schemas.openxmlformats.org/officeDocument/2006/relationships/hyperlink" Target="https://osf.io/preprints/socarxiv/9yuhp" TargetMode="External"/><Relationship Id="rId41" Type="http://schemas.openxmlformats.org/officeDocument/2006/relationships/hyperlink" Target="https://researcher-help.prolific.com/en/article/e6555f" TargetMode="External"/><Relationship Id="rId44" Type="http://schemas.openxmlformats.org/officeDocument/2006/relationships/hyperlink" Target="https://doi.org/10.1145/3292500.3330664" TargetMode="External"/><Relationship Id="rId43" Type="http://schemas.openxmlformats.org/officeDocument/2006/relationships/hyperlink" Target="https://papers.ssrn.com/sol3/papers.cfm?abstract_id=2576993" TargetMode="External"/><Relationship Id="rId46" Type="http://schemas.openxmlformats.org/officeDocument/2006/relationships/hyperlink" Target="https://www.elementsofai.com/" TargetMode="External"/><Relationship Id="rId45" Type="http://schemas.openxmlformats.org/officeDocument/2006/relationships/hyperlink" Target="https://doi.org/10.1093/pan/mpv01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11/ajps.12714" TargetMode="External"/><Relationship Id="rId48" Type="http://schemas.openxmlformats.org/officeDocument/2006/relationships/hyperlink" Target="https://doi.org/10.1016/j.clsr.2021.105567" TargetMode="External"/><Relationship Id="rId47" Type="http://schemas.openxmlformats.org/officeDocument/2006/relationships/hyperlink" Target="https://doi.org/10.1093/jamia/ocab127" TargetMode="External"/><Relationship Id="rId49" Type="http://schemas.openxmlformats.org/officeDocument/2006/relationships/hyperlink" Target="https://doi.org/10.1177/0306624X211066826"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ukdataservice.ac.uk/" TargetMode="External"/><Relationship Id="rId8" Type="http://schemas.openxmlformats.org/officeDocument/2006/relationships/hyperlink" Target="https://cran.r-project.org/web/packages/logitr/vignettes/mxl_models.html" TargetMode="External"/><Relationship Id="rId31" Type="http://schemas.openxmlformats.org/officeDocument/2006/relationships/hyperlink" Target="https://apolitical.co/solution-articles/en/london-uses-data-predict-which-children-abuse" TargetMode="External"/><Relationship Id="rId30" Type="http://schemas.openxmlformats.org/officeDocument/2006/relationships/hyperlink" Target="https://www.jstor.org/stable/25791636" TargetMode="External"/><Relationship Id="rId33" Type="http://schemas.openxmlformats.org/officeDocument/2006/relationships/hyperlink" Target="https://doi.org/10.18637/jss.v105.i10" TargetMode="External"/><Relationship Id="rId32" Type="http://schemas.openxmlformats.org/officeDocument/2006/relationships/hyperlink" Target="https://doi.org/10.1093/pan/mpt024" TargetMode="External"/><Relationship Id="rId35" Type="http://schemas.openxmlformats.org/officeDocument/2006/relationships/hyperlink" Target="https://doi.org/10.1007/s10115-012-0584-8" TargetMode="External"/><Relationship Id="rId34" Type="http://schemas.openxmlformats.org/officeDocument/2006/relationships/hyperlink" Target="https://doi.org/10.1016/j.giq.2023.101876" TargetMode="External"/><Relationship Id="rId37" Type="http://schemas.openxmlformats.org/officeDocument/2006/relationships/hyperlink" Target="https://christophm.github.io/interpretable-ml-book/" TargetMode="External"/><Relationship Id="rId36" Type="http://schemas.openxmlformats.org/officeDocument/2006/relationships/hyperlink" Target="https://assets.publishing.service.gov.uk/media/5a8157e5ed915d74e6231bd2/Consistent_identifier__report_July_2016.pdf" TargetMode="External"/><Relationship Id="rId39" Type="http://schemas.openxmlformats.org/officeDocument/2006/relationships/hyperlink" Target="https://www.ons.gov.uk/peoplepopulationandcommunity/culturalidentity/ethnicity/articles/developingadminbasedethnicitystatisticsforengland/2016" TargetMode="External"/><Relationship Id="rId38" Type="http://schemas.openxmlformats.org/officeDocument/2006/relationships/hyperlink" Target="https://doi.org/10.1007/s10640-004-3332-z" TargetMode="External"/><Relationship Id="rId20" Type="http://schemas.openxmlformats.org/officeDocument/2006/relationships/hyperlink" Target="https://doi.org/10.1017/pan.2020.40" TargetMode="External"/><Relationship Id="rId22" Type="http://schemas.openxmlformats.org/officeDocument/2006/relationships/hyperlink" Target="https://doi.org/10.1007/s11135-020-01088-1" TargetMode="External"/><Relationship Id="rId21" Type="http://schemas.openxmlformats.org/officeDocument/2006/relationships/hyperlink" Target="https://doi.org/10.1371/journal.pone.0279720" TargetMode="External"/><Relationship Id="rId24" Type="http://schemas.openxmlformats.org/officeDocument/2006/relationships/hyperlink" Target="https://doi.org/10.1093/qje/qjy013" TargetMode="External"/><Relationship Id="rId23" Type="http://schemas.openxmlformats.org/officeDocument/2006/relationships/hyperlink" Target="https://www.europeansocialsurvey.org/methodology/ess-methodology/source-questionnaire" TargetMode="External"/><Relationship Id="rId26" Type="http://schemas.openxmlformats.org/officeDocument/2006/relationships/hyperlink" Target="https://doi.org/10.1145/3593013.3594081" TargetMode="External"/><Relationship Id="rId25" Type="http://schemas.openxmlformats.org/officeDocument/2006/relationships/hyperlink" Target="https://m-freitag.github.io/cjpowR_shiny/" TargetMode="External"/><Relationship Id="rId28" Type="http://schemas.openxmlformats.org/officeDocument/2006/relationships/hyperlink" Target="https://sites.stat.columbia.edu/gelman/research/published/multiple2f.pdf" TargetMode="External"/><Relationship Id="rId27" Type="http://schemas.openxmlformats.org/officeDocument/2006/relationships/hyperlink" Target="https://doi.org/10.1177/0146167217729162" TargetMode="External"/><Relationship Id="rId29" Type="http://schemas.openxmlformats.org/officeDocument/2006/relationships/hyperlink" Target="https://doi.org/10.1086/704362" TargetMode="External"/><Relationship Id="rId51" Type="http://schemas.openxmlformats.org/officeDocument/2006/relationships/hyperlink" Target="https://doi.org/10.1017/pan.2021.4" TargetMode="External"/><Relationship Id="rId50" Type="http://schemas.openxmlformats.org/officeDocument/2006/relationships/hyperlink" Target="https://doi.org/10.1016/j.ijlcj.2016.10.001" TargetMode="External"/><Relationship Id="rId53" Type="http://schemas.openxmlformats.org/officeDocument/2006/relationships/header" Target="header2.xml"/><Relationship Id="rId52" Type="http://schemas.openxmlformats.org/officeDocument/2006/relationships/header" Target="header1.xml"/><Relationship Id="rId11" Type="http://schemas.openxmlformats.org/officeDocument/2006/relationships/hyperlink" Target="https://www.alleghenycountyanalytics.us/wp-content/uploads/2019/05/Methodology-V2-from-16-ACDHS-26_PredictiveRisk_Package_050119_FINAL-7.pdf" TargetMode="External"/><Relationship Id="rId55" Type="http://schemas.openxmlformats.org/officeDocument/2006/relationships/footer" Target="footer1.xml"/><Relationship Id="rId10" Type="http://schemas.openxmlformats.org/officeDocument/2006/relationships/hyperlink" Target="https://www.turing.ac.uk/news/publications/how-do-people-feel-about-ai" TargetMode="External"/><Relationship Id="rId54" Type="http://schemas.openxmlformats.org/officeDocument/2006/relationships/header" Target="header3.xml"/><Relationship Id="rId13" Type="http://schemas.openxmlformats.org/officeDocument/2006/relationships/hyperlink" Target="https://doi.org/10.1016/j.euroecorev.2020.103493" TargetMode="External"/><Relationship Id="rId12" Type="http://schemas.openxmlformats.org/officeDocument/2006/relationships/hyperlink" Target="https://cran.r-project.org/web/packages/cjoint/cjoint.pdf" TargetMode="External"/><Relationship Id="rId15" Type="http://schemas.openxmlformats.org/officeDocument/2006/relationships/hyperlink" Target="https://www.bristol.gov.uk/residents/social-care-and-health/children-and-families/insight-bristol" TargetMode="External"/><Relationship Id="rId14" Type="http://schemas.openxmlformats.org/officeDocument/2006/relationships/hyperlink" Target="https://doi.org/10.1111/ajps.12081" TargetMode="External"/><Relationship Id="rId17" Type="http://schemas.openxmlformats.org/officeDocument/2006/relationships/hyperlink" Target="https://doi.org/10.1111/1758-5899.12984" TargetMode="External"/><Relationship Id="rId16" Type="http://schemas.openxmlformats.org/officeDocument/2006/relationships/hyperlink" Target="https://doi.org/10.7326/0003-4819-158-3-201302050-00583" TargetMode="External"/><Relationship Id="rId19" Type="http://schemas.openxmlformats.org/officeDocument/2006/relationships/hyperlink" Target="https://whatworks-csc.org.uk/wp-content/uploads/WWCSC_technical-_report_machine_learning_in_childrens_services_does_it_work_Sep_2020.pdf" TargetMode="External"/><Relationship Id="rId18" Type="http://schemas.openxmlformats.org/officeDocument/2006/relationships/hyperlink" Target="https://gking.harvard.edu/sites/scholar.harvard.edu/files/gking/files/conerr.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6r2m1LGYtJOQcxbmKcP9qgc0Gg==">CgMxLjAaHwoBMBIaChgICVIUChJ0YWJsZS5lOXl6d3Ztbnk4MXMyDmguYmVkazB1d2Vja2hxMg5oLjI5bGNrcWZzcHhldTIOaC40eXVjbTg4eXF6azkyDmguM204Mmtlcmw0YWd4Mg5oLmFib2kwZzZkN2FyZzIOaC5ibDQwM2cxemNmcHMyDmguN2RnYnVlb3cwc2U2Mg5oLjY0cXlvNXUwOGVlMzgAciExdTBqMngxTzRZWEl3WWhvVllsRHBqWUZXbE5jaXpkSWw=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2025-01-07T17:04:00Z</dcterms:created>
  <dc:creator>Dan Gibbons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FCA Public</vt:lpwstr>
  </property>
  <property fmtid="{D5CDD505-2E9C-101B-9397-08002B2CF9AE}" pid="5" name="MSIP_Label_ceacc62a-ff53-4fb3-9cdc-bb655f5bd38e_Enabled">
    <vt:lpwstr>true</vt:lpwstr>
  </property>
  <property fmtid="{D5CDD505-2E9C-101B-9397-08002B2CF9AE}" pid="6" name="MSIP_Label_ceacc62a-ff53-4fb3-9cdc-bb655f5bd38e_SetDate">
    <vt:lpwstr>2025-01-07T17:04:33Z</vt:lpwstr>
  </property>
  <property fmtid="{D5CDD505-2E9C-101B-9397-08002B2CF9AE}" pid="7" name="MSIP_Label_ceacc62a-ff53-4fb3-9cdc-bb655f5bd38e_Method">
    <vt:lpwstr>Privileged</vt:lpwstr>
  </property>
  <property fmtid="{D5CDD505-2E9C-101B-9397-08002B2CF9AE}" pid="8" name="MSIP_Label_ceacc62a-ff53-4fb3-9cdc-bb655f5bd38e_Name">
    <vt:lpwstr>FCA Public</vt:lpwstr>
  </property>
  <property fmtid="{D5CDD505-2E9C-101B-9397-08002B2CF9AE}" pid="9" name="MSIP_Label_ceacc62a-ff53-4fb3-9cdc-bb655f5bd38e_SiteId">
    <vt:lpwstr>551f9db3-821c-4457-8551-b43423dce661</vt:lpwstr>
  </property>
  <property fmtid="{D5CDD505-2E9C-101B-9397-08002B2CF9AE}" pid="10" name="MSIP_Label_ceacc62a-ff53-4fb3-9cdc-bb655f5bd38e_ActionId">
    <vt:lpwstr>05cf9f9c-f3f8-425e-a254-392f60c84902</vt:lpwstr>
  </property>
  <property fmtid="{D5CDD505-2E9C-101B-9397-08002B2CF9AE}" pid="11" name="MSIP_Label_ceacc62a-ff53-4fb3-9cdc-bb655f5bd38e_ContentBits">
    <vt:lpwstr>1</vt:lpwstr>
  </property>
</Properties>
</file>