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968AA" w14:textId="14663C58" w:rsidR="005D30CF" w:rsidRDefault="00B57F39" w:rsidP="008F4423">
      <w:pPr>
        <w:jc w:val="center"/>
      </w:pPr>
      <w:r>
        <w:t>Analysis Plan for FYSP</w:t>
      </w:r>
    </w:p>
    <w:p w14:paraId="5207EB46" w14:textId="77777777" w:rsidR="00B57F39" w:rsidRDefault="00B57F39" w:rsidP="008F4423">
      <w:pPr>
        <w:jc w:val="both"/>
      </w:pPr>
    </w:p>
    <w:p w14:paraId="0E40DC5E" w14:textId="3A0EDAC6" w:rsidR="00B57F39" w:rsidRDefault="00C91895" w:rsidP="008F4423">
      <w:pPr>
        <w:pStyle w:val="ListParagraph"/>
        <w:numPr>
          <w:ilvl w:val="0"/>
          <w:numId w:val="1"/>
        </w:numPr>
        <w:jc w:val="both"/>
      </w:pPr>
      <w:r>
        <w:t>Summary Statistics: Contacted and Final Sample</w:t>
      </w:r>
    </w:p>
    <w:p w14:paraId="73B66D32" w14:textId="77777777" w:rsidR="00B57F39" w:rsidRDefault="00B57F39" w:rsidP="008F4423">
      <w:pPr>
        <w:jc w:val="both"/>
      </w:pPr>
    </w:p>
    <w:p w14:paraId="0EC4C592" w14:textId="47554487" w:rsidR="00B57F39" w:rsidRDefault="00C3188A" w:rsidP="008F4423">
      <w:pPr>
        <w:jc w:val="both"/>
      </w:pPr>
      <w:r>
        <w:t>In this analysis we will</w:t>
      </w:r>
      <w:r w:rsidR="00C91895">
        <w:t xml:space="preserve"> compare the </w:t>
      </w:r>
      <w:r w:rsidR="001A646A">
        <w:t>composition</w:t>
      </w:r>
      <w:r>
        <w:t xml:space="preserve"> </w:t>
      </w:r>
      <w:r w:rsidR="00C91895">
        <w:t>of the total contacted sample with the final sample of those agreeing to be involved in the study</w:t>
      </w:r>
      <w:r w:rsidR="001A646A">
        <w:t xml:space="preserve"> across faculty and equity group</w:t>
      </w:r>
      <w:r w:rsidR="00C91895">
        <w:t>. This will allow us to comment on whether these two different samples are different from each other</w:t>
      </w:r>
      <w:r>
        <w:t xml:space="preserve"> and the implications for the external validity of our results.</w:t>
      </w:r>
      <w:r w:rsidR="00C91895">
        <w:t xml:space="preserve"> We may expect the offer of the bridging courses to be more relevant for certain faculties such as science or engineering and IT. As such, certain equity groups may be more likely to enrolled in these faculties, either by preference or by construction (for example, women in STEM). </w:t>
      </w:r>
    </w:p>
    <w:p w14:paraId="043DF1AA" w14:textId="77777777" w:rsidR="00B57F39" w:rsidRDefault="00B57F39" w:rsidP="008F4423">
      <w:pPr>
        <w:jc w:val="both"/>
      </w:pPr>
    </w:p>
    <w:p w14:paraId="285855D8" w14:textId="260D9C20" w:rsidR="00B57F39" w:rsidRDefault="00B57F39" w:rsidP="008F4423">
      <w:pPr>
        <w:pStyle w:val="ListParagraph"/>
        <w:numPr>
          <w:ilvl w:val="0"/>
          <w:numId w:val="1"/>
        </w:numPr>
        <w:jc w:val="both"/>
      </w:pPr>
      <w:r>
        <w:t>Balance Test: Treated and Control</w:t>
      </w:r>
      <w:r w:rsidR="00C91895">
        <w:t xml:space="preserve"> Groups</w:t>
      </w:r>
    </w:p>
    <w:p w14:paraId="13AC64F1" w14:textId="77777777" w:rsidR="00C91895" w:rsidRDefault="00C91895" w:rsidP="008F4423">
      <w:pPr>
        <w:jc w:val="both"/>
      </w:pPr>
    </w:p>
    <w:p w14:paraId="52A7EE03" w14:textId="10EAD52B" w:rsidR="00C91895" w:rsidRDefault="00C3188A" w:rsidP="008F4423">
      <w:pPr>
        <w:jc w:val="both"/>
      </w:pPr>
      <w:r>
        <w:t xml:space="preserve">We perform this </w:t>
      </w:r>
      <w:r w:rsidR="00C91895">
        <w:t xml:space="preserve">analysis </w:t>
      </w:r>
      <w:r>
        <w:t>to</w:t>
      </w:r>
      <w:r w:rsidR="00C91895">
        <w:t xml:space="preserve"> ensure that our block randomisation has been conducted successfully. Our main goal will be to </w:t>
      </w:r>
      <w:r w:rsidR="00680E28" w:rsidRPr="00C3188A">
        <w:rPr>
          <w:bCs/>
        </w:rPr>
        <w:t>test</w:t>
      </w:r>
      <w:r w:rsidR="00680E28">
        <w:t xml:space="preserve"> </w:t>
      </w:r>
      <w:r w:rsidR="00C91895">
        <w:t xml:space="preserve">that approximately half of our final sample has been allocated to each group and the characteristics of each group is similar. </w:t>
      </w:r>
      <w:r>
        <w:t xml:space="preserve">We will test statistically for differences between the two groups through the conventional t-test. </w:t>
      </w:r>
      <w:r w:rsidR="00C91895">
        <w:t xml:space="preserve">Our blocks will be faculty and equity group. Other characteristics </w:t>
      </w:r>
      <w:r w:rsidR="00227955">
        <w:t>we will compare will be gender, SES status, basis of admission and ATAR</w:t>
      </w:r>
      <w:r w:rsidR="009C330B">
        <w:t>, number of subjects enrolled</w:t>
      </w:r>
      <w:r w:rsidR="00227955">
        <w:t xml:space="preserve">. </w:t>
      </w:r>
    </w:p>
    <w:p w14:paraId="3236AD6A" w14:textId="77777777" w:rsidR="00C91895" w:rsidRDefault="00C91895" w:rsidP="008F4423">
      <w:pPr>
        <w:jc w:val="both"/>
      </w:pPr>
    </w:p>
    <w:p w14:paraId="3BF3935D" w14:textId="6CD651A6" w:rsidR="00B57F39" w:rsidRDefault="00B57F39" w:rsidP="008F4423">
      <w:pPr>
        <w:pStyle w:val="ListParagraph"/>
        <w:numPr>
          <w:ilvl w:val="0"/>
          <w:numId w:val="1"/>
        </w:numPr>
        <w:jc w:val="both"/>
      </w:pPr>
      <w:r>
        <w:t>Summary Statistics: Treatment (Z=1) vs Participants (Z=1 &amp; D=1)</w:t>
      </w:r>
    </w:p>
    <w:p w14:paraId="3D53F828" w14:textId="2CA1746C" w:rsidR="00376635" w:rsidRDefault="00376635" w:rsidP="008F4423">
      <w:pPr>
        <w:jc w:val="both"/>
      </w:pPr>
    </w:p>
    <w:p w14:paraId="0DFAFC56" w14:textId="0D9C6BF6" w:rsidR="00376635" w:rsidRDefault="00376635" w:rsidP="008F4423">
      <w:pPr>
        <w:jc w:val="both"/>
      </w:pPr>
      <w:r>
        <w:t xml:space="preserve">This analysis will compare how different the entire treatment group is from the proportion that participate in the FYSP (classified by attending at least one </w:t>
      </w:r>
      <w:r w:rsidR="00A97D4B">
        <w:t>activity</w:t>
      </w:r>
      <w:r>
        <w:t>). We will compare equity groups, faculties, gender, basis of admission</w:t>
      </w:r>
      <w:r w:rsidR="00C84731">
        <w:t xml:space="preserve">, </w:t>
      </w:r>
      <w:r>
        <w:t>ATAR</w:t>
      </w:r>
      <w:r w:rsidR="00376D6A">
        <w:t xml:space="preserve"> </w:t>
      </w:r>
      <w:r w:rsidR="00C84731">
        <w:t xml:space="preserve">and </w:t>
      </w:r>
      <w:r w:rsidR="00376D6A">
        <w:t>number of subjects</w:t>
      </w:r>
      <w:r w:rsidR="00C84731">
        <w:t xml:space="preserve"> enrolled in</w:t>
      </w:r>
      <w:r>
        <w:t>. This will help inform later discussions about the external validity of the results</w:t>
      </w:r>
      <w:r w:rsidR="00C3188A">
        <w:t xml:space="preserve"> and, in particular, </w:t>
      </w:r>
      <w:r>
        <w:t>how representative of the broader equity student population are the FYSP participants.</w:t>
      </w:r>
    </w:p>
    <w:p w14:paraId="131A405B" w14:textId="77777777" w:rsidR="00227955" w:rsidRDefault="00227955" w:rsidP="008F4423">
      <w:pPr>
        <w:jc w:val="both"/>
      </w:pPr>
    </w:p>
    <w:p w14:paraId="7F38A195" w14:textId="51862C3E" w:rsidR="00227955" w:rsidRDefault="008B7BFF" w:rsidP="008F4423">
      <w:pPr>
        <w:pStyle w:val="ListParagraph"/>
        <w:numPr>
          <w:ilvl w:val="0"/>
          <w:numId w:val="1"/>
        </w:numPr>
        <w:jc w:val="both"/>
      </w:pPr>
      <w:r>
        <w:t>T</w:t>
      </w:r>
      <w:r w:rsidR="004A1BE2">
        <w:t>ake-</w:t>
      </w:r>
      <w:r>
        <w:t>U</w:t>
      </w:r>
      <w:r w:rsidR="004A1BE2">
        <w:t xml:space="preserve">p </w:t>
      </w:r>
      <w:r w:rsidR="00C84731">
        <w:t>Analysis:</w:t>
      </w:r>
      <w:r w:rsidR="00227955">
        <w:t xml:space="preserve"> </w:t>
      </w:r>
    </w:p>
    <w:p w14:paraId="09CA3C26" w14:textId="77777777" w:rsidR="00657AA6" w:rsidRDefault="00657AA6" w:rsidP="008F4423">
      <w:pPr>
        <w:jc w:val="both"/>
      </w:pPr>
    </w:p>
    <w:p w14:paraId="171764FF" w14:textId="364EF014" w:rsidR="00657AA6" w:rsidRDefault="0072751B" w:rsidP="008F4423">
      <w:pPr>
        <w:jc w:val="both"/>
      </w:pPr>
      <w:r>
        <w:t>We will report the propor</w:t>
      </w:r>
      <w:r w:rsidR="00507168">
        <w:t>tion of</w:t>
      </w:r>
      <w:r w:rsidR="00D339A7">
        <w:t xml:space="preserve"> students who participate in at least one </w:t>
      </w:r>
      <w:r w:rsidR="002C2995">
        <w:t xml:space="preserve">FYSP activity </w:t>
      </w:r>
      <w:r w:rsidR="0029207F">
        <w:t>out of all those who were offered or all those in the treatment group.</w:t>
      </w:r>
      <w:r w:rsidR="00A51D33">
        <w:t xml:space="preserve"> This is the overall take-up rate</w:t>
      </w:r>
      <w:r w:rsidR="008C6A89">
        <w:t>,</w:t>
      </w:r>
      <w:r w:rsidR="00A51D33">
        <w:t xml:space="preserve"> and </w:t>
      </w:r>
      <w:r w:rsidR="001A4EF8">
        <w:t xml:space="preserve">it is equivalent </w:t>
      </w:r>
      <w:r w:rsidR="008C6A89">
        <w:t xml:space="preserve">to estimating the effect </w:t>
      </w:r>
      <w:r w:rsidR="00C87B66">
        <w:t xml:space="preserve">that </w:t>
      </w:r>
      <w:r w:rsidR="008C6A89">
        <w:t xml:space="preserve">the offer </w:t>
      </w:r>
      <w:r w:rsidR="00C87B66">
        <w:t xml:space="preserve">has </w:t>
      </w:r>
      <w:r w:rsidR="008C6A89">
        <w:t xml:space="preserve">on </w:t>
      </w:r>
      <w:r w:rsidR="00C87B66">
        <w:t xml:space="preserve">overall </w:t>
      </w:r>
      <w:r w:rsidR="008C6A89">
        <w:t xml:space="preserve">participation </w:t>
      </w:r>
      <w:r w:rsidR="00FF2188">
        <w:t>when the control group doesn’t have access to the activity.</w:t>
      </w:r>
      <w:r w:rsidR="008C6A89">
        <w:t xml:space="preserve"> </w:t>
      </w:r>
      <w:r w:rsidR="00A51D33">
        <w:t>Then, we will report the ta</w:t>
      </w:r>
      <w:r w:rsidR="00FF2188">
        <w:t xml:space="preserve">ke-up rates for each activity, including the net take-up rate </w:t>
      </w:r>
      <w:r w:rsidR="00DA03BA">
        <w:t xml:space="preserve">for the bridging courses (take-up among treated students minus the take-up rate among </w:t>
      </w:r>
      <w:r w:rsidR="00BF57BB">
        <w:t>the control).</w:t>
      </w:r>
      <w:r w:rsidR="00507168">
        <w:t xml:space="preserve"> </w:t>
      </w:r>
      <w:r w:rsidR="00E32D80">
        <w:t>Where an activity can be measured continuously, we will report the average number of sessions attended b</w:t>
      </w:r>
      <w:r w:rsidR="00494FFB">
        <w:t>y participants</w:t>
      </w:r>
      <w:r w:rsidR="00FA0C8B">
        <w:t>. This will allow us to see how significant the impact of the offer was on FYSP attendance</w:t>
      </w:r>
      <w:r w:rsidR="0040117F">
        <w:t xml:space="preserve"> and also allow us to comment on the strength of our instrument</w:t>
      </w:r>
      <w:r w:rsidR="001652E8">
        <w:t>, which will be relevant for our 2SLS analysis.</w:t>
      </w:r>
      <w:r w:rsidR="00FA0C8B">
        <w:t xml:space="preserve"> </w:t>
      </w:r>
      <w:r w:rsidR="00494FFB">
        <w:t xml:space="preserve"> </w:t>
      </w:r>
    </w:p>
    <w:p w14:paraId="341AB3A0" w14:textId="483949AB" w:rsidR="00342FB8" w:rsidRDefault="00342FB8" w:rsidP="008F4423">
      <w:pPr>
        <w:jc w:val="both"/>
      </w:pPr>
    </w:p>
    <w:p w14:paraId="19C2F5C3" w14:textId="48614391" w:rsidR="00342FB8" w:rsidRDefault="00AD01A9" w:rsidP="008F4423">
      <w:pPr>
        <w:pStyle w:val="ListParagraph"/>
        <w:numPr>
          <w:ilvl w:val="0"/>
          <w:numId w:val="1"/>
        </w:numPr>
        <w:jc w:val="both"/>
      </w:pPr>
      <w:r>
        <w:t>Take-Up</w:t>
      </w:r>
      <w:r w:rsidR="00342FB8">
        <w:t xml:space="preserve"> Heterogeneity Analysis</w:t>
      </w:r>
    </w:p>
    <w:p w14:paraId="1AF04C69" w14:textId="77777777" w:rsidR="00733912" w:rsidRDefault="00733912" w:rsidP="008F4423">
      <w:pPr>
        <w:jc w:val="both"/>
      </w:pPr>
    </w:p>
    <w:p w14:paraId="159BA837" w14:textId="01319F70" w:rsidR="00733912" w:rsidRDefault="00733912" w:rsidP="008F4423">
      <w:pPr>
        <w:jc w:val="both"/>
      </w:pPr>
      <w:r>
        <w:t>We will perform the same</w:t>
      </w:r>
      <w:r w:rsidR="00727632">
        <w:t xml:space="preserve"> take-up</w:t>
      </w:r>
      <w:r>
        <w:t xml:space="preserve"> analysis</w:t>
      </w:r>
      <w:r w:rsidR="00EA4D97">
        <w:t xml:space="preserve"> for the overall take-up</w:t>
      </w:r>
      <w:r w:rsidR="00D35BD9">
        <w:t xml:space="preserve"> and </w:t>
      </w:r>
      <w:r w:rsidR="00EA4D97">
        <w:t xml:space="preserve">take-up for each activity </w:t>
      </w:r>
      <w:r w:rsidR="00D35BD9">
        <w:t xml:space="preserve">(both using a </w:t>
      </w:r>
      <w:r w:rsidR="00EA4D97">
        <w:t xml:space="preserve"> binary and continuous</w:t>
      </w:r>
      <w:r w:rsidR="00D35BD9">
        <w:t xml:space="preserve"> measure)</w:t>
      </w:r>
      <w:r w:rsidR="00EA4D97">
        <w:t xml:space="preserve"> </w:t>
      </w:r>
      <w:r>
        <w:t xml:space="preserve">as above but reporting the results by equity </w:t>
      </w:r>
      <w:r>
        <w:lastRenderedPageBreak/>
        <w:t>group, faculty, gender, basis of admission and ATAR. This will allow us to see for which types of students the offer had a larger impact on.</w:t>
      </w:r>
      <w:r w:rsidR="005B5C57">
        <w:t xml:space="preserve"> We expect that certain aspects of the program may be more appealing to different types of students, such as the bridging courses for students in the STEM faculties</w:t>
      </w:r>
    </w:p>
    <w:p w14:paraId="6003D2BB" w14:textId="77777777" w:rsidR="003244BC" w:rsidRDefault="003244BC" w:rsidP="008F4423">
      <w:pPr>
        <w:jc w:val="both"/>
      </w:pPr>
    </w:p>
    <w:p w14:paraId="6F9E7A1D" w14:textId="62A1D34A" w:rsidR="003244BC" w:rsidRDefault="003F6124" w:rsidP="008F4423">
      <w:pPr>
        <w:pStyle w:val="ListParagraph"/>
        <w:numPr>
          <w:ilvl w:val="0"/>
          <w:numId w:val="1"/>
        </w:numPr>
        <w:jc w:val="both"/>
      </w:pPr>
      <w:r>
        <w:t>Main</w:t>
      </w:r>
      <w:r w:rsidR="003244BC">
        <w:t xml:space="preserve"> </w:t>
      </w:r>
      <w:r w:rsidR="00342FB8">
        <w:t>Estimates</w:t>
      </w:r>
    </w:p>
    <w:p w14:paraId="1290C79F" w14:textId="77777777" w:rsidR="00EA53E9" w:rsidRDefault="00EA53E9" w:rsidP="008F4423">
      <w:pPr>
        <w:jc w:val="both"/>
      </w:pPr>
    </w:p>
    <w:p w14:paraId="5F0FBCA1" w14:textId="0602B2C2" w:rsidR="00E1567B" w:rsidRDefault="00B01136" w:rsidP="008F4423">
      <w:pPr>
        <w:jc w:val="both"/>
      </w:pPr>
      <w:r>
        <w:t xml:space="preserve"> When conducting the main analysis, </w:t>
      </w:r>
      <w:r w:rsidR="00FE06C5">
        <w:t xml:space="preserve">we </w:t>
      </w:r>
      <w:r w:rsidR="00591DA1">
        <w:t>will be using</w:t>
      </w:r>
      <w:r w:rsidR="00FE06C5">
        <w:t xml:space="preserve"> the following equations. When estimating the effect of the FYSP on standardised grades, we need to refer to equations (1) and (2) where the analysis will be at the student</w:t>
      </w:r>
      <w:r w:rsidR="00591DA1">
        <w:t xml:space="preserve"> (</w:t>
      </w:r>
      <m:oMath>
        <m:r>
          <w:rPr>
            <w:rFonts w:ascii="Cambria Math" w:hAnsi="Cambria Math"/>
          </w:rPr>
          <m:t>i</m:t>
        </m:r>
      </m:oMath>
      <w:r w:rsidR="00591DA1">
        <w:rPr>
          <w:rFonts w:eastAsiaTheme="minorEastAsia"/>
        </w:rPr>
        <w:t xml:space="preserve">) </w:t>
      </w:r>
      <w:r w:rsidR="00FE06C5">
        <w:t>-</w:t>
      </w:r>
      <w:r w:rsidR="00130027">
        <w:t xml:space="preserve"> </w:t>
      </w:r>
      <w:r w:rsidR="00FE06C5">
        <w:t>subject</w:t>
      </w:r>
      <w:r w:rsidR="00591DA1">
        <w:t xml:space="preserve"> (</w:t>
      </w:r>
      <m:oMath>
        <m:r>
          <w:rPr>
            <w:rFonts w:ascii="Cambria Math" w:hAnsi="Cambria Math"/>
          </w:rPr>
          <m:t>j</m:t>
        </m:r>
      </m:oMath>
      <w:r w:rsidR="00591DA1">
        <w:rPr>
          <w:rFonts w:eastAsiaTheme="minorEastAsia"/>
        </w:rPr>
        <w:t>)</w:t>
      </w:r>
      <w:r w:rsidR="00FE06C5">
        <w:t xml:space="preserve"> level.</w:t>
      </w:r>
    </w:p>
    <w:p w14:paraId="2D609521" w14:textId="77777777" w:rsidR="00AE0969" w:rsidRDefault="00AE0969" w:rsidP="008F4423">
      <w:pPr>
        <w:jc w:val="both"/>
      </w:pPr>
    </w:p>
    <w:p w14:paraId="1CDCC309" w14:textId="2FBCE0E3" w:rsidR="0065154F" w:rsidRPr="00574DB6" w:rsidRDefault="00794503" w:rsidP="008F4423">
      <w:pPr>
        <w:jc w:val="both"/>
        <w:rPr>
          <w:rFonts w:eastAsiaTheme="minorEastAsia"/>
        </w:rPr>
      </w:pPr>
      <m:oMathPara>
        <m:oMath>
          <m:eqArr>
            <m:eqArrPr>
              <m:maxDist m:val="1"/>
              <m:ctrlPr>
                <w:rPr>
                  <w:rFonts w:ascii="Cambria Math" w:eastAsiaTheme="minorEastAsia" w:hAnsi="Cambria Math"/>
                  <w:i/>
                </w:rPr>
              </m:ctrlPr>
            </m:eqArrPr>
            <m:e>
              <m:sSub>
                <m:sSubPr>
                  <m:ctrlPr>
                    <w:rPr>
                      <w:rFonts w:ascii="Cambria Math" w:hAnsi="Cambria Math"/>
                      <w:i/>
                    </w:rPr>
                  </m:ctrlPr>
                </m:sSubPr>
                <m:e>
                  <m:r>
                    <w:rPr>
                      <w:rFonts w:ascii="Cambria Math" w:hAnsi="Cambria Math"/>
                    </w:rPr>
                    <m:t>Y</m:t>
                  </m:r>
                </m:e>
                <m:sub>
                  <m:r>
                    <w:rPr>
                      <w:rFonts w:ascii="Cambria Math" w:hAnsi="Cambria Math"/>
                    </w:rPr>
                    <m:t>ij</m:t>
                  </m:r>
                </m:sub>
              </m:sSub>
              <m:r>
                <w:rPr>
                  <w:rFonts w:ascii="Cambria Math" w:hAnsi="Cambria Math"/>
                </w:rPr>
                <m:t>=</m:t>
              </m:r>
              <m:r>
                <w:rPr>
                  <w:rFonts w:ascii="Cambria Math" w:eastAsiaTheme="minorEastAsia" w:hAnsi="Cambria Math"/>
                </w:rPr>
                <m:t>γ</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i</m:t>
                  </m:r>
                </m:sub>
              </m:sSub>
              <m:r>
                <w:rPr>
                  <w:rFonts w:ascii="Cambria Math" w:eastAsiaTheme="minorEastAsia" w:hAnsi="Cambria Math"/>
                </w:rPr>
                <m:t xml:space="preserve">+ </m:t>
              </m:r>
              <m:sSup>
                <m:sSupPr>
                  <m:ctrlPr>
                    <w:rPr>
                      <w:rFonts w:ascii="Cambria Math" w:eastAsiaTheme="minorEastAsia" w:hAnsi="Cambria Math"/>
                      <w:b/>
                      <w:bCs/>
                      <w:i/>
                    </w:rPr>
                  </m:ctrlPr>
                </m:sSupPr>
                <m:e>
                  <m:r>
                    <m:rPr>
                      <m:sty m:val="bi"/>
                    </m:rPr>
                    <w:rPr>
                      <w:rFonts w:ascii="Cambria Math" w:eastAsiaTheme="minorEastAsia" w:hAnsi="Cambria Math"/>
                    </w:rPr>
                    <m:t>δ</m:t>
                  </m:r>
                  <m:ctrlPr>
                    <w:rPr>
                      <w:rFonts w:ascii="Cambria Math" w:eastAsiaTheme="minorEastAsia" w:hAnsi="Cambria Math"/>
                      <w:i/>
                    </w:rPr>
                  </m:ctrlPr>
                </m:e>
                <m:sup>
                  <m:r>
                    <m:rPr>
                      <m:sty m:val="bi"/>
                    </m:rPr>
                    <w:rPr>
                      <w:rFonts w:ascii="Cambria Math" w:eastAsiaTheme="minorEastAsia" w:hAnsi="Cambria Math"/>
                    </w:rPr>
                    <m:t>'</m:t>
                  </m:r>
                </m:sup>
              </m:sSup>
              <m:sSub>
                <m:sSubPr>
                  <m:ctrlPr>
                    <w:rPr>
                      <w:rFonts w:ascii="Cambria Math" w:eastAsiaTheme="minorEastAsia" w:hAnsi="Cambria Math"/>
                      <w:b/>
                      <w:bCs/>
                      <w:i/>
                    </w:rPr>
                  </m:ctrlPr>
                </m:sSubPr>
                <m:e>
                  <m:r>
                    <m:rPr>
                      <m:sty m:val="bi"/>
                    </m:rPr>
                    <w:rPr>
                      <w:rFonts w:ascii="Cambria Math" w:eastAsiaTheme="minorEastAsia" w:hAnsi="Cambria Math"/>
                    </w:rPr>
                    <m:t>X</m:t>
                  </m:r>
                </m:e>
                <m:sub>
                  <m:r>
                    <m:rPr>
                      <m:sty m:val="bi"/>
                    </m:rP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b/>
                      <w:bCs/>
                      <w:i/>
                    </w:rPr>
                  </m:ctrlPr>
                </m:sSubPr>
                <m:e>
                  <m:r>
                    <m:rPr>
                      <m:sty m:val="bi"/>
                    </m:rPr>
                    <w:rPr>
                      <w:rFonts w:ascii="Cambria Math" w:eastAsiaTheme="minorEastAsia" w:hAnsi="Cambria Math"/>
                    </w:rPr>
                    <m:t>α</m:t>
                  </m:r>
                </m:e>
                <m:sub>
                  <m:r>
                    <m:rPr>
                      <m:sty m:val="bi"/>
                    </m:rP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ν</m:t>
                  </m:r>
                </m:e>
                <m:sub>
                  <m:r>
                    <w:rPr>
                      <w:rFonts w:ascii="Cambria Math" w:eastAsiaTheme="minorEastAsia" w:hAnsi="Cambria Math"/>
                    </w:rPr>
                    <m:t>ij</m:t>
                  </m:r>
                </m:sub>
              </m:sSub>
              <m:r>
                <w:rPr>
                  <w:rFonts w:ascii="Cambria Math" w:eastAsiaTheme="minorEastAsia" w:hAnsi="Cambria Math"/>
                </w:rPr>
                <m:t xml:space="preserve"> </m:t>
              </m:r>
              <m:r>
                <w:rPr>
                  <w:rFonts w:ascii="Cambria Math" w:hAnsi="Cambria Math"/>
                </w:rPr>
                <m:t>#</m:t>
              </m:r>
              <m:d>
                <m:dPr>
                  <m:ctrlPr>
                    <w:rPr>
                      <w:rFonts w:ascii="Cambria Math" w:eastAsiaTheme="minorEastAsia" w:hAnsi="Cambria Math"/>
                      <w:i/>
                    </w:rPr>
                  </m:ctrlPr>
                </m:dPr>
                <m:e>
                  <m:r>
                    <w:rPr>
                      <w:rFonts w:ascii="Cambria Math" w:eastAsiaTheme="minorEastAsia" w:hAnsi="Cambria Math"/>
                    </w:rPr>
                    <m:t>1</m:t>
                  </m:r>
                </m:e>
              </m:d>
              <m:ctrlPr>
                <w:rPr>
                  <w:rFonts w:ascii="Cambria Math" w:hAnsi="Cambria Math"/>
                  <w:i/>
                </w:rPr>
              </m:ctrlPr>
            </m:e>
          </m:eqArr>
        </m:oMath>
      </m:oMathPara>
    </w:p>
    <w:p w14:paraId="1C9B6F59" w14:textId="77777777" w:rsidR="00574DB6" w:rsidRPr="0065154F" w:rsidRDefault="00574DB6" w:rsidP="008F4423">
      <w:pPr>
        <w:jc w:val="both"/>
        <w:rPr>
          <w:rFonts w:eastAsiaTheme="minorEastAsia"/>
        </w:rPr>
      </w:pPr>
    </w:p>
    <w:p w14:paraId="432C519D" w14:textId="27FEAAAF" w:rsidR="005A021B" w:rsidRPr="0065154F" w:rsidRDefault="00794503" w:rsidP="008F4423">
      <w:pPr>
        <w:jc w:val="both"/>
        <w:rPr>
          <w:rFonts w:eastAsiaTheme="minorEastAsia"/>
        </w:rPr>
      </w:pPr>
      <m:oMathPara>
        <m:oMath>
          <m:eqArr>
            <m:eqArrPr>
              <m:maxDist m:val="1"/>
              <m:ctrlPr>
                <w:rPr>
                  <w:rFonts w:ascii="Cambria Math" w:hAnsi="Cambria Math"/>
                  <w:i/>
                </w:rPr>
              </m:ctrlPr>
            </m:eqArrPr>
            <m:e>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i</m:t>
                  </m:r>
                </m:sub>
              </m:sSub>
              <m:r>
                <w:rPr>
                  <w:rFonts w:ascii="Cambria Math" w:hAnsi="Cambria Math"/>
                </w:rPr>
                <m:t>=</m:t>
              </m:r>
              <m:r>
                <w:rPr>
                  <w:rFonts w:ascii="Cambria Math" w:hAnsi="Cambria Math"/>
                </w:rPr>
                <m:t>π</m:t>
              </m:r>
              <m:sSub>
                <m:sSubPr>
                  <m:ctrlPr>
                    <w:rPr>
                      <w:rFonts w:ascii="Cambria Math" w:hAnsi="Cambria Math"/>
                      <w:i/>
                    </w:rPr>
                  </m:ctrlPr>
                </m:sSubPr>
                <m:e>
                  <m:r>
                    <w:rPr>
                      <w:rFonts w:ascii="Cambria Math" w:hAnsi="Cambria Math"/>
                    </w:rPr>
                    <m:t>Z</m:t>
                  </m:r>
                </m:e>
                <m:sub>
                  <m:r>
                    <w:rPr>
                      <w:rFonts w:ascii="Cambria Math" w:hAnsi="Cambria Math"/>
                    </w:rPr>
                    <m:t>i</m:t>
                  </m:r>
                </m:sub>
              </m:sSub>
              <m:r>
                <w:rPr>
                  <w:rFonts w:ascii="Cambria Math" w:hAnsi="Cambria Math"/>
                </w:rPr>
                <m:t>+</m:t>
              </m:r>
              <m:sSup>
                <m:sSupPr>
                  <m:ctrlPr>
                    <w:rPr>
                      <w:rFonts w:ascii="Cambria Math" w:hAnsi="Cambria Math"/>
                      <w:b/>
                      <w:bCs/>
                      <w:i/>
                    </w:rPr>
                  </m:ctrlPr>
                </m:sSupPr>
                <m:e>
                  <m:r>
                    <m:rPr>
                      <m:sty m:val="bi"/>
                    </m:rPr>
                    <w:rPr>
                      <w:rFonts w:ascii="Cambria Math" w:hAnsi="Cambria Math"/>
                    </w:rPr>
                    <m:t>ϕ</m:t>
                  </m:r>
                </m:e>
                <m:sup>
                  <m:r>
                    <m:rPr>
                      <m:sty m:val="bi"/>
                    </m:rPr>
                    <w:rPr>
                      <w:rFonts w:ascii="Cambria Math" w:hAnsi="Cambria Math"/>
                    </w:rPr>
                    <m:t>'</m:t>
                  </m:r>
                </m:sup>
              </m:sSup>
              <m:sSub>
                <m:sSubPr>
                  <m:ctrlPr>
                    <w:rPr>
                      <w:rFonts w:ascii="Cambria Math" w:hAnsi="Cambria Math"/>
                      <w:b/>
                      <w:bCs/>
                      <w:i/>
                    </w:rPr>
                  </m:ctrlPr>
                </m:sSubPr>
                <m:e>
                  <m:r>
                    <m:rPr>
                      <m:sty m:val="bi"/>
                    </m:rPr>
                    <w:rPr>
                      <w:rFonts w:ascii="Cambria Math" w:hAnsi="Cambria Math"/>
                    </w:rPr>
                    <m:t>X</m:t>
                  </m:r>
                </m:e>
                <m:sub>
                  <m:r>
                    <m:rPr>
                      <m:sty m:val="bi"/>
                    </m:rPr>
                    <w:rPr>
                      <w:rFonts w:ascii="Cambria Math" w:hAnsi="Cambria Math"/>
                    </w:rPr>
                    <m:t>i</m:t>
                  </m:r>
                </m:sub>
              </m:sSub>
              <m:r>
                <w:rPr>
                  <w:rFonts w:ascii="Cambria Math" w:eastAsiaTheme="minorEastAsia" w:hAnsi="Cambria Math"/>
                </w:rPr>
                <m:t>+</m:t>
              </m:r>
              <m:sSub>
                <m:sSubPr>
                  <m:ctrlPr>
                    <w:rPr>
                      <w:rFonts w:ascii="Cambria Math" w:eastAsiaTheme="minorEastAsia" w:hAnsi="Cambria Math"/>
                      <w:b/>
                      <w:bCs/>
                      <w:i/>
                    </w:rPr>
                  </m:ctrlPr>
                </m:sSubPr>
                <m:e>
                  <m:r>
                    <m:rPr>
                      <m:sty m:val="bi"/>
                    </m:rPr>
                    <w:rPr>
                      <w:rFonts w:ascii="Cambria Math" w:eastAsiaTheme="minorEastAsia" w:hAnsi="Cambria Math"/>
                    </w:rPr>
                    <m:t>α</m:t>
                  </m:r>
                </m:e>
                <m:sub>
                  <m:r>
                    <m:rPr>
                      <m:sty m:val="bi"/>
                    </m:rPr>
                    <w:rPr>
                      <w:rFonts w:ascii="Cambria Math" w:eastAsiaTheme="minorEastAsia" w:hAnsi="Cambria Math"/>
                    </w:rPr>
                    <m:t>i</m:t>
                  </m:r>
                </m:sub>
              </m:sSub>
              <m:r>
                <w:rPr>
                  <w:rFonts w:ascii="Cambria Math" w:hAnsi="Cambria Math"/>
                </w:rPr>
                <m:t>+</m:t>
              </m:r>
              <m:sSub>
                <m:sSubPr>
                  <m:ctrlPr>
                    <w:rPr>
                      <w:rFonts w:ascii="Cambria Math" w:hAnsi="Cambria Math"/>
                      <w:i/>
                    </w:rPr>
                  </m:ctrlPr>
                </m:sSubPr>
                <m:e>
                  <m:r>
                    <w:rPr>
                      <w:rFonts w:ascii="Cambria Math" w:hAnsi="Cambria Math"/>
                    </w:rPr>
                    <m:t>ξ</m:t>
                  </m:r>
                </m:e>
                <m:sub>
                  <m:r>
                    <w:rPr>
                      <w:rFonts w:ascii="Cambria Math" w:hAnsi="Cambria Math"/>
                    </w:rPr>
                    <m:t>i</m:t>
                  </m:r>
                </m:sub>
              </m:sSub>
              <m:r>
                <w:rPr>
                  <w:rFonts w:ascii="Cambria Math" w:hAnsi="Cambria Math"/>
                </w:rPr>
                <m:t>#</m:t>
              </m:r>
              <m:d>
                <m:dPr>
                  <m:ctrlPr>
                    <w:rPr>
                      <w:rFonts w:ascii="Cambria Math" w:hAnsi="Cambria Math"/>
                      <w:i/>
                    </w:rPr>
                  </m:ctrlPr>
                </m:dPr>
                <m:e>
                  <m:r>
                    <w:rPr>
                      <w:rFonts w:ascii="Cambria Math" w:hAnsi="Cambria Math"/>
                    </w:rPr>
                    <m:t>2</m:t>
                  </m:r>
                </m:e>
              </m:d>
            </m:e>
          </m:eqArr>
        </m:oMath>
      </m:oMathPara>
    </w:p>
    <w:p w14:paraId="4E237136" w14:textId="77777777" w:rsidR="00757DA0" w:rsidRDefault="00757DA0" w:rsidP="008F4423">
      <w:pPr>
        <w:jc w:val="both"/>
      </w:pPr>
    </w:p>
    <w:p w14:paraId="12CC9B32" w14:textId="1447A918" w:rsidR="001A646A" w:rsidRDefault="00FE06C5" w:rsidP="008F4423">
      <w:pPr>
        <w:jc w:val="both"/>
      </w:pPr>
      <w:r>
        <w:t>When estimating the effect on the rate of a</w:t>
      </w:r>
      <w:r w:rsidR="00DA5FF0">
        <w:t>ttrition</w:t>
      </w:r>
      <w:r>
        <w:t xml:space="preserve"> (measured as a binary variable equal to one if the student </w:t>
      </w:r>
      <w:r w:rsidR="00BB6393">
        <w:t>doesn’t re-enrol</w:t>
      </w:r>
      <w:r w:rsidR="00794503">
        <w:t xml:space="preserve"> at university</w:t>
      </w:r>
      <w:r w:rsidR="00BB6393">
        <w:t xml:space="preserve"> </w:t>
      </w:r>
      <w:r w:rsidR="00544E9A">
        <w:t>in the second semester</w:t>
      </w:r>
      <w:commentRangeStart w:id="0"/>
      <w:commentRangeStart w:id="1"/>
      <w:r>
        <w:t xml:space="preserve"> and zero otherwise</w:t>
      </w:r>
      <w:commentRangeEnd w:id="0"/>
      <w:r w:rsidR="00CF219A">
        <w:rPr>
          <w:rStyle w:val="CommentReference"/>
        </w:rPr>
        <w:commentReference w:id="0"/>
      </w:r>
      <w:commentRangeEnd w:id="1"/>
      <w:r w:rsidR="00544E9A">
        <w:rPr>
          <w:rStyle w:val="CommentReference"/>
        </w:rPr>
        <w:commentReference w:id="1"/>
      </w:r>
      <w:r>
        <w:t>)</w:t>
      </w:r>
      <w:r w:rsidR="00DA5FF0">
        <w:t xml:space="preserve"> and </w:t>
      </w:r>
      <w:r w:rsidR="00B264FB">
        <w:t>the s</w:t>
      </w:r>
      <w:r w:rsidR="00DA5FF0">
        <w:t xml:space="preserve">uccess </w:t>
      </w:r>
      <w:r w:rsidR="00B264FB">
        <w:t>r</w:t>
      </w:r>
      <w:r w:rsidR="00DA5FF0">
        <w:t>ate</w:t>
      </w:r>
      <w:r w:rsidR="00B264FB">
        <w:t xml:space="preserve"> (the number of subjects passed divided by the number of subjects attempted), we refer to equations</w:t>
      </w:r>
      <w:r w:rsidR="004A74E4">
        <w:t xml:space="preserve"> (3) and (4), where the analysis is conducted at the student</w:t>
      </w:r>
      <w:r w:rsidR="00130027">
        <w:t xml:space="preserve"> </w:t>
      </w:r>
      <w:r w:rsidR="00130027">
        <w:rPr>
          <w:rFonts w:eastAsiaTheme="minorEastAsia"/>
        </w:rPr>
        <w:t>(</w:t>
      </w:r>
      <m:oMath>
        <m:r>
          <w:rPr>
            <w:rFonts w:ascii="Cambria Math" w:hAnsi="Cambria Math"/>
          </w:rPr>
          <m:t>i</m:t>
        </m:r>
      </m:oMath>
      <w:r w:rsidR="00130027">
        <w:rPr>
          <w:rFonts w:eastAsiaTheme="minorEastAsia"/>
        </w:rPr>
        <w:t>)</w:t>
      </w:r>
      <w:r w:rsidR="004A74E4">
        <w:t xml:space="preserve"> level</w:t>
      </w:r>
      <w:r w:rsidR="00757DA0">
        <w:t>:</w:t>
      </w:r>
    </w:p>
    <w:p w14:paraId="7A1DD2EF" w14:textId="77777777" w:rsidR="00AE0969" w:rsidRDefault="00AE0969" w:rsidP="008F4423">
      <w:pPr>
        <w:jc w:val="both"/>
      </w:pPr>
    </w:p>
    <w:p w14:paraId="160D6AC6" w14:textId="41EE61ED" w:rsidR="0065154F" w:rsidRPr="00574DB6" w:rsidRDefault="00794503" w:rsidP="008F4423">
      <w:pPr>
        <w:jc w:val="both"/>
        <w:rPr>
          <w:rFonts w:eastAsiaTheme="minorEastAsia"/>
        </w:rPr>
      </w:pPr>
      <m:oMathPara>
        <m:oMath>
          <m:eqArr>
            <m:eqArrPr>
              <m:maxDist m:val="1"/>
              <m:ctrlPr>
                <w:rPr>
                  <w:rFonts w:ascii="Cambria Math" w:eastAsiaTheme="minorEastAsia" w:hAnsi="Cambria Math"/>
                  <w:i/>
                </w:rPr>
              </m:ctrlPr>
            </m:eqArrPr>
            <m:e>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r>
                <w:rPr>
                  <w:rFonts w:ascii="Cambria Math" w:eastAsiaTheme="minorEastAsia" w:hAnsi="Cambria Math"/>
                </w:rPr>
                <m:t>γ</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i</m:t>
                  </m:r>
                </m:sub>
              </m:sSub>
              <m:r>
                <w:rPr>
                  <w:rFonts w:ascii="Cambria Math" w:eastAsiaTheme="minorEastAsia" w:hAnsi="Cambria Math"/>
                </w:rPr>
                <m:t xml:space="preserve">+ </m:t>
              </m:r>
              <m:sSup>
                <m:sSupPr>
                  <m:ctrlPr>
                    <w:rPr>
                      <w:rFonts w:ascii="Cambria Math" w:eastAsiaTheme="minorEastAsia" w:hAnsi="Cambria Math"/>
                      <w:b/>
                      <w:bCs/>
                      <w:i/>
                    </w:rPr>
                  </m:ctrlPr>
                </m:sSupPr>
                <m:e>
                  <m:r>
                    <m:rPr>
                      <m:sty m:val="bi"/>
                    </m:rPr>
                    <w:rPr>
                      <w:rFonts w:ascii="Cambria Math" w:eastAsiaTheme="minorEastAsia" w:hAnsi="Cambria Math"/>
                    </w:rPr>
                    <m:t>δ</m:t>
                  </m:r>
                  <m:ctrlPr>
                    <w:rPr>
                      <w:rFonts w:ascii="Cambria Math" w:eastAsiaTheme="minorEastAsia" w:hAnsi="Cambria Math"/>
                      <w:i/>
                    </w:rPr>
                  </m:ctrlPr>
                </m:e>
                <m:sup>
                  <m:r>
                    <m:rPr>
                      <m:sty m:val="bi"/>
                    </m:rPr>
                    <w:rPr>
                      <w:rFonts w:ascii="Cambria Math" w:eastAsiaTheme="minorEastAsia" w:hAnsi="Cambria Math"/>
                    </w:rPr>
                    <m:t>'</m:t>
                  </m:r>
                </m:sup>
              </m:sSup>
              <m:sSub>
                <m:sSubPr>
                  <m:ctrlPr>
                    <w:rPr>
                      <w:rFonts w:ascii="Cambria Math" w:eastAsiaTheme="minorEastAsia" w:hAnsi="Cambria Math"/>
                      <w:b/>
                      <w:bCs/>
                      <w:i/>
                    </w:rPr>
                  </m:ctrlPr>
                </m:sSubPr>
                <m:e>
                  <m:r>
                    <m:rPr>
                      <m:sty m:val="bi"/>
                    </m:rPr>
                    <w:rPr>
                      <w:rFonts w:ascii="Cambria Math" w:eastAsiaTheme="minorEastAsia" w:hAnsi="Cambria Math"/>
                    </w:rPr>
                    <m:t>X</m:t>
                  </m:r>
                </m:e>
                <m:sub>
                  <m:r>
                    <m:rPr>
                      <m:sty m:val="bi"/>
                    </m:rP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b/>
                      <w:bCs/>
                      <w:i/>
                    </w:rPr>
                  </m:ctrlPr>
                </m:sSubPr>
                <m:e>
                  <m:r>
                    <m:rPr>
                      <m:sty m:val="bi"/>
                    </m:rPr>
                    <w:rPr>
                      <w:rFonts w:ascii="Cambria Math" w:eastAsiaTheme="minorEastAsia" w:hAnsi="Cambria Math"/>
                    </w:rPr>
                    <m:t>α</m:t>
                  </m:r>
                </m:e>
                <m:sub>
                  <m:r>
                    <m:rPr>
                      <m:sty m:val="bi"/>
                    </m:rP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ν</m:t>
                  </m:r>
                </m:e>
                <m:sub>
                  <m:r>
                    <w:rPr>
                      <w:rFonts w:ascii="Cambria Math" w:eastAsiaTheme="minorEastAsia" w:hAnsi="Cambria Math"/>
                    </w:rPr>
                    <m:t>i</m:t>
                  </m:r>
                </m:sub>
              </m:sSub>
              <m:r>
                <w:rPr>
                  <w:rFonts w:ascii="Cambria Math" w:hAnsi="Cambria Math"/>
                </w:rPr>
                <m:t>#</m:t>
              </m:r>
              <m:d>
                <m:dPr>
                  <m:ctrlPr>
                    <w:rPr>
                      <w:rFonts w:ascii="Cambria Math" w:eastAsiaTheme="minorEastAsia" w:hAnsi="Cambria Math"/>
                      <w:i/>
                    </w:rPr>
                  </m:ctrlPr>
                </m:dPr>
                <m:e>
                  <m:r>
                    <w:rPr>
                      <w:rFonts w:ascii="Cambria Math" w:eastAsiaTheme="minorEastAsia" w:hAnsi="Cambria Math"/>
                    </w:rPr>
                    <m:t>3</m:t>
                  </m:r>
                </m:e>
              </m:d>
              <m:ctrlPr>
                <w:rPr>
                  <w:rFonts w:ascii="Cambria Math" w:hAnsi="Cambria Math"/>
                  <w:i/>
                </w:rPr>
              </m:ctrlPr>
            </m:e>
          </m:eqArr>
        </m:oMath>
      </m:oMathPara>
    </w:p>
    <w:p w14:paraId="10BE13B8" w14:textId="77777777" w:rsidR="00574DB6" w:rsidRPr="0065154F" w:rsidRDefault="00574DB6" w:rsidP="008F4423">
      <w:pPr>
        <w:jc w:val="both"/>
        <w:rPr>
          <w:rFonts w:eastAsiaTheme="minorEastAsia"/>
        </w:rPr>
      </w:pPr>
    </w:p>
    <w:p w14:paraId="54C305DA" w14:textId="7B372433" w:rsidR="00F26E13" w:rsidRPr="0065154F" w:rsidRDefault="00794503" w:rsidP="008F4423">
      <w:pPr>
        <w:jc w:val="both"/>
        <w:rPr>
          <w:rFonts w:eastAsiaTheme="minorEastAsia"/>
        </w:rPr>
      </w:pPr>
      <m:oMathPara>
        <m:oMath>
          <m:eqArr>
            <m:eqArrPr>
              <m:maxDist m:val="1"/>
              <m:ctrlPr>
                <w:rPr>
                  <w:rFonts w:ascii="Cambria Math" w:eastAsiaTheme="minorEastAsia" w:hAnsi="Cambria Math"/>
                  <w:i/>
                </w:rPr>
              </m:ctrlPr>
            </m:eqArrPr>
            <m:e>
              <m:sSub>
                <m:sSubPr>
                  <m:ctrlPr>
                    <w:rPr>
                      <w:rFonts w:ascii="Cambria Math" w:hAnsi="Cambria Math"/>
                      <w:i/>
                    </w:rPr>
                  </m:ctrlPr>
                </m:sSubPr>
                <m:e>
                  <m:r>
                    <w:rPr>
                      <w:rFonts w:ascii="Cambria Math" w:hAnsi="Cambria Math"/>
                    </w:rPr>
                    <m:t>D</m:t>
                  </m:r>
                </m:e>
                <m:sub>
                  <m:r>
                    <w:rPr>
                      <w:rFonts w:ascii="Cambria Math" w:hAnsi="Cambria Math"/>
                    </w:rPr>
                    <m:t>i</m:t>
                  </m:r>
                </m:sub>
              </m:sSub>
              <m:r>
                <w:rPr>
                  <w:rFonts w:ascii="Cambria Math" w:hAnsi="Cambria Math"/>
                </w:rPr>
                <m:t>=</m:t>
              </m:r>
              <m:r>
                <w:rPr>
                  <w:rFonts w:ascii="Cambria Math" w:hAnsi="Cambria Math"/>
                </w:rPr>
                <m:t>π</m:t>
              </m:r>
              <m:sSub>
                <m:sSubPr>
                  <m:ctrlPr>
                    <w:rPr>
                      <w:rFonts w:ascii="Cambria Math" w:hAnsi="Cambria Math"/>
                      <w:i/>
                    </w:rPr>
                  </m:ctrlPr>
                </m:sSubPr>
                <m:e>
                  <m:r>
                    <w:rPr>
                      <w:rFonts w:ascii="Cambria Math" w:hAnsi="Cambria Math"/>
                    </w:rPr>
                    <m:t>Z</m:t>
                  </m:r>
                </m:e>
                <m:sub>
                  <m:r>
                    <w:rPr>
                      <w:rFonts w:ascii="Cambria Math" w:hAnsi="Cambria Math"/>
                    </w:rPr>
                    <m:t>i</m:t>
                  </m:r>
                </m:sub>
              </m:sSub>
              <m:r>
                <w:rPr>
                  <w:rFonts w:ascii="Cambria Math" w:hAnsi="Cambria Math"/>
                </w:rPr>
                <m:t>+</m:t>
              </m:r>
              <m:sSup>
                <m:sSupPr>
                  <m:ctrlPr>
                    <w:rPr>
                      <w:rFonts w:ascii="Cambria Math" w:hAnsi="Cambria Math"/>
                      <w:b/>
                      <w:bCs/>
                      <w:i/>
                    </w:rPr>
                  </m:ctrlPr>
                </m:sSupPr>
                <m:e>
                  <m:r>
                    <m:rPr>
                      <m:sty m:val="bi"/>
                    </m:rPr>
                    <w:rPr>
                      <w:rFonts w:ascii="Cambria Math" w:hAnsi="Cambria Math"/>
                    </w:rPr>
                    <m:t>ϕ</m:t>
                  </m:r>
                </m:e>
                <m:sup>
                  <m:r>
                    <m:rPr>
                      <m:sty m:val="bi"/>
                    </m:rPr>
                    <w:rPr>
                      <w:rFonts w:ascii="Cambria Math" w:hAnsi="Cambria Math"/>
                    </w:rPr>
                    <m:t>'</m:t>
                  </m:r>
                </m:sup>
              </m:sSup>
              <m:sSub>
                <m:sSubPr>
                  <m:ctrlPr>
                    <w:rPr>
                      <w:rFonts w:ascii="Cambria Math" w:hAnsi="Cambria Math"/>
                      <w:b/>
                      <w:bCs/>
                      <w:i/>
                    </w:rPr>
                  </m:ctrlPr>
                </m:sSubPr>
                <m:e>
                  <m:r>
                    <m:rPr>
                      <m:sty m:val="bi"/>
                    </m:rPr>
                    <w:rPr>
                      <w:rFonts w:ascii="Cambria Math" w:hAnsi="Cambria Math"/>
                    </w:rPr>
                    <m:t>X</m:t>
                  </m:r>
                </m:e>
                <m:sub>
                  <m:r>
                    <m:rPr>
                      <m:sty m:val="bi"/>
                    </m:rPr>
                    <w:rPr>
                      <w:rFonts w:ascii="Cambria Math" w:hAnsi="Cambria Math"/>
                    </w:rPr>
                    <m:t>i</m:t>
                  </m:r>
                </m:sub>
              </m:sSub>
              <m:r>
                <w:rPr>
                  <w:rFonts w:ascii="Cambria Math" w:eastAsiaTheme="minorEastAsia" w:hAnsi="Cambria Math"/>
                </w:rPr>
                <m:t>+</m:t>
              </m:r>
              <m:sSub>
                <m:sSubPr>
                  <m:ctrlPr>
                    <w:rPr>
                      <w:rFonts w:ascii="Cambria Math" w:eastAsiaTheme="minorEastAsia" w:hAnsi="Cambria Math"/>
                      <w:b/>
                      <w:bCs/>
                      <w:i/>
                    </w:rPr>
                  </m:ctrlPr>
                </m:sSubPr>
                <m:e>
                  <m:r>
                    <m:rPr>
                      <m:sty m:val="bi"/>
                    </m:rPr>
                    <w:rPr>
                      <w:rFonts w:ascii="Cambria Math" w:eastAsiaTheme="minorEastAsia" w:hAnsi="Cambria Math"/>
                    </w:rPr>
                    <m:t>α</m:t>
                  </m:r>
                </m:e>
                <m:sub>
                  <m:r>
                    <m:rPr>
                      <m:sty m:val="bi"/>
                    </m:rPr>
                    <w:rPr>
                      <w:rFonts w:ascii="Cambria Math" w:eastAsiaTheme="minorEastAsia" w:hAnsi="Cambria Math"/>
                    </w:rPr>
                    <m:t>i</m:t>
                  </m:r>
                </m:sub>
              </m:sSub>
              <m:r>
                <w:rPr>
                  <w:rFonts w:ascii="Cambria Math" w:hAnsi="Cambria Math"/>
                </w:rPr>
                <m:t>+</m:t>
              </m:r>
              <m:sSub>
                <m:sSubPr>
                  <m:ctrlPr>
                    <w:rPr>
                      <w:rFonts w:ascii="Cambria Math" w:hAnsi="Cambria Math"/>
                      <w:i/>
                    </w:rPr>
                  </m:ctrlPr>
                </m:sSubPr>
                <m:e>
                  <m:r>
                    <w:rPr>
                      <w:rFonts w:ascii="Cambria Math" w:hAnsi="Cambria Math"/>
                    </w:rPr>
                    <m:t>ξ</m:t>
                  </m:r>
                </m:e>
                <m:sub>
                  <m:r>
                    <w:rPr>
                      <w:rFonts w:ascii="Cambria Math" w:hAnsi="Cambria Math"/>
                    </w:rPr>
                    <m:t>i</m:t>
                  </m:r>
                </m:sub>
              </m:sSub>
              <m:r>
                <w:rPr>
                  <w:rFonts w:ascii="Cambria Math" w:hAnsi="Cambria Math"/>
                </w:rPr>
                <m:t>#</m:t>
              </m:r>
              <m:d>
                <m:dPr>
                  <m:ctrlPr>
                    <w:rPr>
                      <w:rFonts w:ascii="Cambria Math" w:eastAsiaTheme="minorEastAsia" w:hAnsi="Cambria Math"/>
                      <w:i/>
                    </w:rPr>
                  </m:ctrlPr>
                </m:dPr>
                <m:e>
                  <m:r>
                    <w:rPr>
                      <w:rFonts w:ascii="Cambria Math" w:eastAsiaTheme="minorEastAsia" w:hAnsi="Cambria Math"/>
                    </w:rPr>
                    <m:t>4</m:t>
                  </m:r>
                </m:e>
              </m:d>
              <m:ctrlPr>
                <w:rPr>
                  <w:rFonts w:ascii="Cambria Math" w:hAnsi="Cambria Math"/>
                  <w:i/>
                </w:rPr>
              </m:ctrlPr>
            </m:e>
          </m:eqArr>
        </m:oMath>
      </m:oMathPara>
    </w:p>
    <w:p w14:paraId="40EA7EEC" w14:textId="77777777" w:rsidR="00F54C6E" w:rsidRPr="00757DA0" w:rsidRDefault="00F54C6E" w:rsidP="008F4423">
      <w:pPr>
        <w:jc w:val="both"/>
        <w:rPr>
          <w:rFonts w:eastAsiaTheme="minorEastAsia"/>
        </w:rPr>
      </w:pPr>
    </w:p>
    <w:p w14:paraId="748682CE" w14:textId="712C0730" w:rsidR="004B0637" w:rsidRDefault="004A74E4" w:rsidP="008F4423">
      <w:pPr>
        <w:jc w:val="both"/>
        <w:rPr>
          <w:rFonts w:eastAsiaTheme="minorEastAsia"/>
        </w:rPr>
      </w:pPr>
      <w:r>
        <w:t>In the equations above,</w:t>
      </w:r>
      <w:r w:rsidR="004B0637">
        <w:t xml:space="preserve"> </w:t>
      </w:r>
      <m:oMath>
        <m:r>
          <w:rPr>
            <w:rFonts w:ascii="Cambria Math" w:hAnsi="Cambria Math"/>
          </w:rPr>
          <m:t>Y</m:t>
        </m:r>
      </m:oMath>
      <w:r w:rsidR="007C0E93">
        <w:rPr>
          <w:rFonts w:eastAsiaTheme="minorEastAsia"/>
        </w:rPr>
        <w:t xml:space="preserve"> </w:t>
      </w:r>
      <w:r w:rsidR="004B0637">
        <w:rPr>
          <w:rFonts w:eastAsiaTheme="minorEastAsia"/>
        </w:rPr>
        <w:t xml:space="preserve">is the outcome of interest, </w:t>
      </w:r>
      <m:oMath>
        <m:r>
          <w:rPr>
            <w:rFonts w:ascii="Cambria Math" w:eastAsiaTheme="minorEastAsia" w:hAnsi="Cambria Math"/>
          </w:rPr>
          <m:t xml:space="preserve">D </m:t>
        </m:r>
      </m:oMath>
      <w:r w:rsidR="004B0637">
        <w:rPr>
          <w:rFonts w:eastAsiaTheme="minorEastAsia"/>
        </w:rPr>
        <w:t xml:space="preserve">is a binary variable equal to 1 if the </w:t>
      </w:r>
      <w:r w:rsidR="00F54C6E">
        <w:rPr>
          <w:rFonts w:eastAsiaTheme="minorEastAsia"/>
        </w:rPr>
        <w:t xml:space="preserve">student participates in at least one FYSP activity, </w:t>
      </w:r>
      <m:oMath>
        <m:r>
          <w:rPr>
            <w:rFonts w:ascii="Cambria Math" w:eastAsiaTheme="minorEastAsia" w:hAnsi="Cambria Math"/>
          </w:rPr>
          <m:t>Z</m:t>
        </m:r>
      </m:oMath>
      <w:r w:rsidR="00FF24BF">
        <w:rPr>
          <w:rFonts w:eastAsiaTheme="minorEastAsia"/>
        </w:rPr>
        <w:t xml:space="preserve"> </w:t>
      </w:r>
      <w:r w:rsidR="00812AD1">
        <w:rPr>
          <w:rFonts w:eastAsiaTheme="minorEastAsia"/>
        </w:rPr>
        <w:t>is a binary variable equal to 1 i</w:t>
      </w:r>
      <w:r w:rsidR="007C0E93">
        <w:rPr>
          <w:rFonts w:eastAsiaTheme="minorEastAsia"/>
        </w:rPr>
        <w:t>f</w:t>
      </w:r>
      <w:r w:rsidR="00812AD1">
        <w:rPr>
          <w:rFonts w:eastAsiaTheme="minorEastAsia"/>
        </w:rPr>
        <w:t xml:space="preserve"> the student received a random offer</w:t>
      </w:r>
      <w:r w:rsidR="00E703BB">
        <w:rPr>
          <w:rFonts w:eastAsiaTheme="minorEastAsia"/>
        </w:rPr>
        <w:t xml:space="preserve"> and</w:t>
      </w:r>
      <w:r w:rsidR="00E703BB" w:rsidRPr="00FF24BF">
        <w:rPr>
          <w:rFonts w:eastAsiaTheme="minorEastAsia"/>
          <w:b/>
          <w:bCs/>
        </w:rPr>
        <w:t xml:space="preserve"> </w:t>
      </w:r>
      <m:oMath>
        <m:r>
          <m:rPr>
            <m:sty m:val="bi"/>
          </m:rPr>
          <w:rPr>
            <w:rFonts w:ascii="Cambria Math" w:eastAsiaTheme="minorEastAsia" w:hAnsi="Cambria Math"/>
          </w:rPr>
          <m:t>X</m:t>
        </m:r>
      </m:oMath>
      <w:r w:rsidR="00E703BB">
        <w:rPr>
          <w:rFonts w:eastAsiaTheme="minorEastAsia"/>
          <w:b/>
          <w:bCs/>
        </w:rPr>
        <w:t xml:space="preserve"> </w:t>
      </w:r>
      <w:r w:rsidR="00FF24BF">
        <w:rPr>
          <w:rFonts w:eastAsiaTheme="minorEastAsia"/>
        </w:rPr>
        <w:t>contains</w:t>
      </w:r>
      <w:r w:rsidR="00E703BB">
        <w:rPr>
          <w:rFonts w:eastAsiaTheme="minorEastAsia"/>
        </w:rPr>
        <w:t xml:space="preserve"> </w:t>
      </w:r>
      <w:r w:rsidR="00FF24BF">
        <w:rPr>
          <w:rFonts w:eastAsiaTheme="minorEastAsia"/>
        </w:rPr>
        <w:t>a</w:t>
      </w:r>
      <w:r w:rsidR="00E703BB">
        <w:rPr>
          <w:rFonts w:eastAsiaTheme="minorEastAsia"/>
        </w:rPr>
        <w:t xml:space="preserve"> set of baseline characteristics including </w:t>
      </w:r>
      <w:commentRangeStart w:id="2"/>
      <w:commentRangeStart w:id="3"/>
      <w:r w:rsidR="00E703BB">
        <w:rPr>
          <w:rFonts w:eastAsiaTheme="minorEastAsia"/>
        </w:rPr>
        <w:t xml:space="preserve">gender, </w:t>
      </w:r>
      <w:r w:rsidR="00FA6D49">
        <w:rPr>
          <w:rFonts w:eastAsiaTheme="minorEastAsia"/>
        </w:rPr>
        <w:t>SES</w:t>
      </w:r>
      <w:r w:rsidR="00B92CAA">
        <w:rPr>
          <w:rFonts w:eastAsiaTheme="minorEastAsia"/>
        </w:rPr>
        <w:t>, basis of admission</w:t>
      </w:r>
      <w:r w:rsidR="00F75D63">
        <w:rPr>
          <w:rFonts w:eastAsiaTheme="minorEastAsia"/>
        </w:rPr>
        <w:t xml:space="preserve"> and</w:t>
      </w:r>
      <w:r w:rsidR="00B92CAA">
        <w:rPr>
          <w:rFonts w:eastAsiaTheme="minorEastAsia"/>
        </w:rPr>
        <w:t xml:space="preserve"> ATAR</w:t>
      </w:r>
      <w:commentRangeEnd w:id="2"/>
      <w:r w:rsidR="00014B4F">
        <w:rPr>
          <w:rStyle w:val="CommentReference"/>
        </w:rPr>
        <w:commentReference w:id="2"/>
      </w:r>
      <w:commentRangeEnd w:id="3"/>
      <w:r w:rsidR="00972547">
        <w:rPr>
          <w:rStyle w:val="CommentReference"/>
        </w:rPr>
        <w:commentReference w:id="3"/>
      </w:r>
      <w:r w:rsidR="00F75D63">
        <w:rPr>
          <w:rFonts w:eastAsiaTheme="minorEastAsia"/>
        </w:rPr>
        <w:t>.</w:t>
      </w:r>
      <w:r w:rsidR="006B27CF" w:rsidRPr="006B27CF">
        <w:rPr>
          <w:rFonts w:ascii="Cambria Math" w:eastAsiaTheme="minorEastAsia" w:hAnsi="Cambria Math"/>
          <w:b/>
          <w:bCs/>
          <w:i/>
        </w:rPr>
        <w:t xml:space="preserve"> </w:t>
      </w:r>
      <m:oMath>
        <m:sSub>
          <m:sSubPr>
            <m:ctrlPr>
              <w:rPr>
                <w:rFonts w:ascii="Cambria Math" w:eastAsiaTheme="minorEastAsia" w:hAnsi="Cambria Math"/>
                <w:b/>
                <w:bCs/>
                <w:i/>
              </w:rPr>
            </m:ctrlPr>
          </m:sSubPr>
          <m:e>
            <m:r>
              <m:rPr>
                <m:sty m:val="bi"/>
              </m:rPr>
              <w:rPr>
                <w:rFonts w:ascii="Cambria Math" w:eastAsiaTheme="minorEastAsia" w:hAnsi="Cambria Math"/>
              </w:rPr>
              <m:t>α</m:t>
            </m:r>
          </m:e>
          <m:sub>
            <m:r>
              <m:rPr>
                <m:sty m:val="bi"/>
              </m:rPr>
              <w:rPr>
                <w:rFonts w:ascii="Cambria Math" w:eastAsiaTheme="minorEastAsia" w:hAnsi="Cambria Math"/>
              </w:rPr>
              <m:t>i</m:t>
            </m:r>
          </m:sub>
        </m:sSub>
      </m:oMath>
      <w:r w:rsidR="006D6461">
        <w:rPr>
          <w:rFonts w:eastAsiaTheme="minorEastAsia"/>
        </w:rPr>
        <w:t xml:space="preserve"> </w:t>
      </w:r>
      <w:r w:rsidR="006B27CF">
        <w:rPr>
          <w:rFonts w:eastAsiaTheme="minorEastAsia"/>
        </w:rPr>
        <w:t xml:space="preserve">is a vector of </w:t>
      </w:r>
      <w:r w:rsidR="00516695">
        <w:rPr>
          <w:rFonts w:eastAsiaTheme="minorEastAsia"/>
        </w:rPr>
        <w:t>f</w:t>
      </w:r>
      <w:r w:rsidR="006B27CF">
        <w:rPr>
          <w:rFonts w:eastAsiaTheme="minorEastAsia"/>
        </w:rPr>
        <w:t>ixed effects</w:t>
      </w:r>
      <w:r w:rsidR="006D6461">
        <w:rPr>
          <w:rFonts w:eastAsiaTheme="minorEastAsia"/>
        </w:rPr>
        <w:t xml:space="preserve"> </w:t>
      </w:r>
      <w:r w:rsidR="00516695">
        <w:rPr>
          <w:rFonts w:eastAsiaTheme="minorEastAsia"/>
        </w:rPr>
        <w:t xml:space="preserve">calculated at the individual level, specifically </w:t>
      </w:r>
      <w:r w:rsidR="006D6461">
        <w:rPr>
          <w:rFonts w:eastAsiaTheme="minorEastAsia"/>
        </w:rPr>
        <w:t>for faculty</w:t>
      </w:r>
      <w:r w:rsidR="0047043B">
        <w:rPr>
          <w:rFonts w:eastAsiaTheme="minorEastAsia"/>
        </w:rPr>
        <w:t xml:space="preserve"> and </w:t>
      </w:r>
      <w:r w:rsidR="006D6461">
        <w:rPr>
          <w:rFonts w:eastAsiaTheme="minorEastAsia"/>
        </w:rPr>
        <w:t>degree</w:t>
      </w:r>
      <w:r w:rsidR="0047043B">
        <w:rPr>
          <w:rFonts w:eastAsiaTheme="minorEastAsia"/>
        </w:rPr>
        <w:t xml:space="preserve">. </w:t>
      </w:r>
      <w:r w:rsidR="008C2E11">
        <w:rPr>
          <w:rFonts w:eastAsiaTheme="minorEastAsia"/>
        </w:rPr>
        <w:t xml:space="preserve">For the estimation of the effect on standardised grades we will include  </w:t>
      </w:r>
      <w:commentRangeStart w:id="4"/>
      <w:commentRangeStart w:id="5"/>
      <w:r w:rsidR="006D6461">
        <w:rPr>
          <w:rFonts w:eastAsiaTheme="minorEastAsia"/>
        </w:rPr>
        <w:t>subject</w:t>
      </w:r>
      <w:commentRangeEnd w:id="4"/>
      <w:r w:rsidR="00EE0740">
        <w:rPr>
          <w:rStyle w:val="CommentReference"/>
        </w:rPr>
        <w:commentReference w:id="4"/>
      </w:r>
      <w:commentRangeEnd w:id="5"/>
      <w:r w:rsidR="0034503A">
        <w:rPr>
          <w:rStyle w:val="CommentReference"/>
        </w:rPr>
        <w:commentReference w:id="5"/>
      </w:r>
      <w:r w:rsidR="008C2E11">
        <w:rPr>
          <w:rFonts w:eastAsiaTheme="minorEastAsia"/>
        </w:rPr>
        <w:t xml:space="preserve"> fixed effects</w:t>
      </w:r>
      <w:r w:rsidR="00461471">
        <w:rPr>
          <w:rFonts w:eastAsiaTheme="minorEastAsia"/>
        </w:rPr>
        <w:t xml:space="preserve">. </w:t>
      </w:r>
      <w:r w:rsidR="00E027D8">
        <w:rPr>
          <w:rFonts w:eastAsiaTheme="minorEastAsia"/>
        </w:rPr>
        <w:t xml:space="preserve">The </w:t>
      </w:r>
      <w:r w:rsidR="005A2386">
        <w:rPr>
          <w:rFonts w:eastAsiaTheme="minorEastAsia"/>
        </w:rPr>
        <w:t>estimation</w:t>
      </w:r>
      <w:r w:rsidR="00E027D8">
        <w:rPr>
          <w:rFonts w:eastAsiaTheme="minorEastAsia"/>
        </w:rPr>
        <w:t xml:space="preserve"> of these </w:t>
      </w:r>
      <w:r w:rsidR="005A2386">
        <w:rPr>
          <w:rFonts w:eastAsiaTheme="minorEastAsia"/>
        </w:rPr>
        <w:t>fixed</w:t>
      </w:r>
      <w:r w:rsidR="00E027D8">
        <w:rPr>
          <w:rFonts w:eastAsiaTheme="minorEastAsia"/>
        </w:rPr>
        <w:t xml:space="preserve"> effects is subject to having sufficient </w:t>
      </w:r>
      <w:r w:rsidR="007146D4">
        <w:rPr>
          <w:rFonts w:eastAsiaTheme="minorEastAsia"/>
        </w:rPr>
        <w:t xml:space="preserve">program variation within </w:t>
      </w:r>
      <w:r w:rsidR="00E06D8E">
        <w:rPr>
          <w:rFonts w:eastAsiaTheme="minorEastAsia"/>
        </w:rPr>
        <w:t xml:space="preserve">each </w:t>
      </w:r>
      <w:r w:rsidR="007146D4">
        <w:rPr>
          <w:rFonts w:eastAsiaTheme="minorEastAsia"/>
        </w:rPr>
        <w:t>group</w:t>
      </w:r>
      <w:r w:rsidR="00937C4D">
        <w:rPr>
          <w:rFonts w:eastAsiaTheme="minorEastAsia"/>
        </w:rPr>
        <w:t>.</w:t>
      </w:r>
      <w:r w:rsidR="00E06D8E">
        <w:rPr>
          <w:rFonts w:eastAsiaTheme="minorEastAsia"/>
        </w:rPr>
        <w:t xml:space="preserve"> </w:t>
      </w:r>
      <w:r w:rsidR="00937C4D">
        <w:rPr>
          <w:rFonts w:eastAsiaTheme="minorEastAsia"/>
        </w:rPr>
        <w:t>F</w:t>
      </w:r>
      <w:commentRangeStart w:id="6"/>
      <w:commentRangeStart w:id="7"/>
      <w:r w:rsidR="00E06D8E">
        <w:rPr>
          <w:rFonts w:eastAsiaTheme="minorEastAsia"/>
        </w:rPr>
        <w:t>or example</w:t>
      </w:r>
      <w:r w:rsidR="00937C4D">
        <w:rPr>
          <w:rFonts w:eastAsiaTheme="minorEastAsia"/>
        </w:rPr>
        <w:t>,</w:t>
      </w:r>
      <w:r w:rsidR="00E06D8E">
        <w:rPr>
          <w:rFonts w:eastAsiaTheme="minorEastAsia"/>
        </w:rPr>
        <w:t xml:space="preserve"> </w:t>
      </w:r>
      <w:r w:rsidR="005A2386">
        <w:rPr>
          <w:rFonts w:eastAsiaTheme="minorEastAsia"/>
        </w:rPr>
        <w:t xml:space="preserve">if there </w:t>
      </w:r>
      <w:r w:rsidR="00D133F8">
        <w:rPr>
          <w:rFonts w:eastAsiaTheme="minorEastAsia"/>
        </w:rPr>
        <w:t xml:space="preserve">are </w:t>
      </w:r>
      <w:r w:rsidR="005A2386">
        <w:rPr>
          <w:rFonts w:eastAsiaTheme="minorEastAsia"/>
        </w:rPr>
        <w:t xml:space="preserve">subjects where </w:t>
      </w:r>
      <w:r w:rsidR="00D77108">
        <w:rPr>
          <w:rFonts w:eastAsiaTheme="minorEastAsia"/>
        </w:rPr>
        <w:t>all or none of the students attend the FYSP activities</w:t>
      </w:r>
      <w:r w:rsidR="00937C4D">
        <w:rPr>
          <w:rFonts w:eastAsiaTheme="minorEastAsia"/>
        </w:rPr>
        <w:t xml:space="preserve">, then this will prohibit the </w:t>
      </w:r>
      <w:r w:rsidR="00B6287A">
        <w:rPr>
          <w:rFonts w:eastAsiaTheme="minorEastAsia"/>
        </w:rPr>
        <w:t xml:space="preserve">use </w:t>
      </w:r>
      <w:commentRangeEnd w:id="6"/>
      <w:r w:rsidR="001F772E">
        <w:rPr>
          <w:rStyle w:val="CommentReference"/>
        </w:rPr>
        <w:commentReference w:id="6"/>
      </w:r>
      <w:commentRangeEnd w:id="7"/>
      <w:r w:rsidR="00E272CB">
        <w:rPr>
          <w:rStyle w:val="CommentReference"/>
        </w:rPr>
        <w:commentReference w:id="7"/>
      </w:r>
      <w:r w:rsidR="00D133F8">
        <w:rPr>
          <w:rFonts w:eastAsiaTheme="minorEastAsia"/>
        </w:rPr>
        <w:t>of subject fixed effects in our analysis</w:t>
      </w:r>
      <w:r w:rsidR="005A2386">
        <w:rPr>
          <w:rFonts w:eastAsiaTheme="minorEastAsia"/>
        </w:rPr>
        <w:t xml:space="preserve">. </w:t>
      </w:r>
      <w:r w:rsidR="00A55CF4">
        <w:rPr>
          <w:rFonts w:eastAsiaTheme="minorEastAsia"/>
        </w:rPr>
        <w:t xml:space="preserve">We will report </w:t>
      </w:r>
      <w:r w:rsidR="00707DF0">
        <w:rPr>
          <w:rFonts w:eastAsiaTheme="minorEastAsia"/>
        </w:rPr>
        <w:t xml:space="preserve">the OLS estimate of the effect of </w:t>
      </w:r>
      <m:oMath>
        <m:r>
          <w:rPr>
            <w:rFonts w:ascii="Cambria Math" w:eastAsiaTheme="minorEastAsia" w:hAnsi="Cambria Math"/>
          </w:rPr>
          <m:t>D</m:t>
        </m:r>
      </m:oMath>
      <w:r w:rsidR="00707DF0">
        <w:rPr>
          <w:rFonts w:eastAsiaTheme="minorEastAsia"/>
        </w:rPr>
        <w:t xml:space="preserve"> on </w:t>
      </w:r>
      <m:oMath>
        <m:r>
          <w:rPr>
            <w:rFonts w:ascii="Cambria Math" w:eastAsiaTheme="minorEastAsia" w:hAnsi="Cambria Math"/>
          </w:rPr>
          <m:t>Y</m:t>
        </m:r>
      </m:oMath>
      <w:r w:rsidR="00342FB1">
        <w:rPr>
          <w:rFonts w:eastAsiaTheme="minorEastAsia"/>
        </w:rPr>
        <w:t xml:space="preserve"> as well as the ITT estimate of the effect of </w:t>
      </w:r>
      <m:oMath>
        <m:r>
          <w:rPr>
            <w:rFonts w:ascii="Cambria Math" w:eastAsiaTheme="minorEastAsia" w:hAnsi="Cambria Math"/>
          </w:rPr>
          <m:t>Z</m:t>
        </m:r>
      </m:oMath>
      <w:r w:rsidR="00342FB1">
        <w:rPr>
          <w:rFonts w:eastAsiaTheme="minorEastAsia"/>
        </w:rPr>
        <w:t xml:space="preserve"> on </w:t>
      </w:r>
      <m:oMath>
        <m:r>
          <w:rPr>
            <w:rFonts w:ascii="Cambria Math" w:eastAsiaTheme="minorEastAsia" w:hAnsi="Cambria Math"/>
          </w:rPr>
          <m:t>Y</m:t>
        </m:r>
      </m:oMath>
      <w:r w:rsidR="004A634A">
        <w:rPr>
          <w:rFonts w:eastAsiaTheme="minorEastAsia"/>
        </w:rPr>
        <w:t>.</w:t>
      </w:r>
      <w:r w:rsidR="004A1114">
        <w:rPr>
          <w:rFonts w:eastAsiaTheme="minorEastAsia"/>
        </w:rPr>
        <w:t xml:space="preserve"> The main result will be our 2SLS </w:t>
      </w:r>
      <w:r w:rsidR="00783C84">
        <w:rPr>
          <w:rFonts w:eastAsiaTheme="minorEastAsia"/>
        </w:rPr>
        <w:t>estimate</w:t>
      </w:r>
      <w:r w:rsidR="004A1114">
        <w:rPr>
          <w:rFonts w:eastAsiaTheme="minorEastAsia"/>
        </w:rPr>
        <w:t xml:space="preserve"> of </w:t>
      </w:r>
      <w:r w:rsidR="00783C84">
        <w:rPr>
          <w:rFonts w:eastAsiaTheme="minorEastAsia"/>
        </w:rPr>
        <w:t xml:space="preserve">the effect of </w:t>
      </w:r>
      <m:oMath>
        <m:r>
          <w:rPr>
            <w:rFonts w:ascii="Cambria Math" w:eastAsiaTheme="minorEastAsia" w:hAnsi="Cambria Math"/>
          </w:rPr>
          <m:t>D</m:t>
        </m:r>
      </m:oMath>
      <w:r w:rsidR="00783C84">
        <w:rPr>
          <w:rFonts w:eastAsiaTheme="minorEastAsia"/>
        </w:rPr>
        <w:t xml:space="preserve"> on </w:t>
      </w:r>
      <m:oMath>
        <m:r>
          <w:rPr>
            <w:rFonts w:ascii="Cambria Math" w:eastAsiaTheme="minorEastAsia" w:hAnsi="Cambria Math"/>
          </w:rPr>
          <m:t>Y</m:t>
        </m:r>
      </m:oMath>
      <w:r w:rsidR="00D47E92">
        <w:rPr>
          <w:rFonts w:eastAsiaTheme="minorEastAsia"/>
        </w:rPr>
        <w:t>or the effect of participating in the FYSP on the academic outcomes</w:t>
      </w:r>
      <w:r w:rsidR="001E7BBF">
        <w:rPr>
          <w:rFonts w:eastAsiaTheme="minorEastAsia"/>
        </w:rPr>
        <w:t>.</w:t>
      </w:r>
      <w:r w:rsidR="00461471">
        <w:rPr>
          <w:rFonts w:eastAsiaTheme="minorEastAsia"/>
        </w:rPr>
        <w:t xml:space="preserve"> </w:t>
      </w:r>
      <w:r w:rsidR="006A48EC">
        <w:rPr>
          <w:rFonts w:eastAsiaTheme="minorEastAsia"/>
        </w:rPr>
        <w:t xml:space="preserve">The </w:t>
      </w:r>
      <w:r w:rsidR="00461471">
        <w:rPr>
          <w:rFonts w:eastAsiaTheme="minorEastAsia"/>
        </w:rPr>
        <w:t xml:space="preserve">effect </w:t>
      </w:r>
      <w:r w:rsidR="006A48EC">
        <w:rPr>
          <w:rFonts w:eastAsiaTheme="minorEastAsia"/>
        </w:rPr>
        <w:t xml:space="preserve">that we identify </w:t>
      </w:r>
      <w:r w:rsidR="00461471">
        <w:rPr>
          <w:rFonts w:eastAsiaTheme="minorEastAsia"/>
        </w:rPr>
        <w:t xml:space="preserve">is </w:t>
      </w:r>
      <w:r w:rsidR="006A48EC">
        <w:rPr>
          <w:rFonts w:eastAsiaTheme="minorEastAsia"/>
        </w:rPr>
        <w:t>the</w:t>
      </w:r>
      <w:r w:rsidR="00461471">
        <w:rPr>
          <w:rFonts w:eastAsiaTheme="minorEastAsia"/>
        </w:rPr>
        <w:t xml:space="preserve"> local average treatment effect or the effect for those who were inf</w:t>
      </w:r>
      <w:r w:rsidR="00C037CC">
        <w:rPr>
          <w:rFonts w:eastAsiaTheme="minorEastAsia"/>
        </w:rPr>
        <w:t>luenced by the random offer into participating in the FYSP.</w:t>
      </w:r>
      <w:r w:rsidR="001E7BBF">
        <w:rPr>
          <w:rFonts w:eastAsiaTheme="minorEastAsia"/>
        </w:rPr>
        <w:t xml:space="preserve"> </w:t>
      </w:r>
      <w:r w:rsidR="00D25A8F">
        <w:rPr>
          <w:rFonts w:eastAsiaTheme="minorEastAsia"/>
        </w:rPr>
        <w:t>The c</w:t>
      </w:r>
      <w:r w:rsidR="006E2E16">
        <w:rPr>
          <w:rFonts w:eastAsiaTheme="minorEastAsia"/>
        </w:rPr>
        <w:t>ompari</w:t>
      </w:r>
      <w:r w:rsidR="00D25A8F">
        <w:rPr>
          <w:rFonts w:eastAsiaTheme="minorEastAsia"/>
        </w:rPr>
        <w:t>son of</w:t>
      </w:r>
      <w:r w:rsidR="006E2E16">
        <w:rPr>
          <w:rFonts w:eastAsiaTheme="minorEastAsia"/>
        </w:rPr>
        <w:t xml:space="preserve"> the 2SLS estimate with the OLS and ITT estimate will be useful as the </w:t>
      </w:r>
      <w:r w:rsidR="00252B32">
        <w:rPr>
          <w:rFonts w:eastAsiaTheme="minorEastAsia"/>
        </w:rPr>
        <w:t xml:space="preserve">OLS estimate </w:t>
      </w:r>
      <w:r w:rsidR="00A55194">
        <w:rPr>
          <w:rFonts w:eastAsiaTheme="minorEastAsia"/>
        </w:rPr>
        <w:t>doesn’t account for selection into the program</w:t>
      </w:r>
      <w:r w:rsidR="00252B32">
        <w:rPr>
          <w:rFonts w:eastAsiaTheme="minorEastAsia"/>
        </w:rPr>
        <w:t xml:space="preserve">, while the ITT effect is </w:t>
      </w:r>
      <w:r w:rsidR="009D43E5">
        <w:rPr>
          <w:rFonts w:eastAsiaTheme="minorEastAsia"/>
        </w:rPr>
        <w:t>the un-scaled effect of our program</w:t>
      </w:r>
      <w:r w:rsidR="008F4423">
        <w:rPr>
          <w:rFonts w:eastAsiaTheme="minorEastAsia"/>
        </w:rPr>
        <w:t xml:space="preserve">. </w:t>
      </w:r>
      <w:r w:rsidR="008F4423" w:rsidRPr="008F4423">
        <w:rPr>
          <w:rFonts w:eastAsiaTheme="minorEastAsia"/>
        </w:rPr>
        <w:t>Comparing these estimates will show how selection</w:t>
      </w:r>
      <w:r w:rsidR="00464B29">
        <w:rPr>
          <w:rFonts w:eastAsiaTheme="minorEastAsia"/>
        </w:rPr>
        <w:t xml:space="preserve"> into participation </w:t>
      </w:r>
      <w:r w:rsidR="008F4423" w:rsidRPr="008F4423">
        <w:rPr>
          <w:rFonts w:eastAsiaTheme="minorEastAsia"/>
        </w:rPr>
        <w:t>by treated students and the program’s take-up rate have each influenced our main effect</w:t>
      </w:r>
      <w:r w:rsidR="008F4423">
        <w:rPr>
          <w:rFonts w:eastAsiaTheme="minorEastAsia"/>
        </w:rPr>
        <w:t>.</w:t>
      </w:r>
    </w:p>
    <w:p w14:paraId="0BBD6DD3" w14:textId="77777777" w:rsidR="002D2713" w:rsidRDefault="002D2713" w:rsidP="008F4423">
      <w:pPr>
        <w:jc w:val="both"/>
        <w:rPr>
          <w:rFonts w:eastAsiaTheme="minorEastAsia"/>
        </w:rPr>
      </w:pPr>
    </w:p>
    <w:p w14:paraId="03AABD50" w14:textId="1C2EABBA" w:rsidR="00270B30" w:rsidRPr="00270B30" w:rsidRDefault="00270B30" w:rsidP="00270B30">
      <w:pPr>
        <w:jc w:val="both"/>
      </w:pPr>
      <w:r w:rsidRPr="00270B30">
        <w:t xml:space="preserve">Going beyond the overall effect of the program, we provide estimates of the effect of the separate FYSP components. It is not sufficient to run a regression with separate indicators for each activity as we do not conduct separate random offers for each activity (i.e. separate treatment arms). As such, this estimation would be biased as different attendance patterns </w:t>
      </w:r>
      <w:r w:rsidRPr="00270B30">
        <w:lastRenderedPageBreak/>
        <w:t>are not likely to be random, and this would not identify the separate effect of each activity. As a result, we employ a different strategy by partitioning the program attendance into academic and non-academic components. The academic component of the FYSP is just the bridging courses, while the non-academic components include the introductory workshop and the peer mentoring program. In order to separately identify the effect of these two components using 2SLS we need an additional instrument. We construct this additional instrument by exploiting the fact that the academic component is more relevant to students studying in degrees that require underlying knowledge in mathematics, chemistry, physics and biology. Therefore, the identifying assumption is that students attend bridging courses at higher rates because they are enrolled in degrees relevant to the courses. We then obtain the effect of the academic (</w:t>
      </w:r>
      <m:oMath>
        <m:r>
          <m:rPr>
            <m:sty m:val="p"/>
          </m:rPr>
          <w:rPr>
            <w:rFonts w:ascii="Cambria Math" w:hAnsi="Cambria Math"/>
          </w:rPr>
          <m:t>A</m:t>
        </m:r>
      </m:oMath>
      <w:r w:rsidRPr="00270B30">
        <w:t>)  and non-academic (</w:t>
      </w:r>
      <m:oMath>
        <m:r>
          <m:rPr>
            <m:sty m:val="p"/>
          </m:rPr>
          <w:rPr>
            <w:rFonts w:ascii="Cambria Math" w:hAnsi="Cambria Math"/>
          </w:rPr>
          <m:t>NA</m:t>
        </m:r>
      </m:oMath>
      <w:r w:rsidRPr="00270B30">
        <w:t>) components of the FYSP through estimating the equations below:</w:t>
      </w:r>
    </w:p>
    <w:p w14:paraId="22CEFF0F" w14:textId="401DDF97" w:rsidR="00270B30" w:rsidRPr="00270B30" w:rsidRDefault="00270B30" w:rsidP="00270B30">
      <w:pPr>
        <w:jc w:val="both"/>
        <w:rPr>
          <w:rFonts w:eastAsiaTheme="minorEastAsia"/>
        </w:rPr>
      </w:pPr>
      <m:oMathPara>
        <m:oMath>
          <m:eqArr>
            <m:eqArrPr>
              <m:maxDist m:val="1"/>
              <m:ctrlPr>
                <w:rPr>
                  <w:rFonts w:ascii="Cambria Math" w:hAnsi="Cambria Math"/>
                </w:rPr>
              </m:ctrlPr>
            </m:eqArrPr>
            <m:e>
              <m:sSub>
                <m:sSubPr>
                  <m:ctrlPr>
                    <w:rPr>
                      <w:rFonts w:ascii="Cambria Math" w:hAnsi="Cambria Math"/>
                    </w:rPr>
                  </m:ctrlPr>
                </m:sSubPr>
                <m:e>
                  <m:r>
                    <w:rPr>
                      <w:rFonts w:ascii="Cambria Math" w:hAnsi="Cambria Math"/>
                    </w:rPr>
                    <m:t>Y</m:t>
                  </m:r>
                </m:e>
                <m:sub>
                  <m:r>
                    <w:rPr>
                      <w:rFonts w:ascii="Cambria Math" w:hAnsi="Cambria Math"/>
                    </w:rPr>
                    <m:t>i</m:t>
                  </m:r>
                </m:sub>
              </m:sSub>
              <m:r>
                <m:rPr>
                  <m:sty m:val="p"/>
                </m:rPr>
                <w:rPr>
                  <w:rFonts w:ascii="Cambria Math" w:hAnsi="Cambria Math"/>
                </w:rPr>
                <m:t>=</m:t>
              </m:r>
              <m:sSup>
                <m:sSupPr>
                  <m:ctrlPr>
                    <w:rPr>
                      <w:rFonts w:ascii="Cambria Math" w:hAnsi="Cambria Math"/>
                    </w:rPr>
                  </m:ctrlPr>
                </m:sSupPr>
                <m:e>
                  <m:r>
                    <w:rPr>
                      <w:rFonts w:ascii="Cambria Math" w:hAnsi="Cambria Math"/>
                    </w:rPr>
                    <m:t>γ</m:t>
                  </m:r>
                </m:e>
                <m:sup>
                  <m:r>
                    <w:rPr>
                      <w:rFonts w:ascii="Cambria Math" w:hAnsi="Cambria Math"/>
                    </w:rPr>
                    <m:t>A</m:t>
                  </m:r>
                </m:sup>
              </m:sSup>
              <m:sSup>
                <m:sSupPr>
                  <m:ctrlPr>
                    <w:rPr>
                      <w:rFonts w:ascii="Cambria Math" w:hAnsi="Cambria Math"/>
                    </w:rPr>
                  </m:ctrlPr>
                </m:sSupPr>
                <m:e>
                  <m:sSub>
                    <m:sSubPr>
                      <m:ctrlPr>
                        <w:rPr>
                          <w:rFonts w:ascii="Cambria Math" w:hAnsi="Cambria Math"/>
                        </w:rPr>
                      </m:ctrlPr>
                    </m:sSubPr>
                    <m:e>
                      <m:r>
                        <w:rPr>
                          <w:rFonts w:ascii="Cambria Math" w:hAnsi="Cambria Math"/>
                        </w:rPr>
                        <m:t>D</m:t>
                      </m:r>
                    </m:e>
                    <m:sub>
                      <m:r>
                        <w:rPr>
                          <w:rFonts w:ascii="Cambria Math" w:hAnsi="Cambria Math"/>
                        </w:rPr>
                        <m:t>i</m:t>
                      </m:r>
                    </m:sub>
                  </m:sSub>
                </m:e>
                <m:sup>
                  <m:r>
                    <w:rPr>
                      <w:rFonts w:ascii="Cambria Math" w:hAnsi="Cambria Math"/>
                    </w:rPr>
                    <m:t>A</m:t>
                  </m:r>
                </m:sup>
              </m:sSup>
              <m:r>
                <m:rPr>
                  <m:sty m:val="p"/>
                </m:rPr>
                <w:rPr>
                  <w:rFonts w:ascii="Cambria Math" w:hAnsi="Cambria Math"/>
                </w:rPr>
                <m:t>+</m:t>
              </m:r>
              <m:sSup>
                <m:sSupPr>
                  <m:ctrlPr>
                    <w:rPr>
                      <w:rFonts w:ascii="Cambria Math" w:hAnsi="Cambria Math"/>
                    </w:rPr>
                  </m:ctrlPr>
                </m:sSupPr>
                <m:e>
                  <m:r>
                    <w:rPr>
                      <w:rFonts w:ascii="Cambria Math" w:hAnsi="Cambria Math"/>
                    </w:rPr>
                    <m:t>γ</m:t>
                  </m:r>
                </m:e>
                <m:sup>
                  <m:r>
                    <w:rPr>
                      <w:rFonts w:ascii="Cambria Math" w:hAnsi="Cambria Math"/>
                    </w:rPr>
                    <m:t>NA</m:t>
                  </m:r>
                </m:sup>
              </m:sSup>
              <m:sSub>
                <m:sSubPr>
                  <m:ctrlPr>
                    <w:rPr>
                      <w:rFonts w:ascii="Cambria Math" w:hAnsi="Cambria Math"/>
                    </w:rPr>
                  </m:ctrlPr>
                </m:sSubPr>
                <m:e>
                  <m:r>
                    <w:rPr>
                      <w:rFonts w:ascii="Cambria Math" w:hAnsi="Cambria Math"/>
                    </w:rPr>
                    <m:t>D</m:t>
                  </m:r>
                </m:e>
                <m:sub>
                  <m:r>
                    <w:rPr>
                      <w:rFonts w:ascii="Cambria Math" w:hAnsi="Cambria Math"/>
                    </w:rPr>
                    <m:t>i</m:t>
                  </m:r>
                </m:sub>
              </m:sSub>
              <m:r>
                <m:rPr>
                  <m:sty m:val="p"/>
                </m:rPr>
                <w:rPr>
                  <w:rFonts w:ascii="Cambria Math" w:hAnsi="Cambria Math"/>
                </w:rPr>
                <m:t xml:space="preserve">+ </m:t>
              </m:r>
              <m:sSup>
                <m:sSupPr>
                  <m:ctrlPr>
                    <w:rPr>
                      <w:rFonts w:ascii="Cambria Math" w:hAnsi="Cambria Math"/>
                    </w:rPr>
                  </m:ctrlPr>
                </m:sSupPr>
                <m:e>
                  <m:r>
                    <m:rPr>
                      <m:sty m:val="bi"/>
                    </m:rPr>
                    <w:rPr>
                      <w:rFonts w:ascii="Cambria Math" w:hAnsi="Cambria Math"/>
                    </w:rPr>
                    <m:t>δ</m:t>
                  </m:r>
                </m:e>
                <m:sup>
                  <m:r>
                    <m:rPr>
                      <m:sty m:val="p"/>
                    </m:rPr>
                    <w:rPr>
                      <w:rFonts w:ascii="Cambria Math" w:hAnsi="Cambria Math"/>
                    </w:rPr>
                    <m:t>'</m:t>
                  </m:r>
                </m:sup>
              </m:sSup>
              <m:sSub>
                <m:sSubPr>
                  <m:ctrlPr>
                    <w:rPr>
                      <w:rFonts w:ascii="Cambria Math" w:hAnsi="Cambria Math"/>
                    </w:rPr>
                  </m:ctrlPr>
                </m:sSubPr>
                <m:e>
                  <m:r>
                    <m:rPr>
                      <m:sty m:val="bi"/>
                    </m:rPr>
                    <w:rPr>
                      <w:rFonts w:ascii="Cambria Math" w:hAnsi="Cambria Math"/>
                    </w:rPr>
                    <m:t>X</m:t>
                  </m:r>
                </m:e>
                <m:sub>
                  <m:r>
                    <m:rPr>
                      <m:sty m:val="bi"/>
                    </m:rP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ν</m:t>
                  </m:r>
                </m:e>
                <m:sub>
                  <m:r>
                    <w:rPr>
                      <w:rFonts w:ascii="Cambria Math" w:hAnsi="Cambria Math"/>
                    </w:rPr>
                    <m:t>i</m:t>
                  </m:r>
                </m:sub>
              </m:sSub>
              <m:r>
                <m:rPr>
                  <m:sty m:val="p"/>
                </m:rPr>
                <w:rPr>
                  <w:rFonts w:ascii="Cambria Math" w:hAnsi="Cambria Math"/>
                </w:rPr>
                <m:t>#</m:t>
              </m:r>
              <m:d>
                <m:dPr>
                  <m:ctrlPr>
                    <w:rPr>
                      <w:rFonts w:ascii="Cambria Math" w:hAnsi="Cambria Math"/>
                    </w:rPr>
                  </m:ctrlPr>
                </m:dPr>
                <m:e>
                  <m:r>
                    <m:rPr>
                      <m:sty m:val="p"/>
                    </m:rPr>
                    <w:rPr>
                      <w:rFonts w:ascii="Cambria Math" w:hAnsi="Cambria Math"/>
                    </w:rPr>
                    <m:t>5</m:t>
                  </m:r>
                </m:e>
              </m:d>
            </m:e>
          </m:eqArr>
        </m:oMath>
      </m:oMathPara>
    </w:p>
    <w:p w14:paraId="55178569" w14:textId="77777777" w:rsidR="00270B30" w:rsidRPr="00270B30" w:rsidRDefault="00270B30" w:rsidP="00270B30">
      <w:pPr>
        <w:jc w:val="both"/>
      </w:pPr>
    </w:p>
    <w:p w14:paraId="7A1BAFD9" w14:textId="0265FA05" w:rsidR="00270B30" w:rsidRPr="00270B30" w:rsidRDefault="00270B30" w:rsidP="00270B30">
      <w:pPr>
        <w:jc w:val="both"/>
        <w:rPr>
          <w:rFonts w:eastAsiaTheme="minorEastAsia"/>
        </w:rPr>
      </w:pPr>
      <m:oMathPara>
        <m:oMath>
          <m:eqArr>
            <m:eqArrPr>
              <m:maxDist m:val="1"/>
              <m:ctrlPr>
                <w:rPr>
                  <w:rFonts w:ascii="Cambria Math" w:hAnsi="Cambria Math"/>
                </w:rPr>
              </m:ctrlPr>
            </m:eqArrPr>
            <m:e>
              <m:sSub>
                <m:sSubPr>
                  <m:ctrlPr>
                    <w:rPr>
                      <w:rFonts w:ascii="Cambria Math" w:hAnsi="Cambria Math"/>
                    </w:rPr>
                  </m:ctrlPr>
                </m:sSubPr>
                <m:e>
                  <m:r>
                    <w:rPr>
                      <w:rFonts w:ascii="Cambria Math" w:hAnsi="Cambria Math"/>
                    </w:rPr>
                    <m:t>D</m:t>
                  </m:r>
                </m:e>
                <m:sub>
                  <m:r>
                    <w:rPr>
                      <w:rFonts w:ascii="Cambria Math" w:hAnsi="Cambria Math"/>
                    </w:rPr>
                    <m:t>i</m:t>
                  </m:r>
                </m:sub>
              </m:sSub>
              <m:r>
                <m:rPr>
                  <m:sty m:val="p"/>
                </m:rPr>
                <w:rPr>
                  <w:rFonts w:ascii="Cambria Math" w:hAnsi="Cambria Math"/>
                </w:rPr>
                <m:t>=</m:t>
              </m:r>
              <m:sSup>
                <m:sSupPr>
                  <m:ctrlPr>
                    <w:rPr>
                      <w:rFonts w:ascii="Cambria Math" w:hAnsi="Cambria Math"/>
                    </w:rPr>
                  </m:ctrlPr>
                </m:sSupPr>
                <m:e>
                  <m:r>
                    <w:rPr>
                      <w:rFonts w:ascii="Cambria Math" w:hAnsi="Cambria Math"/>
                    </w:rPr>
                    <m:t>π</m:t>
                  </m:r>
                </m:e>
                <m:sup>
                  <m:r>
                    <w:rPr>
                      <w:rFonts w:ascii="Cambria Math" w:hAnsi="Cambria Math"/>
                    </w:rPr>
                    <m:t>A</m:t>
                  </m:r>
                </m:sup>
              </m:sSup>
              <m:sSub>
                <m:sSubPr>
                  <m:ctrlPr>
                    <w:rPr>
                      <w:rFonts w:ascii="Cambria Math" w:hAnsi="Cambria Math"/>
                    </w:rPr>
                  </m:ctrlPr>
                </m:sSubPr>
                <m:e>
                  <m:r>
                    <w:rPr>
                      <w:rFonts w:ascii="Cambria Math" w:hAnsi="Cambria Math"/>
                    </w:rPr>
                    <m:t>Z</m:t>
                  </m:r>
                </m:e>
                <m:sub>
                  <m:r>
                    <w:rPr>
                      <w:rFonts w:ascii="Cambria Math" w:hAnsi="Cambria Math"/>
                    </w:rPr>
                    <m:t>i</m:t>
                  </m:r>
                </m:sub>
              </m:sSub>
              <m:sSubSup>
                <m:sSubSupPr>
                  <m:ctrlPr>
                    <w:rPr>
                      <w:rFonts w:ascii="Cambria Math" w:hAnsi="Cambria Math"/>
                    </w:rPr>
                  </m:ctrlPr>
                </m:sSubSupPr>
                <m:e>
                  <m:r>
                    <w:rPr>
                      <w:rFonts w:ascii="Cambria Math" w:hAnsi="Cambria Math"/>
                    </w:rPr>
                    <m:t>Q</m:t>
                  </m:r>
                </m:e>
                <m:sub>
                  <m:r>
                    <w:rPr>
                      <w:rFonts w:ascii="Cambria Math" w:hAnsi="Cambria Math"/>
                    </w:rPr>
                    <m:t>i</m:t>
                  </m:r>
                </m:sub>
                <m:sup>
                  <m:r>
                    <w:rPr>
                      <w:rFonts w:ascii="Cambria Math" w:hAnsi="Cambria Math"/>
                    </w:rPr>
                    <m:t>A</m:t>
                  </m:r>
                </m:sup>
              </m:sSubSup>
              <m:r>
                <m:rPr>
                  <m:sty m:val="p"/>
                </m:rPr>
                <w:rPr>
                  <w:rFonts w:ascii="Cambria Math" w:hAnsi="Cambria Math"/>
                </w:rPr>
                <m:t>+</m:t>
              </m:r>
              <m:sSup>
                <m:sSupPr>
                  <m:ctrlPr>
                    <w:rPr>
                      <w:rFonts w:ascii="Cambria Math" w:hAnsi="Cambria Math"/>
                    </w:rPr>
                  </m:ctrlPr>
                </m:sSupPr>
                <m:e>
                  <m:r>
                    <w:rPr>
                      <w:rFonts w:ascii="Cambria Math" w:hAnsi="Cambria Math"/>
                    </w:rPr>
                    <m:t>π</m:t>
                  </m:r>
                </m:e>
                <m:sup>
                  <m:r>
                    <w:rPr>
                      <w:rFonts w:ascii="Cambria Math" w:hAnsi="Cambria Math"/>
                    </w:rPr>
                    <m:t>NA</m:t>
                  </m:r>
                </m:sup>
              </m:sSup>
              <m:sSub>
                <m:sSubPr>
                  <m:ctrlPr>
                    <w:rPr>
                      <w:rFonts w:ascii="Cambria Math" w:hAnsi="Cambria Math"/>
                    </w:rPr>
                  </m:ctrlPr>
                </m:sSubPr>
                <m:e>
                  <m:r>
                    <w:rPr>
                      <w:rFonts w:ascii="Cambria Math" w:hAnsi="Cambria Math"/>
                    </w:rPr>
                    <m:t>Z</m:t>
                  </m:r>
                </m:e>
                <m:sub>
                  <m:r>
                    <w:rPr>
                      <w:rFonts w:ascii="Cambria Math" w:hAnsi="Cambria Math"/>
                    </w:rPr>
                    <m:t>i</m:t>
                  </m:r>
                </m:sub>
              </m:sSub>
              <m:r>
                <m:rPr>
                  <m:sty m:val="p"/>
                </m:rPr>
                <w:rPr>
                  <w:rFonts w:ascii="Cambria Math" w:hAnsi="Cambria Math"/>
                </w:rPr>
                <m:t>+</m:t>
              </m:r>
              <m:sSup>
                <m:sSupPr>
                  <m:ctrlPr>
                    <w:rPr>
                      <w:rFonts w:ascii="Cambria Math" w:hAnsi="Cambria Math"/>
                    </w:rPr>
                  </m:ctrlPr>
                </m:sSupPr>
                <m:e>
                  <m:r>
                    <m:rPr>
                      <m:sty m:val="bi"/>
                    </m:rPr>
                    <w:rPr>
                      <w:rFonts w:ascii="Cambria Math" w:hAnsi="Cambria Math"/>
                    </w:rPr>
                    <m:t>ϕ</m:t>
                  </m:r>
                </m:e>
                <m:sup>
                  <m:r>
                    <m:rPr>
                      <m:sty m:val="p"/>
                    </m:rPr>
                    <w:rPr>
                      <w:rFonts w:ascii="Cambria Math" w:hAnsi="Cambria Math"/>
                    </w:rPr>
                    <m:t>'</m:t>
                  </m:r>
                </m:sup>
              </m:sSup>
              <m:sSub>
                <m:sSubPr>
                  <m:ctrlPr>
                    <w:rPr>
                      <w:rFonts w:ascii="Cambria Math" w:hAnsi="Cambria Math"/>
                    </w:rPr>
                  </m:ctrlPr>
                </m:sSubPr>
                <m:e>
                  <m:r>
                    <m:rPr>
                      <m:sty m:val="bi"/>
                    </m:rPr>
                    <w:rPr>
                      <w:rFonts w:ascii="Cambria Math" w:hAnsi="Cambria Math"/>
                    </w:rPr>
                    <m:t>X</m:t>
                  </m:r>
                </m:e>
                <m:sub>
                  <m:r>
                    <m:rPr>
                      <m:sty m:val="bi"/>
                    </m:rP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ξ</m:t>
                  </m:r>
                </m:e>
                <m:sub>
                  <m:r>
                    <w:rPr>
                      <w:rFonts w:ascii="Cambria Math" w:hAnsi="Cambria Math"/>
                    </w:rPr>
                    <m:t>i</m:t>
                  </m:r>
                </m:sub>
              </m:sSub>
              <m:r>
                <m:rPr>
                  <m:sty m:val="p"/>
                </m:rPr>
                <w:rPr>
                  <w:rFonts w:ascii="Cambria Math" w:hAnsi="Cambria Math"/>
                </w:rPr>
                <m:t xml:space="preserve"> #</m:t>
              </m:r>
              <m:d>
                <m:dPr>
                  <m:ctrlPr>
                    <w:rPr>
                      <w:rFonts w:ascii="Cambria Math" w:hAnsi="Cambria Math"/>
                    </w:rPr>
                  </m:ctrlPr>
                </m:dPr>
                <m:e>
                  <m:r>
                    <m:rPr>
                      <m:sty m:val="p"/>
                    </m:rPr>
                    <w:rPr>
                      <w:rFonts w:ascii="Cambria Math" w:hAnsi="Cambria Math"/>
                    </w:rPr>
                    <m:t>6</m:t>
                  </m:r>
                </m:e>
              </m:d>
            </m:e>
          </m:eqArr>
        </m:oMath>
      </m:oMathPara>
    </w:p>
    <w:p w14:paraId="1D35425F" w14:textId="77777777" w:rsidR="00270B30" w:rsidRPr="00270B30" w:rsidRDefault="00270B30" w:rsidP="00270B30">
      <w:pPr>
        <w:jc w:val="both"/>
      </w:pPr>
    </w:p>
    <w:p w14:paraId="13360A07" w14:textId="1F4004F7" w:rsidR="00270B30" w:rsidRPr="00270B30" w:rsidRDefault="00270B30" w:rsidP="00270B30">
      <w:pPr>
        <w:jc w:val="both"/>
        <w:rPr>
          <w:rFonts w:eastAsiaTheme="minorEastAsia"/>
        </w:rPr>
      </w:pPr>
      <m:oMathPara>
        <m:oMath>
          <m:eqArr>
            <m:eqArrPr>
              <m:maxDist m:val="1"/>
              <m:ctrlPr>
                <w:rPr>
                  <w:rFonts w:ascii="Cambria Math" w:hAnsi="Cambria Math"/>
                </w:rPr>
              </m:ctrlPr>
            </m:eqArrPr>
            <m:e>
              <m:sSup>
                <m:sSupPr>
                  <m:ctrlPr>
                    <w:rPr>
                      <w:rFonts w:ascii="Cambria Math" w:hAnsi="Cambria Math"/>
                    </w:rPr>
                  </m:ctrlPr>
                </m:sSupPr>
                <m:e>
                  <m:sSub>
                    <m:sSubPr>
                      <m:ctrlPr>
                        <w:rPr>
                          <w:rFonts w:ascii="Cambria Math" w:hAnsi="Cambria Math"/>
                        </w:rPr>
                      </m:ctrlPr>
                    </m:sSubPr>
                    <m:e>
                      <m:r>
                        <w:rPr>
                          <w:rFonts w:ascii="Cambria Math" w:hAnsi="Cambria Math"/>
                        </w:rPr>
                        <m:t>D</m:t>
                      </m:r>
                    </m:e>
                    <m:sub>
                      <m:r>
                        <w:rPr>
                          <w:rFonts w:ascii="Cambria Math" w:hAnsi="Cambria Math"/>
                        </w:rPr>
                        <m:t>i</m:t>
                      </m:r>
                    </m:sub>
                  </m:sSub>
                </m:e>
                <m:sup>
                  <m:r>
                    <w:rPr>
                      <w:rFonts w:ascii="Cambria Math" w:hAnsi="Cambria Math"/>
                    </w:rPr>
                    <m:t>A</m:t>
                  </m:r>
                </m:sup>
              </m:sSup>
              <m:r>
                <m:rPr>
                  <m:sty m:val="p"/>
                </m:rPr>
                <w:rPr>
                  <w:rFonts w:ascii="Cambria Math" w:hAnsi="Cambria Math"/>
                </w:rPr>
                <m:t>=</m:t>
              </m:r>
              <m:sSup>
                <m:sSupPr>
                  <m:ctrlPr>
                    <w:rPr>
                      <w:rFonts w:ascii="Cambria Math" w:hAnsi="Cambria Math"/>
                    </w:rPr>
                  </m:ctrlPr>
                </m:sSupPr>
                <m:e>
                  <m:r>
                    <w:rPr>
                      <w:rFonts w:ascii="Cambria Math" w:hAnsi="Cambria Math"/>
                    </w:rPr>
                    <m:t>λ</m:t>
                  </m:r>
                </m:e>
                <m:sup>
                  <m:r>
                    <w:rPr>
                      <w:rFonts w:ascii="Cambria Math" w:hAnsi="Cambria Math"/>
                    </w:rPr>
                    <m:t>A</m:t>
                  </m:r>
                </m:sup>
              </m:sSup>
              <m:sSub>
                <m:sSubPr>
                  <m:ctrlPr>
                    <w:rPr>
                      <w:rFonts w:ascii="Cambria Math" w:hAnsi="Cambria Math"/>
                    </w:rPr>
                  </m:ctrlPr>
                </m:sSubPr>
                <m:e>
                  <m:r>
                    <w:rPr>
                      <w:rFonts w:ascii="Cambria Math" w:hAnsi="Cambria Math"/>
                    </w:rPr>
                    <m:t>Z</m:t>
                  </m:r>
                </m:e>
                <m:sub>
                  <m:r>
                    <w:rPr>
                      <w:rFonts w:ascii="Cambria Math" w:hAnsi="Cambria Math"/>
                    </w:rPr>
                    <m:t>i</m:t>
                  </m:r>
                </m:sub>
              </m:sSub>
              <m:sSubSup>
                <m:sSubSupPr>
                  <m:ctrlPr>
                    <w:rPr>
                      <w:rFonts w:ascii="Cambria Math" w:hAnsi="Cambria Math"/>
                    </w:rPr>
                  </m:ctrlPr>
                </m:sSubSupPr>
                <m:e>
                  <m:r>
                    <w:rPr>
                      <w:rFonts w:ascii="Cambria Math" w:hAnsi="Cambria Math"/>
                    </w:rPr>
                    <m:t>Q</m:t>
                  </m:r>
                </m:e>
                <m:sub>
                  <m:r>
                    <w:rPr>
                      <w:rFonts w:ascii="Cambria Math" w:hAnsi="Cambria Math"/>
                    </w:rPr>
                    <m:t>i</m:t>
                  </m:r>
                </m:sub>
                <m:sup>
                  <m:r>
                    <w:rPr>
                      <w:rFonts w:ascii="Cambria Math" w:hAnsi="Cambria Math"/>
                    </w:rPr>
                    <m:t>A</m:t>
                  </m:r>
                </m:sup>
              </m:sSubSup>
              <m:r>
                <m:rPr>
                  <m:sty m:val="p"/>
                </m:rPr>
                <w:rPr>
                  <w:rFonts w:ascii="Cambria Math" w:hAnsi="Cambria Math"/>
                </w:rPr>
                <m:t>+</m:t>
              </m:r>
              <m:sSup>
                <m:sSupPr>
                  <m:ctrlPr>
                    <w:rPr>
                      <w:rFonts w:ascii="Cambria Math" w:hAnsi="Cambria Math"/>
                    </w:rPr>
                  </m:ctrlPr>
                </m:sSupPr>
                <m:e>
                  <m:r>
                    <w:rPr>
                      <w:rFonts w:ascii="Cambria Math" w:hAnsi="Cambria Math"/>
                    </w:rPr>
                    <m:t>λ</m:t>
                  </m:r>
                </m:e>
                <m:sup>
                  <m:r>
                    <w:rPr>
                      <w:rFonts w:ascii="Cambria Math" w:hAnsi="Cambria Math"/>
                    </w:rPr>
                    <m:t>NA</m:t>
                  </m:r>
                </m:sup>
              </m:sSup>
              <m:sSub>
                <m:sSubPr>
                  <m:ctrlPr>
                    <w:rPr>
                      <w:rFonts w:ascii="Cambria Math" w:hAnsi="Cambria Math"/>
                    </w:rPr>
                  </m:ctrlPr>
                </m:sSubPr>
                <m:e>
                  <m:r>
                    <w:rPr>
                      <w:rFonts w:ascii="Cambria Math" w:hAnsi="Cambria Math"/>
                    </w:rPr>
                    <m:t>Z</m:t>
                  </m:r>
                </m:e>
                <m:sub>
                  <m:r>
                    <w:rPr>
                      <w:rFonts w:ascii="Cambria Math" w:hAnsi="Cambria Math"/>
                    </w:rPr>
                    <m:t>i</m:t>
                  </m:r>
                </m:sub>
              </m:sSub>
              <m:r>
                <m:rPr>
                  <m:sty m:val="p"/>
                </m:rPr>
                <w:rPr>
                  <w:rFonts w:ascii="Cambria Math" w:hAnsi="Cambria Math"/>
                </w:rPr>
                <m:t>+</m:t>
              </m:r>
              <m:sSup>
                <m:sSupPr>
                  <m:ctrlPr>
                    <w:rPr>
                      <w:rFonts w:ascii="Cambria Math" w:hAnsi="Cambria Math"/>
                    </w:rPr>
                  </m:ctrlPr>
                </m:sSupPr>
                <m:e>
                  <m:sSup>
                    <m:sSupPr>
                      <m:ctrlPr>
                        <w:rPr>
                          <w:rFonts w:ascii="Cambria Math" w:hAnsi="Cambria Math"/>
                        </w:rPr>
                      </m:ctrlPr>
                    </m:sSupPr>
                    <m:e>
                      <m:r>
                        <m:rPr>
                          <m:sty m:val="bi"/>
                        </m:rPr>
                        <w:rPr>
                          <w:rFonts w:ascii="Cambria Math" w:hAnsi="Cambria Math"/>
                        </w:rPr>
                        <m:t>ϕ</m:t>
                      </m:r>
                    </m:e>
                    <m:sup>
                      <m:r>
                        <m:rPr>
                          <m:sty m:val="bi"/>
                        </m:rPr>
                        <w:rPr>
                          <w:rFonts w:ascii="Cambria Math" w:hAnsi="Cambria Math"/>
                        </w:rPr>
                        <m:t>A</m:t>
                      </m:r>
                    </m:sup>
                  </m:sSup>
                </m:e>
                <m:sup>
                  <m:r>
                    <m:rPr>
                      <m:sty m:val="p"/>
                    </m:rPr>
                    <w:rPr>
                      <w:rFonts w:ascii="Cambria Math" w:hAnsi="Cambria Math"/>
                    </w:rPr>
                    <m:t>'</m:t>
                  </m:r>
                </m:sup>
              </m:sSup>
              <m:sSub>
                <m:sSubPr>
                  <m:ctrlPr>
                    <w:rPr>
                      <w:rFonts w:ascii="Cambria Math" w:hAnsi="Cambria Math"/>
                    </w:rPr>
                  </m:ctrlPr>
                </m:sSubPr>
                <m:e>
                  <m:r>
                    <m:rPr>
                      <m:sty m:val="bi"/>
                    </m:rPr>
                    <w:rPr>
                      <w:rFonts w:ascii="Cambria Math" w:hAnsi="Cambria Math"/>
                    </w:rPr>
                    <m:t>X</m:t>
                  </m:r>
                </m:e>
                <m:sub>
                  <m:r>
                    <m:rPr>
                      <m:sty m:val="bi"/>
                    </m:rPr>
                    <w:rPr>
                      <w:rFonts w:ascii="Cambria Math" w:hAnsi="Cambria Math"/>
                    </w:rPr>
                    <m:t>i</m:t>
                  </m:r>
                </m:sub>
              </m:sSub>
              <m:r>
                <m:rPr>
                  <m:sty m:val="p"/>
                </m:rPr>
                <w:rPr>
                  <w:rFonts w:ascii="Cambria Math" w:hAnsi="Cambria Math"/>
                </w:rPr>
                <m:t>+</m:t>
              </m:r>
              <m:sSup>
                <m:sSupPr>
                  <m:ctrlPr>
                    <w:rPr>
                      <w:rFonts w:ascii="Cambria Math" w:hAnsi="Cambria Math"/>
                    </w:rPr>
                  </m:ctrlPr>
                </m:sSupPr>
                <m:e>
                  <m:sSub>
                    <m:sSubPr>
                      <m:ctrlPr>
                        <w:rPr>
                          <w:rFonts w:ascii="Cambria Math" w:hAnsi="Cambria Math"/>
                        </w:rPr>
                      </m:ctrlPr>
                    </m:sSubPr>
                    <m:e>
                      <m:r>
                        <w:rPr>
                          <w:rFonts w:ascii="Cambria Math" w:hAnsi="Cambria Math"/>
                        </w:rPr>
                        <m:t>ξ</m:t>
                      </m:r>
                    </m:e>
                    <m:sub>
                      <m:r>
                        <w:rPr>
                          <w:rFonts w:ascii="Cambria Math" w:hAnsi="Cambria Math"/>
                        </w:rPr>
                        <m:t>i</m:t>
                      </m:r>
                    </m:sub>
                  </m:sSub>
                </m:e>
                <m:sup>
                  <m:r>
                    <w:rPr>
                      <w:rFonts w:ascii="Cambria Math" w:hAnsi="Cambria Math"/>
                    </w:rPr>
                    <m:t>A</m:t>
                  </m:r>
                </m:sup>
              </m:sSup>
              <m:r>
                <m:rPr>
                  <m:sty m:val="p"/>
                </m:rPr>
                <w:rPr>
                  <w:rFonts w:ascii="Cambria Math" w:hAnsi="Cambria Math"/>
                </w:rPr>
                <m:t>#</m:t>
              </m:r>
              <m:d>
                <m:dPr>
                  <m:ctrlPr>
                    <w:rPr>
                      <w:rFonts w:ascii="Cambria Math" w:hAnsi="Cambria Math"/>
                    </w:rPr>
                  </m:ctrlPr>
                </m:dPr>
                <m:e>
                  <m:r>
                    <m:rPr>
                      <m:sty m:val="p"/>
                    </m:rPr>
                    <w:rPr>
                      <w:rFonts w:ascii="Cambria Math" w:hAnsi="Cambria Math"/>
                    </w:rPr>
                    <m:t>7</m:t>
                  </m:r>
                </m:e>
              </m:d>
            </m:e>
          </m:eqArr>
        </m:oMath>
      </m:oMathPara>
    </w:p>
    <w:p w14:paraId="760B4906" w14:textId="77777777" w:rsidR="00270B30" w:rsidRPr="00270B30" w:rsidRDefault="00270B30" w:rsidP="00270B30">
      <w:pPr>
        <w:jc w:val="both"/>
      </w:pPr>
    </w:p>
    <w:p w14:paraId="1B2B5B21" w14:textId="3AE0AA63" w:rsidR="00270B30" w:rsidRDefault="00270B30" w:rsidP="00270B30">
      <w:pPr>
        <w:jc w:val="both"/>
      </w:pPr>
      <w:r w:rsidRPr="00270B30">
        <w:t xml:space="preserve">Where the variables maintain their definitions from before but now </w:t>
      </w:r>
      <m:oMath>
        <m:sSup>
          <m:sSupPr>
            <m:ctrlPr>
              <w:rPr>
                <w:rFonts w:ascii="Cambria Math" w:hAnsi="Cambria Math"/>
              </w:rPr>
            </m:ctrlPr>
          </m:sSupPr>
          <m:e>
            <m:sSub>
              <m:sSubPr>
                <m:ctrlPr>
                  <w:rPr>
                    <w:rFonts w:ascii="Cambria Math" w:hAnsi="Cambria Math"/>
                  </w:rPr>
                </m:ctrlPr>
              </m:sSubPr>
              <m:e>
                <m:r>
                  <m:rPr>
                    <m:sty m:val="p"/>
                  </m:rPr>
                  <w:rPr>
                    <w:rFonts w:ascii="Cambria Math" w:hAnsi="Cambria Math"/>
                  </w:rPr>
                  <m:t>D</m:t>
                </m:r>
              </m:e>
              <m:sub>
                <m:r>
                  <m:rPr>
                    <m:sty m:val="p"/>
                  </m:rPr>
                  <w:rPr>
                    <w:rFonts w:ascii="Cambria Math" w:hAnsi="Cambria Math"/>
                  </w:rPr>
                  <m:t>i</m:t>
                </m:r>
              </m:sub>
            </m:sSub>
          </m:e>
          <m:sup>
            <m:r>
              <m:rPr>
                <m:sty m:val="p"/>
              </m:rPr>
              <w:rPr>
                <w:rFonts w:ascii="Cambria Math" w:hAnsi="Cambria Math"/>
              </w:rPr>
              <m:t>A</m:t>
            </m:r>
          </m:sup>
        </m:sSup>
      </m:oMath>
      <w:r w:rsidRPr="00270B30">
        <w:t xml:space="preserve"> represents attendance for the bridging courses (for which we will use both binary and continuous measures). The resulting estimates for FYSP attendance (</w:t>
      </w:r>
      <m:oMath>
        <m:sSub>
          <m:sSubPr>
            <m:ctrlPr>
              <w:rPr>
                <w:rFonts w:ascii="Cambria Math" w:hAnsi="Cambria Math"/>
              </w:rPr>
            </m:ctrlPr>
          </m:sSubPr>
          <m:e>
            <m:r>
              <m:rPr>
                <m:sty m:val="p"/>
              </m:rPr>
              <w:rPr>
                <w:rFonts w:ascii="Cambria Math" w:hAnsi="Cambria Math"/>
              </w:rPr>
              <m:t>D</m:t>
            </m:r>
          </m:e>
          <m:sub>
            <m:r>
              <m:rPr>
                <m:sty m:val="p"/>
              </m:rPr>
              <w:rPr>
                <w:rFonts w:ascii="Cambria Math" w:hAnsi="Cambria Math"/>
              </w:rPr>
              <m:t>i</m:t>
            </m:r>
          </m:sub>
        </m:sSub>
        <m:r>
          <m:rPr>
            <m:sty m:val="p"/>
          </m:rPr>
          <w:rPr>
            <w:rFonts w:ascii="Cambria Math" w:hAnsi="Cambria Math"/>
          </w:rPr>
          <m:t>)</m:t>
        </m:r>
      </m:oMath>
      <w:r w:rsidRPr="00270B30">
        <w:t xml:space="preserve"> now correspond to the effects of the non-academic components, hence the subscripts </w:t>
      </w:r>
      <m:oMath>
        <m:r>
          <m:rPr>
            <m:sty m:val="p"/>
          </m:rPr>
          <w:rPr>
            <w:rFonts w:ascii="Cambria Math" w:hAnsi="Cambria Math"/>
          </w:rPr>
          <m:t>NA</m:t>
        </m:r>
      </m:oMath>
      <w:r w:rsidRPr="00270B30">
        <w:t xml:space="preserve"> over the respective coefficients </w:t>
      </w:r>
      <m:oMath>
        <m:r>
          <m:rPr>
            <m:sty m:val="p"/>
          </m:rPr>
          <w:rPr>
            <w:rFonts w:ascii="Cambria Math" w:hAnsi="Cambria Math"/>
          </w:rPr>
          <m:t>γ</m:t>
        </m:r>
      </m:oMath>
      <w:r w:rsidRPr="00270B30">
        <w:t xml:space="preserve">, </w:t>
      </w:r>
      <m:oMath>
        <m:r>
          <m:rPr>
            <m:sty m:val="p"/>
          </m:rPr>
          <w:rPr>
            <w:rFonts w:ascii="Cambria Math" w:hAnsi="Cambria Math"/>
          </w:rPr>
          <m:t>π</m:t>
        </m:r>
      </m:oMath>
      <w:r w:rsidRPr="00270B30">
        <w:t xml:space="preserve"> and </w:t>
      </w:r>
      <m:oMath>
        <m:r>
          <m:rPr>
            <m:sty m:val="p"/>
          </m:rPr>
          <w:rPr>
            <w:rFonts w:ascii="Cambria Math" w:hAnsi="Cambria Math"/>
          </w:rPr>
          <m:t>λ</m:t>
        </m:r>
      </m:oMath>
      <w:r w:rsidRPr="00270B30">
        <w:t xml:space="preserve">. </w:t>
      </w:r>
      <m:oMath>
        <m:sSubSup>
          <m:sSubSupPr>
            <m:ctrlPr>
              <w:rPr>
                <w:rFonts w:ascii="Cambria Math" w:hAnsi="Cambria Math"/>
              </w:rPr>
            </m:ctrlPr>
          </m:sSubSupPr>
          <m:e>
            <m:r>
              <m:rPr>
                <m:sty m:val="p"/>
              </m:rPr>
              <w:rPr>
                <w:rFonts w:ascii="Cambria Math" w:hAnsi="Cambria Math"/>
              </w:rPr>
              <m:t>Q</m:t>
            </m:r>
          </m:e>
          <m:sub>
            <m:r>
              <m:rPr>
                <m:sty m:val="p"/>
              </m:rPr>
              <w:rPr>
                <w:rFonts w:ascii="Cambria Math" w:hAnsi="Cambria Math"/>
              </w:rPr>
              <m:t>i</m:t>
            </m:r>
          </m:sub>
          <m:sup>
            <m:r>
              <m:rPr>
                <m:sty m:val="p"/>
              </m:rPr>
              <w:rPr>
                <w:rFonts w:ascii="Cambria Math" w:hAnsi="Cambria Math"/>
              </w:rPr>
              <m:t>A</m:t>
            </m:r>
          </m:sup>
        </m:sSubSup>
      </m:oMath>
      <w:r w:rsidRPr="00270B30">
        <w:t xml:space="preserve"> is a binary indicator for whether a student is enrolled in a degree which is relevant to one of the bridging courses. Similar to our analysis of the overall program effect, we report the OLS and ITT estimates alongside the 2SLS estimate. </w:t>
      </w:r>
    </w:p>
    <w:p w14:paraId="57F57C84" w14:textId="77777777" w:rsidR="00270B30" w:rsidRPr="00270B30" w:rsidRDefault="00270B30" w:rsidP="00270B30">
      <w:pPr>
        <w:jc w:val="both"/>
      </w:pPr>
    </w:p>
    <w:p w14:paraId="6953B762" w14:textId="7FB6CB03" w:rsidR="00270B30" w:rsidRPr="00270B30" w:rsidRDefault="00270B30" w:rsidP="00270B30">
      <w:pPr>
        <w:jc w:val="both"/>
      </w:pPr>
      <w:r w:rsidRPr="00270B30">
        <w:t>In order to interpret this as the separate effect of each program, some additional assumptions are required. These include that (a) the average treatment effect of the FYSP is the same among students in the academic and non-academic components, and (b) that there are no interaction effects among the separate components. We acknowledge that these are strong assumptions, and as a result, the analysis on the separate components will carefully consider this. In addition, we note that the interpretation of this effect can vary depending on additional factors relating to student take-up patterns (Kormos</w:t>
      </w:r>
      <w:bookmarkStart w:id="8" w:name="_GoBack"/>
      <w:bookmarkEnd w:id="8"/>
      <w:r w:rsidRPr="00270B30">
        <w:t xml:space="preserve"> et al., 2025). Additional tests and required assumptions are considered where relevant. If identifying the effects of different program components isn’t feasible, we expect our treatment effect heterogeneity analysis by faculty to be sufficiently informative. Specifically, we examine overall program effects for students in STEM versus non-STEM faculties.</w:t>
      </w:r>
    </w:p>
    <w:p w14:paraId="0F3744A6" w14:textId="59223822" w:rsidR="001F1A10" w:rsidRPr="001F1A10" w:rsidRDefault="001F1A10" w:rsidP="008F4423">
      <w:pPr>
        <w:jc w:val="both"/>
        <w:rPr>
          <w:rFonts w:eastAsiaTheme="minorEastAsia"/>
        </w:rPr>
      </w:pPr>
    </w:p>
    <w:p w14:paraId="614F241B" w14:textId="77777777" w:rsidR="00781AF5" w:rsidRDefault="00781AF5" w:rsidP="008F4423">
      <w:pPr>
        <w:jc w:val="both"/>
      </w:pPr>
    </w:p>
    <w:p w14:paraId="3DD46AF1" w14:textId="2491FC01" w:rsidR="00781AF5" w:rsidRDefault="006120B0" w:rsidP="008F4423">
      <w:pPr>
        <w:pStyle w:val="ListParagraph"/>
        <w:numPr>
          <w:ilvl w:val="0"/>
          <w:numId w:val="1"/>
        </w:numPr>
        <w:jc w:val="both"/>
      </w:pPr>
      <w:r>
        <w:t xml:space="preserve">Main Estimates </w:t>
      </w:r>
      <w:r w:rsidR="00781AF5">
        <w:t xml:space="preserve">Heterogeneity Analysis </w:t>
      </w:r>
    </w:p>
    <w:p w14:paraId="5CF00DCA" w14:textId="77777777" w:rsidR="00781AF5" w:rsidRDefault="00781AF5" w:rsidP="008F4423">
      <w:pPr>
        <w:jc w:val="both"/>
      </w:pPr>
    </w:p>
    <w:p w14:paraId="263441FE" w14:textId="3960DB7B" w:rsidR="00781AF5" w:rsidRDefault="006120B0" w:rsidP="008F4423">
      <w:pPr>
        <w:jc w:val="both"/>
      </w:pPr>
      <w:r>
        <w:t xml:space="preserve">We will </w:t>
      </w:r>
      <w:r w:rsidR="00AE030B">
        <w:t xml:space="preserve">estimate the </w:t>
      </w:r>
      <w:r w:rsidR="000324A9">
        <w:t>overall program effect</w:t>
      </w:r>
      <w:r w:rsidR="009E69B2">
        <w:t xml:space="preserve"> across the three outcomes of interest</w:t>
      </w:r>
      <w:r w:rsidR="00AE030B">
        <w:t xml:space="preserve"> separately for each faculty</w:t>
      </w:r>
      <w:r w:rsidR="004555A6">
        <w:t xml:space="preserve"> and </w:t>
      </w:r>
      <w:r w:rsidR="00B2025B">
        <w:t>equity group</w:t>
      </w:r>
      <w:r w:rsidR="004555A6">
        <w:t xml:space="preserve"> as well as by gender, basis of admission and ATAR. </w:t>
      </w:r>
      <w:r w:rsidR="00D60569">
        <w:t xml:space="preserve">We will also estimate the </w:t>
      </w:r>
      <w:r w:rsidR="00D43F15">
        <w:t>effect of the separate components where possible across</w:t>
      </w:r>
      <w:r w:rsidR="00797CAF">
        <w:t xml:space="preserve"> faculty, equity group, gender</w:t>
      </w:r>
      <w:r w:rsidR="006B3F7D">
        <w:t>, basis of admission and ATAR</w:t>
      </w:r>
      <w:r w:rsidR="00011512">
        <w:t xml:space="preserve">. </w:t>
      </w:r>
      <w:r w:rsidR="006B431C">
        <w:t>This is constrained by the group’s definition</w:t>
      </w:r>
      <w:r w:rsidR="005223BA">
        <w:t xml:space="preserve">. </w:t>
      </w:r>
      <w:r w:rsidR="00111A99">
        <w:t>For example, i</w:t>
      </w:r>
      <w:r w:rsidR="00011512">
        <w:t>t will not be possible to estimate</w:t>
      </w:r>
      <w:r w:rsidR="00111A99">
        <w:t xml:space="preserve"> the effect of</w:t>
      </w:r>
      <w:r w:rsidR="00011512">
        <w:t xml:space="preserve"> t</w:t>
      </w:r>
      <w:r w:rsidR="00111A99">
        <w:t xml:space="preserve">he separate components for women in STEM as there won’t be any variation in the </w:t>
      </w:r>
      <w:r w:rsidR="00797CAF">
        <w:t>additional instrument</w:t>
      </w:r>
      <w:r w:rsidR="005223BA">
        <w:t xml:space="preserve">, as all students in this </w:t>
      </w:r>
      <w:r w:rsidR="005223BA">
        <w:lastRenderedPageBreak/>
        <w:t xml:space="preserve">category </w:t>
      </w:r>
      <w:r w:rsidR="00EF1AEE">
        <w:t>are enrolled in a degree which has a relevant bridging course</w:t>
      </w:r>
      <w:r w:rsidR="00797CAF">
        <w:t>.</w:t>
      </w:r>
      <w:r w:rsidR="00FB21B9">
        <w:t xml:space="preserve"> We expect this heterogeneity analysis to be informative </w:t>
      </w:r>
      <w:r w:rsidR="008166FA">
        <w:t>of the mechanisms through which our identified effect operates.</w:t>
      </w:r>
    </w:p>
    <w:p w14:paraId="15B7B65D" w14:textId="77777777" w:rsidR="00E81E0B" w:rsidRDefault="00E81E0B" w:rsidP="008F4423">
      <w:pPr>
        <w:jc w:val="both"/>
      </w:pPr>
    </w:p>
    <w:p w14:paraId="2E10BC36" w14:textId="670B7C3F" w:rsidR="00733912" w:rsidRDefault="00733912" w:rsidP="008F4423">
      <w:pPr>
        <w:pStyle w:val="ListParagraph"/>
        <w:numPr>
          <w:ilvl w:val="0"/>
          <w:numId w:val="1"/>
        </w:numPr>
        <w:jc w:val="both"/>
      </w:pPr>
      <w:r>
        <w:t>Robustness Checks</w:t>
      </w:r>
    </w:p>
    <w:p w14:paraId="7C42001C" w14:textId="77777777" w:rsidR="00E57745" w:rsidRDefault="00E57745" w:rsidP="008F4423">
      <w:pPr>
        <w:jc w:val="both"/>
      </w:pPr>
    </w:p>
    <w:p w14:paraId="42180242" w14:textId="77777777" w:rsidR="000B7CAB" w:rsidRDefault="00E57745" w:rsidP="008F4423">
      <w:pPr>
        <w:jc w:val="both"/>
      </w:pPr>
      <w:r>
        <w:t xml:space="preserve">We will perform the following checks to ensure the robustness of our results. Firstly, we will formally </w:t>
      </w:r>
      <w:r w:rsidR="006D157C">
        <w:t>estimate the first stage regressions</w:t>
      </w:r>
      <w:r w:rsidR="00B16A4F">
        <w:t xml:space="preserve"> which correspond to </w:t>
      </w:r>
      <w:r w:rsidR="006D157C">
        <w:t>equations</w:t>
      </w:r>
      <w:r w:rsidR="00B16A4F">
        <w:t xml:space="preserve"> (2), (4), (6) and (7) and report the </w:t>
      </w:r>
      <w:r w:rsidR="008C29AF">
        <w:t>F – statistic</w:t>
      </w:r>
      <w:r w:rsidR="002A04BF">
        <w:t xml:space="preserve">. This is best indicator of the strength or relevance of the instrument and will </w:t>
      </w:r>
      <w:r w:rsidR="00644838">
        <w:t xml:space="preserve">allow us to comment on the consequences </w:t>
      </w:r>
      <w:r w:rsidR="00D3115D">
        <w:t xml:space="preserve">for our 2SLS estimates. We will report the first stage F – statistic for all sub-groups </w:t>
      </w:r>
      <w:r w:rsidR="000C0014">
        <w:t>we consider in the preceding heterogeneity analyses</w:t>
      </w:r>
      <w:r w:rsidR="00984E4E">
        <w:t xml:space="preserve"> and conclude whether the sub-group estimation will be </w:t>
      </w:r>
      <w:r w:rsidR="00EF4D8E">
        <w:t>reliable</w:t>
      </w:r>
      <w:r w:rsidR="00730351">
        <w:t xml:space="preserve">. </w:t>
      </w:r>
      <w:r w:rsidR="00DF70C7">
        <w:t xml:space="preserve">In addition to this, we will </w:t>
      </w:r>
      <w:r w:rsidR="00191577">
        <w:t xml:space="preserve">conduct the test for instrument validity as in Kitagawa (2015) as well as </w:t>
      </w:r>
      <w:r w:rsidR="003350D2">
        <w:t xml:space="preserve">report the </w:t>
      </w:r>
      <w:r w:rsidR="007760CA">
        <w:t>take-up rate</w:t>
      </w:r>
      <w:r w:rsidR="005C6469">
        <w:t xml:space="preserve"> by offer status</w:t>
      </w:r>
      <w:r w:rsidR="00CE7AFB">
        <w:t xml:space="preserve">. We will also consider further sources of heterogeneity as they arise </w:t>
      </w:r>
      <w:r w:rsidR="000B7CAB">
        <w:t>and consider interacting the instrument with other variables in order to explore other mechanisms further.</w:t>
      </w:r>
      <w:r w:rsidR="005C6469">
        <w:t xml:space="preserve"> </w:t>
      </w:r>
    </w:p>
    <w:p w14:paraId="59DD1865" w14:textId="77777777" w:rsidR="00574DB6" w:rsidRDefault="00574DB6" w:rsidP="008F4423">
      <w:pPr>
        <w:jc w:val="both"/>
      </w:pPr>
    </w:p>
    <w:p w14:paraId="218B8C7F" w14:textId="40601BD1" w:rsidR="00233389" w:rsidRDefault="00EF4D8E" w:rsidP="008F4423">
      <w:pPr>
        <w:jc w:val="both"/>
      </w:pPr>
      <w:r>
        <w:t>Students will be allowed to withdraw from the study at any point prior to publication</w:t>
      </w:r>
      <w:r w:rsidR="006155D5">
        <w:t xml:space="preserve">. As such, we will comment on and report any non-random attrition. We will </w:t>
      </w:r>
      <w:r w:rsidR="00730351">
        <w:t xml:space="preserve">use baseline characteristics such as faculty and equity group to assess the impact of any non-random attrition. All standard errors reported will be </w:t>
      </w:r>
      <w:r w:rsidR="00F34EDD">
        <w:t>robust standard errors which have been adjusted for heteroskedasticity. For analysis at the student-subject level, we will cluster standard errors by student</w:t>
      </w:r>
      <w:r w:rsidR="002D7CA4">
        <w:t>.</w:t>
      </w:r>
      <w:r w:rsidR="00F34EDD">
        <w:t xml:space="preserve"> </w:t>
      </w:r>
      <w:r w:rsidR="003F2481">
        <w:t>W</w:t>
      </w:r>
      <w:r w:rsidR="004E5724">
        <w:t xml:space="preserve">e will measure standardised grades </w:t>
      </w:r>
      <w:r w:rsidR="00E0213A">
        <w:t xml:space="preserve">using </w:t>
      </w:r>
      <w:r w:rsidR="00233389">
        <w:t>both</w:t>
      </w:r>
      <w:r w:rsidR="00E0213A">
        <w:t xml:space="preserve"> unweighted</w:t>
      </w:r>
      <w:r w:rsidR="00355374">
        <w:t xml:space="preserve"> </w:t>
      </w:r>
      <w:r w:rsidR="00233389">
        <w:t xml:space="preserve">and weighted </w:t>
      </w:r>
      <w:r w:rsidR="00355374">
        <w:t>measure</w:t>
      </w:r>
      <w:r w:rsidR="00233389">
        <w:t>s.</w:t>
      </w:r>
      <w:r w:rsidR="00355374">
        <w:t xml:space="preserve"> </w:t>
      </w:r>
      <w:r w:rsidR="00013A6E">
        <w:t xml:space="preserve">The unweighted measure treats all subjects as </w:t>
      </w:r>
      <w:r w:rsidR="00984405">
        <w:t xml:space="preserve">though </w:t>
      </w:r>
      <w:r w:rsidR="00013A6E">
        <w:t xml:space="preserve">they </w:t>
      </w:r>
      <w:r w:rsidR="00394376">
        <w:t>are</w:t>
      </w:r>
      <w:r w:rsidR="00013A6E">
        <w:t xml:space="preserve"> of equal importance</w:t>
      </w:r>
      <w:r w:rsidR="00BB396F">
        <w:t xml:space="preserve">. For weighted measure, </w:t>
      </w:r>
      <w:r w:rsidR="00A9056D">
        <w:t xml:space="preserve">we will first calculate the standardised scores using the mean and standard deviation of all students. Then, we will apply </w:t>
      </w:r>
      <w:r w:rsidR="004C7675">
        <w:t xml:space="preserve">weights </w:t>
      </w:r>
      <w:r w:rsidR="00394376">
        <w:t>such that</w:t>
      </w:r>
      <w:r w:rsidR="00BD2909">
        <w:t xml:space="preserve"> each </w:t>
      </w:r>
      <w:r w:rsidR="00394376">
        <w:t xml:space="preserve">student’s standardised </w:t>
      </w:r>
      <w:r w:rsidR="00BD2909">
        <w:t>score</w:t>
      </w:r>
      <w:r w:rsidR="00394376">
        <w:t xml:space="preserve"> in each of their subjects</w:t>
      </w:r>
      <w:r w:rsidR="00AE6BEC">
        <w:t xml:space="preserve"> is weighted</w:t>
      </w:r>
      <w:r w:rsidR="00BD2909">
        <w:t xml:space="preserve"> according to how many </w:t>
      </w:r>
      <w:r w:rsidR="0034359D">
        <w:t>credit</w:t>
      </w:r>
      <w:r w:rsidR="00984405">
        <w:t>-</w:t>
      </w:r>
      <w:r w:rsidR="00BD2909">
        <w:t xml:space="preserve">points the subject is worth </w:t>
      </w:r>
      <w:r w:rsidR="008131A8">
        <w:t xml:space="preserve">out of the total amount of credit points taken in that semester. The weighted success rate will also be used in addition to the usual </w:t>
      </w:r>
      <w:r w:rsidR="0034359D">
        <w:t>success rate. This will be calculated by adding up all the credit points for subjects passed and dividing this by the sum of all credit points taken that semester.</w:t>
      </w:r>
    </w:p>
    <w:p w14:paraId="7C8831A2" w14:textId="37DFDB73" w:rsidR="00233389" w:rsidRDefault="00233389" w:rsidP="008F4423">
      <w:pPr>
        <w:jc w:val="both"/>
      </w:pPr>
    </w:p>
    <w:p w14:paraId="21F2AD4F" w14:textId="28CC0B93" w:rsidR="00270B30" w:rsidRDefault="00270B30" w:rsidP="00270B30">
      <w:pPr>
        <w:pStyle w:val="ListParagraph"/>
        <w:numPr>
          <w:ilvl w:val="0"/>
          <w:numId w:val="1"/>
        </w:numPr>
        <w:jc w:val="both"/>
      </w:pPr>
      <w:r>
        <w:t>References</w:t>
      </w:r>
    </w:p>
    <w:p w14:paraId="34D1A55A" w14:textId="77777777" w:rsidR="0038192F" w:rsidRDefault="0038192F" w:rsidP="008F4423">
      <w:pPr>
        <w:jc w:val="both"/>
      </w:pPr>
    </w:p>
    <w:p w14:paraId="1B4C319F" w14:textId="77777777" w:rsidR="00270B30" w:rsidRPr="00270B30" w:rsidRDefault="00270B30" w:rsidP="00270B30">
      <w:pPr>
        <w:tabs>
          <w:tab w:val="left" w:pos="3570"/>
        </w:tabs>
        <w:ind w:right="32"/>
      </w:pPr>
      <w:r w:rsidRPr="00270B30">
        <w:t xml:space="preserve">Kormos, M., Lieli, R. P., &amp; Huber, M. (2025). Interacting Treatments with Endogenous </w:t>
      </w:r>
      <w:proofErr w:type="spellStart"/>
      <w:r w:rsidRPr="00270B30">
        <w:t>Takeup</w:t>
      </w:r>
      <w:proofErr w:type="spellEnd"/>
      <w:r w:rsidRPr="00270B30">
        <w:t xml:space="preserve">. Journal of Applied Econometrics, 40(4), 424–437. </w:t>
      </w:r>
    </w:p>
    <w:p w14:paraId="00E8732A" w14:textId="77777777" w:rsidR="00F664B8" w:rsidRDefault="00F664B8" w:rsidP="008F4423">
      <w:pPr>
        <w:jc w:val="both"/>
      </w:pPr>
    </w:p>
    <w:p w14:paraId="484EE5AB" w14:textId="77777777" w:rsidR="006C1FE5" w:rsidRDefault="006C1FE5" w:rsidP="008F4423">
      <w:pPr>
        <w:jc w:val="both"/>
      </w:pPr>
    </w:p>
    <w:p w14:paraId="53731116" w14:textId="371D6885" w:rsidR="00733912" w:rsidRDefault="00733912" w:rsidP="008F4423">
      <w:pPr>
        <w:jc w:val="both"/>
      </w:pPr>
    </w:p>
    <w:p w14:paraId="7E3F87C3" w14:textId="66482EB0" w:rsidR="00026B4A" w:rsidRDefault="00026B4A" w:rsidP="008F4423">
      <w:pPr>
        <w:jc w:val="both"/>
      </w:pPr>
    </w:p>
    <w:p w14:paraId="7A33F0AC" w14:textId="35A4F56A" w:rsidR="00026B4A" w:rsidRDefault="00026B4A" w:rsidP="008F4423">
      <w:pPr>
        <w:jc w:val="both"/>
      </w:pPr>
    </w:p>
    <w:p w14:paraId="1467B1F6" w14:textId="6922E4A9" w:rsidR="00026B4A" w:rsidRDefault="00026B4A" w:rsidP="008F4423">
      <w:pPr>
        <w:jc w:val="both"/>
      </w:pPr>
    </w:p>
    <w:p w14:paraId="7AAB0D5E" w14:textId="0F2CD785" w:rsidR="00026B4A" w:rsidRDefault="00026B4A" w:rsidP="008F4423">
      <w:pPr>
        <w:jc w:val="both"/>
      </w:pPr>
    </w:p>
    <w:p w14:paraId="62EE03FA" w14:textId="77777777" w:rsidR="003244BC" w:rsidRDefault="003244BC" w:rsidP="008F4423">
      <w:pPr>
        <w:jc w:val="both"/>
      </w:pPr>
    </w:p>
    <w:p w14:paraId="1BA8B36A" w14:textId="77777777" w:rsidR="003244BC" w:rsidRDefault="003244BC" w:rsidP="008F4423">
      <w:pPr>
        <w:jc w:val="both"/>
      </w:pPr>
    </w:p>
    <w:p w14:paraId="06CC3901" w14:textId="2A425CE4" w:rsidR="003244BC" w:rsidRDefault="003244BC" w:rsidP="008F4423">
      <w:pPr>
        <w:jc w:val="both"/>
      </w:pPr>
      <w:r>
        <w:t xml:space="preserve"> </w:t>
      </w:r>
    </w:p>
    <w:sectPr w:rsidR="003244BC">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Mario Fiorini" w:date="2025-06-10T11:03:00Z" w:initials="MF">
    <w:p w14:paraId="34E65F90" w14:textId="77777777" w:rsidR="00CF219A" w:rsidRDefault="00CF219A" w:rsidP="00CF219A">
      <w:r>
        <w:rPr>
          <w:rStyle w:val="CommentReference"/>
        </w:rPr>
        <w:annotationRef/>
      </w:r>
      <w:r>
        <w:rPr>
          <w:sz w:val="20"/>
          <w:szCs w:val="20"/>
        </w:rPr>
        <w:t>I am assuming this means dropping out of the program, and not the subject. But could be made clearer</w:t>
      </w:r>
    </w:p>
  </w:comment>
  <w:comment w:id="1" w:author="Christopher Carter" w:date="2025-06-10T13:50:00Z" w:initials="CC">
    <w:p w14:paraId="645353E5" w14:textId="77777777" w:rsidR="00544E9A" w:rsidRDefault="00544E9A" w:rsidP="00544E9A">
      <w:r>
        <w:rPr>
          <w:rStyle w:val="CommentReference"/>
        </w:rPr>
        <w:annotationRef/>
      </w:r>
      <w:r>
        <w:rPr>
          <w:sz w:val="20"/>
          <w:szCs w:val="20"/>
        </w:rPr>
        <w:t>Good point thanks</w:t>
      </w:r>
    </w:p>
  </w:comment>
  <w:comment w:id="2" w:author="Mario Fiorini" w:date="2025-06-10T12:06:00Z" w:initials="MF">
    <w:p w14:paraId="4B2B5606" w14:textId="77777777" w:rsidR="00014B4F" w:rsidRDefault="00014B4F" w:rsidP="00014B4F">
      <w:r>
        <w:rPr>
          <w:rStyle w:val="CommentReference"/>
        </w:rPr>
        <w:annotationRef/>
      </w:r>
      <w:r>
        <w:rPr>
          <w:sz w:val="20"/>
          <w:szCs w:val="20"/>
        </w:rPr>
        <w:t xml:space="preserve">Do we know which subjects they took in High School? E.g. for their HSC? I think we should have this information. It could be an important control, especially when dealing with selection into a particular faculty/degree. </w:t>
      </w:r>
    </w:p>
  </w:comment>
  <w:comment w:id="3" w:author="Christopher Carter" w:date="2025-06-10T13:51:00Z" w:initials="CC">
    <w:p w14:paraId="361CE2C6" w14:textId="77777777" w:rsidR="00972547" w:rsidRDefault="00972547" w:rsidP="00972547">
      <w:r>
        <w:rPr>
          <w:rStyle w:val="CommentReference"/>
        </w:rPr>
        <w:annotationRef/>
      </w:r>
      <w:r>
        <w:rPr>
          <w:sz w:val="20"/>
          <w:szCs w:val="20"/>
        </w:rPr>
        <w:t>Thanks Mario that’s a great idea - let me follow up with someone and see if we can get this information.</w:t>
      </w:r>
    </w:p>
  </w:comment>
  <w:comment w:id="4" w:author="Mario Fiorini" w:date="2025-06-10T11:06:00Z" w:initials="MF">
    <w:p w14:paraId="6A14D8BE" w14:textId="1BCFC312" w:rsidR="00EE0740" w:rsidRDefault="00EE0740" w:rsidP="00EE0740">
      <w:r>
        <w:rPr>
          <w:rStyle w:val="CommentReference"/>
        </w:rPr>
        <w:annotationRef/>
      </w:r>
      <w:r>
        <w:rPr>
          <w:sz w:val="20"/>
          <w:szCs w:val="20"/>
        </w:rPr>
        <w:t>Are you going to have subject FE in equations (3) and (4)?</w:t>
      </w:r>
    </w:p>
    <w:p w14:paraId="4BF54A7E" w14:textId="77777777" w:rsidR="00EE0740" w:rsidRDefault="00EE0740" w:rsidP="00EE0740"/>
  </w:comment>
  <w:comment w:id="5" w:author="Christopher Carter" w:date="2025-06-10T13:52:00Z" w:initials="CC">
    <w:p w14:paraId="5C05B061" w14:textId="77777777" w:rsidR="0034503A" w:rsidRDefault="0034503A" w:rsidP="0034503A">
      <w:r>
        <w:rPr>
          <w:rStyle w:val="CommentReference"/>
        </w:rPr>
        <w:annotationRef/>
      </w:r>
      <w:r>
        <w:rPr>
          <w:sz w:val="20"/>
          <w:szCs w:val="20"/>
        </w:rPr>
        <w:t>Ah good point - If the outcome doesn’t vary by subject then I guess it is redundant right? I should clarify that we will only use degree and faculty FE for (3) and (4)</w:t>
      </w:r>
    </w:p>
  </w:comment>
  <w:comment w:id="6" w:author="Mario Fiorini" w:date="2025-06-10T11:09:00Z" w:initials="MF">
    <w:p w14:paraId="6A13B98B" w14:textId="7D047271" w:rsidR="008644FF" w:rsidRDefault="001F772E" w:rsidP="008644FF">
      <w:r>
        <w:rPr>
          <w:rStyle w:val="CommentReference"/>
        </w:rPr>
        <w:annotationRef/>
      </w:r>
      <w:r w:rsidR="008644FF">
        <w:rPr>
          <w:sz w:val="20"/>
          <w:szCs w:val="20"/>
        </w:rPr>
        <w:t>i.e. 0&lt;P(D=1|X)&lt;1 or the weaker P(D=1|X)&lt;1. The former is needed for an ATE, the latter for the ATT.</w:t>
      </w:r>
      <w:r w:rsidR="008644FF">
        <w:rPr>
          <w:sz w:val="20"/>
          <w:szCs w:val="20"/>
        </w:rPr>
        <w:cr/>
      </w:r>
    </w:p>
  </w:comment>
  <w:comment w:id="7" w:author="Christopher Carter" w:date="2025-06-10T14:02:00Z" w:initials="CC">
    <w:p w14:paraId="7D6126D6" w14:textId="77777777" w:rsidR="00E272CB" w:rsidRDefault="00E272CB" w:rsidP="00E272CB">
      <w:r>
        <w:rPr>
          <w:rStyle w:val="CommentReference"/>
        </w:rPr>
        <w:annotationRef/>
      </w:r>
      <w:r>
        <w:rPr>
          <w:sz w:val="20"/>
          <w:szCs w:val="20"/>
        </w:rPr>
        <w:t xml:space="preserve">Thanks - I’ve used the stronger example and said that if this is the case then we can’t estimate the subject fixed effects…but this only matters for precision right?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4E65F90" w15:done="1"/>
  <w15:commentEx w15:paraId="645353E5" w15:paraIdParent="34E65F90" w15:done="1"/>
  <w15:commentEx w15:paraId="4B2B5606" w15:done="1"/>
  <w15:commentEx w15:paraId="361CE2C6" w15:paraIdParent="4B2B5606" w15:done="1"/>
  <w15:commentEx w15:paraId="4BF54A7E" w15:done="1"/>
  <w15:commentEx w15:paraId="5C05B061" w15:paraIdParent="4BF54A7E" w15:done="1"/>
  <w15:commentEx w15:paraId="6A13B98B" w15:done="1"/>
  <w15:commentEx w15:paraId="7D6126D6" w15:paraIdParent="6A13B98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BE506BD" w16cex:dateUtc="2025-06-10T01:03:00Z"/>
  <w16cex:commentExtensible w16cex:durableId="3E999E6E" w16cex:dateUtc="2025-06-10T03:50:00Z"/>
  <w16cex:commentExtensible w16cex:durableId="208D9A84" w16cex:dateUtc="2025-06-10T02:06:00Z"/>
  <w16cex:commentExtensible w16cex:durableId="40E10FAC" w16cex:dateUtc="2025-06-10T03:51:00Z"/>
  <w16cex:commentExtensible w16cex:durableId="03E93055" w16cex:dateUtc="2025-06-10T01:06:00Z"/>
  <w16cex:commentExtensible w16cex:durableId="2912B479" w16cex:dateUtc="2025-06-10T03:52:00Z"/>
  <w16cex:commentExtensible w16cex:durableId="1736CC66" w16cex:dateUtc="2025-06-10T01:09:00Z"/>
  <w16cex:commentExtensible w16cex:durableId="05177773" w16cex:dateUtc="2025-06-10T04:02:00Z"/>
  <w16cex:commentExtensible w16cex:durableId="169C8D04" w16cex:dateUtc="2025-06-10T02:05:00Z"/>
  <w16cex:commentExtensible w16cex:durableId="31508692" w16cex:dateUtc="2025-06-10T04:07:00Z"/>
  <w16cex:commentExtensible w16cex:durableId="32762C51" w16cex:dateUtc="2025-06-10T04:08:00Z"/>
  <w16cex:commentExtensible w16cex:durableId="24402D8D" w16cex:dateUtc="2025-06-10T05:25:00Z"/>
  <w16cex:commentExtensible w16cex:durableId="6993CD81" w16cex:dateUtc="2025-06-10T05: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4E65F90" w16cid:durableId="0BE506BD"/>
  <w16cid:commentId w16cid:paraId="645353E5" w16cid:durableId="3E999E6E"/>
  <w16cid:commentId w16cid:paraId="4B2B5606" w16cid:durableId="208D9A84"/>
  <w16cid:commentId w16cid:paraId="361CE2C6" w16cid:durableId="40E10FAC"/>
  <w16cid:commentId w16cid:paraId="4BF54A7E" w16cid:durableId="03E93055"/>
  <w16cid:commentId w16cid:paraId="5C05B061" w16cid:durableId="2912B479"/>
  <w16cid:commentId w16cid:paraId="6A13B98B" w16cid:durableId="1736CC66"/>
  <w16cid:commentId w16cid:paraId="7D6126D6" w16cid:durableId="0517777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036C3" w14:textId="77777777" w:rsidR="005B3524" w:rsidRDefault="005B3524" w:rsidP="00C84731">
      <w:r>
        <w:separator/>
      </w:r>
    </w:p>
  </w:endnote>
  <w:endnote w:type="continuationSeparator" w:id="0">
    <w:p w14:paraId="6BA524A8" w14:textId="77777777" w:rsidR="005B3524" w:rsidRDefault="005B3524" w:rsidP="00C84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04638D" w14:textId="77777777" w:rsidR="005B3524" w:rsidRDefault="005B3524" w:rsidP="00C84731">
      <w:r>
        <w:separator/>
      </w:r>
    </w:p>
  </w:footnote>
  <w:footnote w:type="continuationSeparator" w:id="0">
    <w:p w14:paraId="3703CC89" w14:textId="77777777" w:rsidR="005B3524" w:rsidRDefault="005B3524" w:rsidP="00C847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121E1"/>
    <w:multiLevelType w:val="hybridMultilevel"/>
    <w:tmpl w:val="B7049368"/>
    <w:lvl w:ilvl="0" w:tplc="0032CECA">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7403EE"/>
    <w:multiLevelType w:val="hybridMultilevel"/>
    <w:tmpl w:val="FDBCD1F8"/>
    <w:lvl w:ilvl="0" w:tplc="818C4380">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B34A7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io Fiorini">
    <w15:presenceInfo w15:providerId="AD" w15:userId="S::Mario.Fiorini@uts.edu.au::2a42cf19-b646-4f8b-8e0e-bd26e7593b03"/>
  </w15:person>
  <w15:person w15:author="Christopher Carter">
    <w15:presenceInfo w15:providerId="AD" w15:userId="S::Christopher.Carter@student.uts.edu.au::ab22e11d-78dc-4d0c-a367-6983da7652d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F39"/>
    <w:rsid w:val="0000273C"/>
    <w:rsid w:val="00011512"/>
    <w:rsid w:val="00013A6E"/>
    <w:rsid w:val="00014B4F"/>
    <w:rsid w:val="00017FEB"/>
    <w:rsid w:val="00026B4A"/>
    <w:rsid w:val="000324A9"/>
    <w:rsid w:val="00062D12"/>
    <w:rsid w:val="00062F88"/>
    <w:rsid w:val="0007444B"/>
    <w:rsid w:val="00076AFD"/>
    <w:rsid w:val="0009655F"/>
    <w:rsid w:val="00097CAA"/>
    <w:rsid w:val="000B011F"/>
    <w:rsid w:val="000B7CAB"/>
    <w:rsid w:val="000C0014"/>
    <w:rsid w:val="000C1B43"/>
    <w:rsid w:val="000C3B30"/>
    <w:rsid w:val="000C6EEE"/>
    <w:rsid w:val="000D65CC"/>
    <w:rsid w:val="000E22F0"/>
    <w:rsid w:val="000F1994"/>
    <w:rsid w:val="000F7495"/>
    <w:rsid w:val="00106959"/>
    <w:rsid w:val="00111A99"/>
    <w:rsid w:val="00114250"/>
    <w:rsid w:val="00121CA3"/>
    <w:rsid w:val="00130027"/>
    <w:rsid w:val="001428AD"/>
    <w:rsid w:val="00142DE1"/>
    <w:rsid w:val="001558F3"/>
    <w:rsid w:val="001652E8"/>
    <w:rsid w:val="00191577"/>
    <w:rsid w:val="001A4EF8"/>
    <w:rsid w:val="001A646A"/>
    <w:rsid w:val="001B4EC4"/>
    <w:rsid w:val="001C353C"/>
    <w:rsid w:val="001D7D8F"/>
    <w:rsid w:val="001E7BBF"/>
    <w:rsid w:val="001F1A10"/>
    <w:rsid w:val="001F5FE1"/>
    <w:rsid w:val="001F772E"/>
    <w:rsid w:val="00201293"/>
    <w:rsid w:val="0021042C"/>
    <w:rsid w:val="00212718"/>
    <w:rsid w:val="00215D60"/>
    <w:rsid w:val="00227955"/>
    <w:rsid w:val="00233389"/>
    <w:rsid w:val="00251D4C"/>
    <w:rsid w:val="00252B32"/>
    <w:rsid w:val="002546E5"/>
    <w:rsid w:val="00257BA7"/>
    <w:rsid w:val="00264138"/>
    <w:rsid w:val="00270B30"/>
    <w:rsid w:val="00271141"/>
    <w:rsid w:val="00274915"/>
    <w:rsid w:val="002852C5"/>
    <w:rsid w:val="00290494"/>
    <w:rsid w:val="0029207F"/>
    <w:rsid w:val="002A04BF"/>
    <w:rsid w:val="002A43A1"/>
    <w:rsid w:val="002C2995"/>
    <w:rsid w:val="002D2713"/>
    <w:rsid w:val="002D7CA4"/>
    <w:rsid w:val="002F2904"/>
    <w:rsid w:val="002F2CED"/>
    <w:rsid w:val="002F3E81"/>
    <w:rsid w:val="003031BF"/>
    <w:rsid w:val="00313DC2"/>
    <w:rsid w:val="003244BC"/>
    <w:rsid w:val="00330CC0"/>
    <w:rsid w:val="003350D2"/>
    <w:rsid w:val="003370F4"/>
    <w:rsid w:val="00342FB1"/>
    <w:rsid w:val="00342FB8"/>
    <w:rsid w:val="0034359D"/>
    <w:rsid w:val="0034503A"/>
    <w:rsid w:val="00355374"/>
    <w:rsid w:val="00367DF2"/>
    <w:rsid w:val="00367FBA"/>
    <w:rsid w:val="00376635"/>
    <w:rsid w:val="00376D6A"/>
    <w:rsid w:val="0038192F"/>
    <w:rsid w:val="00383E96"/>
    <w:rsid w:val="00386FFD"/>
    <w:rsid w:val="00394376"/>
    <w:rsid w:val="003E0DFB"/>
    <w:rsid w:val="003F0D62"/>
    <w:rsid w:val="003F2481"/>
    <w:rsid w:val="003F6124"/>
    <w:rsid w:val="0040117F"/>
    <w:rsid w:val="0040708A"/>
    <w:rsid w:val="00423A7C"/>
    <w:rsid w:val="0044038E"/>
    <w:rsid w:val="004555A6"/>
    <w:rsid w:val="00461471"/>
    <w:rsid w:val="00464B29"/>
    <w:rsid w:val="00470351"/>
    <w:rsid w:val="0047043B"/>
    <w:rsid w:val="00480FCE"/>
    <w:rsid w:val="00487154"/>
    <w:rsid w:val="00492AFB"/>
    <w:rsid w:val="00494FFB"/>
    <w:rsid w:val="004A1114"/>
    <w:rsid w:val="004A1BE2"/>
    <w:rsid w:val="004A634A"/>
    <w:rsid w:val="004A74E4"/>
    <w:rsid w:val="004B0637"/>
    <w:rsid w:val="004B5184"/>
    <w:rsid w:val="004B79AF"/>
    <w:rsid w:val="004C7675"/>
    <w:rsid w:val="004E32D3"/>
    <w:rsid w:val="004E5724"/>
    <w:rsid w:val="00503A24"/>
    <w:rsid w:val="00507168"/>
    <w:rsid w:val="00516695"/>
    <w:rsid w:val="005223BA"/>
    <w:rsid w:val="00544E9A"/>
    <w:rsid w:val="0057051F"/>
    <w:rsid w:val="00574DB6"/>
    <w:rsid w:val="00586D93"/>
    <w:rsid w:val="00591DA1"/>
    <w:rsid w:val="005959A5"/>
    <w:rsid w:val="005A021B"/>
    <w:rsid w:val="005A2386"/>
    <w:rsid w:val="005B3524"/>
    <w:rsid w:val="005B5C57"/>
    <w:rsid w:val="005C5752"/>
    <w:rsid w:val="005C6469"/>
    <w:rsid w:val="005D30CF"/>
    <w:rsid w:val="005E4DD4"/>
    <w:rsid w:val="005F404A"/>
    <w:rsid w:val="005F7B8A"/>
    <w:rsid w:val="00603561"/>
    <w:rsid w:val="006120B0"/>
    <w:rsid w:val="00613055"/>
    <w:rsid w:val="006155D5"/>
    <w:rsid w:val="0062655B"/>
    <w:rsid w:val="0063139B"/>
    <w:rsid w:val="00644838"/>
    <w:rsid w:val="0065154F"/>
    <w:rsid w:val="00657AA6"/>
    <w:rsid w:val="00680E28"/>
    <w:rsid w:val="00687B8B"/>
    <w:rsid w:val="006941D4"/>
    <w:rsid w:val="00696194"/>
    <w:rsid w:val="00697CB9"/>
    <w:rsid w:val="00697E12"/>
    <w:rsid w:val="006A23E7"/>
    <w:rsid w:val="006A48EC"/>
    <w:rsid w:val="006B27CF"/>
    <w:rsid w:val="006B39B3"/>
    <w:rsid w:val="006B3F7D"/>
    <w:rsid w:val="006B431C"/>
    <w:rsid w:val="006B79ED"/>
    <w:rsid w:val="006C0ECA"/>
    <w:rsid w:val="006C1FE5"/>
    <w:rsid w:val="006C6B6B"/>
    <w:rsid w:val="006D157C"/>
    <w:rsid w:val="006D1AD3"/>
    <w:rsid w:val="006D4EA7"/>
    <w:rsid w:val="006D6461"/>
    <w:rsid w:val="006D6812"/>
    <w:rsid w:val="006E2A4F"/>
    <w:rsid w:val="006E2E16"/>
    <w:rsid w:val="006E3BFC"/>
    <w:rsid w:val="006F0E8A"/>
    <w:rsid w:val="006F5A5A"/>
    <w:rsid w:val="006F6F67"/>
    <w:rsid w:val="00707DF0"/>
    <w:rsid w:val="0071308B"/>
    <w:rsid w:val="007146D4"/>
    <w:rsid w:val="00720B66"/>
    <w:rsid w:val="0072507F"/>
    <w:rsid w:val="00726AC0"/>
    <w:rsid w:val="0072751B"/>
    <w:rsid w:val="007275F4"/>
    <w:rsid w:val="00727632"/>
    <w:rsid w:val="00727B44"/>
    <w:rsid w:val="00730351"/>
    <w:rsid w:val="007313AC"/>
    <w:rsid w:val="00732035"/>
    <w:rsid w:val="00733912"/>
    <w:rsid w:val="00757DA0"/>
    <w:rsid w:val="007760CA"/>
    <w:rsid w:val="00781AF5"/>
    <w:rsid w:val="00783C84"/>
    <w:rsid w:val="00794503"/>
    <w:rsid w:val="00797CAF"/>
    <w:rsid w:val="007A3FBA"/>
    <w:rsid w:val="007C0E47"/>
    <w:rsid w:val="007C0E93"/>
    <w:rsid w:val="007C55F4"/>
    <w:rsid w:val="007D345C"/>
    <w:rsid w:val="007D5BA8"/>
    <w:rsid w:val="007E4492"/>
    <w:rsid w:val="007E5105"/>
    <w:rsid w:val="008036DB"/>
    <w:rsid w:val="00805806"/>
    <w:rsid w:val="00812AD1"/>
    <w:rsid w:val="008131A8"/>
    <w:rsid w:val="008166FA"/>
    <w:rsid w:val="00826A49"/>
    <w:rsid w:val="00842E02"/>
    <w:rsid w:val="00844A3A"/>
    <w:rsid w:val="0085510C"/>
    <w:rsid w:val="008644FF"/>
    <w:rsid w:val="00876654"/>
    <w:rsid w:val="008A2C94"/>
    <w:rsid w:val="008B0A4F"/>
    <w:rsid w:val="008B7BFF"/>
    <w:rsid w:val="008C29AF"/>
    <w:rsid w:val="008C2E11"/>
    <w:rsid w:val="008C6A89"/>
    <w:rsid w:val="008F09FE"/>
    <w:rsid w:val="008F4423"/>
    <w:rsid w:val="00937304"/>
    <w:rsid w:val="00937C4D"/>
    <w:rsid w:val="00941B32"/>
    <w:rsid w:val="00966B8D"/>
    <w:rsid w:val="00970DCC"/>
    <w:rsid w:val="00972547"/>
    <w:rsid w:val="00976A7B"/>
    <w:rsid w:val="009772D5"/>
    <w:rsid w:val="00984405"/>
    <w:rsid w:val="00984E4E"/>
    <w:rsid w:val="00990D6A"/>
    <w:rsid w:val="009A3D61"/>
    <w:rsid w:val="009C1400"/>
    <w:rsid w:val="009C330B"/>
    <w:rsid w:val="009C7D4C"/>
    <w:rsid w:val="009D43E5"/>
    <w:rsid w:val="009E2639"/>
    <w:rsid w:val="009E69B2"/>
    <w:rsid w:val="009E69D5"/>
    <w:rsid w:val="00A137ED"/>
    <w:rsid w:val="00A171FC"/>
    <w:rsid w:val="00A301BF"/>
    <w:rsid w:val="00A36C55"/>
    <w:rsid w:val="00A51D33"/>
    <w:rsid w:val="00A5254F"/>
    <w:rsid w:val="00A55194"/>
    <w:rsid w:val="00A55CF4"/>
    <w:rsid w:val="00A76CB0"/>
    <w:rsid w:val="00A9056D"/>
    <w:rsid w:val="00A97D4B"/>
    <w:rsid w:val="00AA336B"/>
    <w:rsid w:val="00AA33A4"/>
    <w:rsid w:val="00AB41EF"/>
    <w:rsid w:val="00AD01A9"/>
    <w:rsid w:val="00AD6B05"/>
    <w:rsid w:val="00AE030B"/>
    <w:rsid w:val="00AE0969"/>
    <w:rsid w:val="00AE5EF7"/>
    <w:rsid w:val="00AE6BEC"/>
    <w:rsid w:val="00B01136"/>
    <w:rsid w:val="00B101A7"/>
    <w:rsid w:val="00B16A4F"/>
    <w:rsid w:val="00B2025B"/>
    <w:rsid w:val="00B249AE"/>
    <w:rsid w:val="00B264FB"/>
    <w:rsid w:val="00B27291"/>
    <w:rsid w:val="00B31C80"/>
    <w:rsid w:val="00B57F39"/>
    <w:rsid w:val="00B6287A"/>
    <w:rsid w:val="00B77951"/>
    <w:rsid w:val="00B84D97"/>
    <w:rsid w:val="00B91733"/>
    <w:rsid w:val="00B92CAA"/>
    <w:rsid w:val="00BA4ABA"/>
    <w:rsid w:val="00BB396F"/>
    <w:rsid w:val="00BB53B5"/>
    <w:rsid w:val="00BB6393"/>
    <w:rsid w:val="00BC2833"/>
    <w:rsid w:val="00BD2909"/>
    <w:rsid w:val="00BF0425"/>
    <w:rsid w:val="00BF240F"/>
    <w:rsid w:val="00BF57BB"/>
    <w:rsid w:val="00C02ADD"/>
    <w:rsid w:val="00C037CC"/>
    <w:rsid w:val="00C27ECE"/>
    <w:rsid w:val="00C3188A"/>
    <w:rsid w:val="00C45F47"/>
    <w:rsid w:val="00C80F76"/>
    <w:rsid w:val="00C84731"/>
    <w:rsid w:val="00C87B66"/>
    <w:rsid w:val="00C91895"/>
    <w:rsid w:val="00C964D5"/>
    <w:rsid w:val="00CD1941"/>
    <w:rsid w:val="00CD2618"/>
    <w:rsid w:val="00CD2F2E"/>
    <w:rsid w:val="00CE3AB1"/>
    <w:rsid w:val="00CE7AFB"/>
    <w:rsid w:val="00CF219A"/>
    <w:rsid w:val="00D001B0"/>
    <w:rsid w:val="00D03E95"/>
    <w:rsid w:val="00D133F8"/>
    <w:rsid w:val="00D13471"/>
    <w:rsid w:val="00D17034"/>
    <w:rsid w:val="00D25A8F"/>
    <w:rsid w:val="00D3115D"/>
    <w:rsid w:val="00D33347"/>
    <w:rsid w:val="00D339A7"/>
    <w:rsid w:val="00D35BD9"/>
    <w:rsid w:val="00D424B9"/>
    <w:rsid w:val="00D43F15"/>
    <w:rsid w:val="00D47E92"/>
    <w:rsid w:val="00D60569"/>
    <w:rsid w:val="00D77108"/>
    <w:rsid w:val="00D87232"/>
    <w:rsid w:val="00D87958"/>
    <w:rsid w:val="00D90082"/>
    <w:rsid w:val="00DA03BA"/>
    <w:rsid w:val="00DA5971"/>
    <w:rsid w:val="00DA5FF0"/>
    <w:rsid w:val="00DA7722"/>
    <w:rsid w:val="00DB50E8"/>
    <w:rsid w:val="00DB7066"/>
    <w:rsid w:val="00DF1B64"/>
    <w:rsid w:val="00DF70C7"/>
    <w:rsid w:val="00E00E67"/>
    <w:rsid w:val="00E0213A"/>
    <w:rsid w:val="00E027D8"/>
    <w:rsid w:val="00E06D8E"/>
    <w:rsid w:val="00E15350"/>
    <w:rsid w:val="00E1567B"/>
    <w:rsid w:val="00E272CB"/>
    <w:rsid w:val="00E32D80"/>
    <w:rsid w:val="00E57745"/>
    <w:rsid w:val="00E703BB"/>
    <w:rsid w:val="00E70C1E"/>
    <w:rsid w:val="00E81E0B"/>
    <w:rsid w:val="00E926B3"/>
    <w:rsid w:val="00E933CE"/>
    <w:rsid w:val="00EA0243"/>
    <w:rsid w:val="00EA4D97"/>
    <w:rsid w:val="00EA53E9"/>
    <w:rsid w:val="00EE0740"/>
    <w:rsid w:val="00EE78ED"/>
    <w:rsid w:val="00EF1AEE"/>
    <w:rsid w:val="00EF430F"/>
    <w:rsid w:val="00EF4D8E"/>
    <w:rsid w:val="00F212E8"/>
    <w:rsid w:val="00F26E13"/>
    <w:rsid w:val="00F27540"/>
    <w:rsid w:val="00F279F0"/>
    <w:rsid w:val="00F31F6D"/>
    <w:rsid w:val="00F34EDD"/>
    <w:rsid w:val="00F4028E"/>
    <w:rsid w:val="00F54C6E"/>
    <w:rsid w:val="00F54E95"/>
    <w:rsid w:val="00F664B8"/>
    <w:rsid w:val="00F72709"/>
    <w:rsid w:val="00F72FD8"/>
    <w:rsid w:val="00F75D63"/>
    <w:rsid w:val="00F85247"/>
    <w:rsid w:val="00F85900"/>
    <w:rsid w:val="00FA0C8B"/>
    <w:rsid w:val="00FA30F4"/>
    <w:rsid w:val="00FA6D49"/>
    <w:rsid w:val="00FB21B9"/>
    <w:rsid w:val="00FB7040"/>
    <w:rsid w:val="00FE06C5"/>
    <w:rsid w:val="00FE5086"/>
    <w:rsid w:val="00FE582A"/>
    <w:rsid w:val="00FF2188"/>
    <w:rsid w:val="00FF24BF"/>
    <w:rsid w:val="00FF4A1D"/>
    <w:rsid w:val="01BC0171"/>
    <w:rsid w:val="070C7F20"/>
    <w:rsid w:val="0A42DFEB"/>
    <w:rsid w:val="0D892995"/>
    <w:rsid w:val="10A9C5C2"/>
    <w:rsid w:val="11A4E1C1"/>
    <w:rsid w:val="1D2097DE"/>
    <w:rsid w:val="23D1CE8C"/>
    <w:rsid w:val="2472C25A"/>
    <w:rsid w:val="28FD8B0E"/>
    <w:rsid w:val="2CA9FCC9"/>
    <w:rsid w:val="3023131C"/>
    <w:rsid w:val="3868268A"/>
    <w:rsid w:val="3FFDE6B7"/>
    <w:rsid w:val="4041186A"/>
    <w:rsid w:val="442E55A0"/>
    <w:rsid w:val="4B7635BF"/>
    <w:rsid w:val="4C913B58"/>
    <w:rsid w:val="515D6FA6"/>
    <w:rsid w:val="5172266D"/>
    <w:rsid w:val="537652A8"/>
    <w:rsid w:val="55AD2428"/>
    <w:rsid w:val="57306B43"/>
    <w:rsid w:val="57A24CAA"/>
    <w:rsid w:val="5B707859"/>
    <w:rsid w:val="685F071D"/>
    <w:rsid w:val="78496A07"/>
    <w:rsid w:val="7BCA5870"/>
    <w:rsid w:val="7CF28B9F"/>
    <w:rsid w:val="7E0D5340"/>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6DCD3"/>
  <w15:chartTrackingRefBased/>
  <w15:docId w15:val="{DDD89D07-E78C-49BE-BB51-1A16E69B5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7F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7F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7F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7F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7F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7F3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7F3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7F3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7F3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F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7F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7F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7F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7F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7F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7F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7F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7F39"/>
    <w:rPr>
      <w:rFonts w:eastAsiaTheme="majorEastAsia" w:cstheme="majorBidi"/>
      <w:color w:val="272727" w:themeColor="text1" w:themeTint="D8"/>
    </w:rPr>
  </w:style>
  <w:style w:type="paragraph" w:styleId="Title">
    <w:name w:val="Title"/>
    <w:basedOn w:val="Normal"/>
    <w:next w:val="Normal"/>
    <w:link w:val="TitleChar"/>
    <w:uiPriority w:val="10"/>
    <w:qFormat/>
    <w:rsid w:val="00B57F3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7F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7F3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7F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7F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7F39"/>
    <w:rPr>
      <w:i/>
      <w:iCs/>
      <w:color w:val="404040" w:themeColor="text1" w:themeTint="BF"/>
    </w:rPr>
  </w:style>
  <w:style w:type="paragraph" w:styleId="ListParagraph">
    <w:name w:val="List Paragraph"/>
    <w:basedOn w:val="Normal"/>
    <w:uiPriority w:val="34"/>
    <w:qFormat/>
    <w:rsid w:val="00B57F39"/>
    <w:pPr>
      <w:ind w:left="720"/>
      <w:contextualSpacing/>
    </w:pPr>
  </w:style>
  <w:style w:type="character" w:styleId="IntenseEmphasis">
    <w:name w:val="Intense Emphasis"/>
    <w:basedOn w:val="DefaultParagraphFont"/>
    <w:uiPriority w:val="21"/>
    <w:qFormat/>
    <w:rsid w:val="00B57F39"/>
    <w:rPr>
      <w:i/>
      <w:iCs/>
      <w:color w:val="0F4761" w:themeColor="accent1" w:themeShade="BF"/>
    </w:rPr>
  </w:style>
  <w:style w:type="paragraph" w:styleId="IntenseQuote">
    <w:name w:val="Intense Quote"/>
    <w:basedOn w:val="Normal"/>
    <w:next w:val="Normal"/>
    <w:link w:val="IntenseQuoteChar"/>
    <w:uiPriority w:val="30"/>
    <w:qFormat/>
    <w:rsid w:val="00B57F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7F39"/>
    <w:rPr>
      <w:i/>
      <w:iCs/>
      <w:color w:val="0F4761" w:themeColor="accent1" w:themeShade="BF"/>
    </w:rPr>
  </w:style>
  <w:style w:type="character" w:styleId="IntenseReference">
    <w:name w:val="Intense Reference"/>
    <w:basedOn w:val="DefaultParagraphFont"/>
    <w:uiPriority w:val="32"/>
    <w:qFormat/>
    <w:rsid w:val="00B57F39"/>
    <w:rPr>
      <w:b/>
      <w:bCs/>
      <w:smallCaps/>
      <w:color w:val="0F4761" w:themeColor="accent1" w:themeShade="BF"/>
      <w:spacing w:val="5"/>
    </w:rPr>
  </w:style>
  <w:style w:type="character" w:styleId="PlaceholderText">
    <w:name w:val="Placeholder Text"/>
    <w:basedOn w:val="DefaultParagraphFont"/>
    <w:uiPriority w:val="99"/>
    <w:semiHidden/>
    <w:rsid w:val="00E1567B"/>
    <w:rPr>
      <w:color w:val="666666"/>
    </w:rPr>
  </w:style>
  <w:style w:type="character" w:styleId="CommentReference">
    <w:name w:val="annotation reference"/>
    <w:basedOn w:val="DefaultParagraphFont"/>
    <w:uiPriority w:val="99"/>
    <w:semiHidden/>
    <w:unhideWhenUsed/>
    <w:rsid w:val="00CF219A"/>
    <w:rPr>
      <w:sz w:val="16"/>
      <w:szCs w:val="16"/>
    </w:rPr>
  </w:style>
  <w:style w:type="paragraph" w:styleId="CommentText">
    <w:name w:val="annotation text"/>
    <w:basedOn w:val="Normal"/>
    <w:link w:val="CommentTextChar"/>
    <w:uiPriority w:val="99"/>
    <w:semiHidden/>
    <w:unhideWhenUsed/>
    <w:rsid w:val="00CF219A"/>
    <w:rPr>
      <w:sz w:val="20"/>
      <w:szCs w:val="20"/>
    </w:rPr>
  </w:style>
  <w:style w:type="character" w:customStyle="1" w:styleId="CommentTextChar">
    <w:name w:val="Comment Text Char"/>
    <w:basedOn w:val="DefaultParagraphFont"/>
    <w:link w:val="CommentText"/>
    <w:uiPriority w:val="99"/>
    <w:semiHidden/>
    <w:rsid w:val="00CF219A"/>
    <w:rPr>
      <w:sz w:val="20"/>
      <w:szCs w:val="20"/>
    </w:rPr>
  </w:style>
  <w:style w:type="paragraph" w:styleId="CommentSubject">
    <w:name w:val="annotation subject"/>
    <w:basedOn w:val="CommentText"/>
    <w:next w:val="CommentText"/>
    <w:link w:val="CommentSubjectChar"/>
    <w:uiPriority w:val="99"/>
    <w:semiHidden/>
    <w:unhideWhenUsed/>
    <w:rsid w:val="00CF219A"/>
    <w:rPr>
      <w:b/>
      <w:bCs/>
    </w:rPr>
  </w:style>
  <w:style w:type="character" w:customStyle="1" w:styleId="CommentSubjectChar">
    <w:name w:val="Comment Subject Char"/>
    <w:basedOn w:val="CommentTextChar"/>
    <w:link w:val="CommentSubject"/>
    <w:uiPriority w:val="99"/>
    <w:semiHidden/>
    <w:rsid w:val="00CF219A"/>
    <w:rPr>
      <w:b/>
      <w:bCs/>
      <w:sz w:val="20"/>
      <w:szCs w:val="20"/>
    </w:rPr>
  </w:style>
  <w:style w:type="paragraph" w:styleId="Header">
    <w:name w:val="header"/>
    <w:basedOn w:val="Normal"/>
    <w:link w:val="HeaderChar"/>
    <w:uiPriority w:val="99"/>
    <w:semiHidden/>
    <w:unhideWhenUsed/>
    <w:rsid w:val="001C353C"/>
    <w:pPr>
      <w:tabs>
        <w:tab w:val="center" w:pos="4513"/>
        <w:tab w:val="right" w:pos="9026"/>
      </w:tabs>
    </w:pPr>
  </w:style>
  <w:style w:type="character" w:customStyle="1" w:styleId="HeaderChar">
    <w:name w:val="Header Char"/>
    <w:basedOn w:val="DefaultParagraphFont"/>
    <w:link w:val="Header"/>
    <w:uiPriority w:val="99"/>
    <w:semiHidden/>
    <w:rsid w:val="001C353C"/>
  </w:style>
  <w:style w:type="paragraph" w:styleId="Footer">
    <w:name w:val="footer"/>
    <w:basedOn w:val="Normal"/>
    <w:link w:val="FooterChar"/>
    <w:uiPriority w:val="99"/>
    <w:semiHidden/>
    <w:unhideWhenUsed/>
    <w:rsid w:val="001C353C"/>
    <w:pPr>
      <w:tabs>
        <w:tab w:val="center" w:pos="4513"/>
        <w:tab w:val="right" w:pos="9026"/>
      </w:tabs>
    </w:pPr>
  </w:style>
  <w:style w:type="character" w:customStyle="1" w:styleId="FooterChar">
    <w:name w:val="Footer Char"/>
    <w:basedOn w:val="DefaultParagraphFont"/>
    <w:link w:val="Footer"/>
    <w:uiPriority w:val="99"/>
    <w:semiHidden/>
    <w:rsid w:val="001C353C"/>
  </w:style>
  <w:style w:type="paragraph" w:styleId="BalloonText">
    <w:name w:val="Balloon Text"/>
    <w:basedOn w:val="Normal"/>
    <w:link w:val="BalloonTextChar"/>
    <w:uiPriority w:val="99"/>
    <w:semiHidden/>
    <w:unhideWhenUsed/>
    <w:rsid w:val="00251D4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1D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72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1782</Words>
  <Characters>10160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Carter</dc:creator>
  <cp:keywords/>
  <dc:description/>
  <cp:lastModifiedBy>Christopher Carter</cp:lastModifiedBy>
  <cp:revision>314</cp:revision>
  <dcterms:created xsi:type="dcterms:W3CDTF">2025-06-04T22:06:00Z</dcterms:created>
  <dcterms:modified xsi:type="dcterms:W3CDTF">2025-08-12T22:35:00Z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1a6c3db-1667-4f49-995a-8b9973972958_Enabled">
    <vt:lpwstr>true</vt:lpwstr>
  </property>
  <property fmtid="{D5CDD505-2E9C-101B-9397-08002B2CF9AE}" pid="3" name="MSIP_Label_51a6c3db-1667-4f49-995a-8b9973972958_SetDate">
    <vt:lpwstr>2025-06-04T05:06:12Z</vt:lpwstr>
  </property>
  <property fmtid="{D5CDD505-2E9C-101B-9397-08002B2CF9AE}" pid="4" name="MSIP_Label_51a6c3db-1667-4f49-995a-8b9973972958_Method">
    <vt:lpwstr>Standard</vt:lpwstr>
  </property>
  <property fmtid="{D5CDD505-2E9C-101B-9397-08002B2CF9AE}" pid="5" name="MSIP_Label_51a6c3db-1667-4f49-995a-8b9973972958_Name">
    <vt:lpwstr>UTS-Internal</vt:lpwstr>
  </property>
  <property fmtid="{D5CDD505-2E9C-101B-9397-08002B2CF9AE}" pid="6" name="MSIP_Label_51a6c3db-1667-4f49-995a-8b9973972958_SiteId">
    <vt:lpwstr>e8911c26-cf9f-4a9c-878e-527807be8791</vt:lpwstr>
  </property>
  <property fmtid="{D5CDD505-2E9C-101B-9397-08002B2CF9AE}" pid="7" name="MSIP_Label_51a6c3db-1667-4f49-995a-8b9973972958_ActionId">
    <vt:lpwstr>c38af505-9eee-4d24-be6b-986b290dc8c0</vt:lpwstr>
  </property>
  <property fmtid="{D5CDD505-2E9C-101B-9397-08002B2CF9AE}" pid="8" name="MSIP_Label_51a6c3db-1667-4f49-995a-8b9973972958_ContentBits">
    <vt:lpwstr>0</vt:lpwstr>
  </property>
  <property fmtid="{D5CDD505-2E9C-101B-9397-08002B2CF9AE}" pid="9" name="MSIP_Label_51a6c3db-1667-4f49-995a-8b9973972958_Tag">
    <vt:lpwstr>10, 3, 0, 2</vt:lpwstr>
  </property>
</Properties>
</file>