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646FC" w14:textId="3BB08C6A" w:rsidR="001958AE" w:rsidRPr="001958AE" w:rsidRDefault="001958AE" w:rsidP="001958AE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Analysis Plan (AEA Attachment)</w:t>
      </w:r>
    </w:p>
    <w:p w14:paraId="1B6F665E" w14:textId="77777777" w:rsidR="004D2118" w:rsidRDefault="004D2118" w:rsidP="004D2118">
      <w:pPr>
        <w:pStyle w:val="whitespace-normal"/>
      </w:pPr>
      <w:r>
        <w:t>This note summarises the analytical approach for estimating the causal effect of classroom-level assignment to Gemini-supported mathematics on student achievement. It is intentionally high-level: it sets principles without committing to specific auxiliary covariates or tuning parameters that may evolve with data quality checks.</w:t>
      </w:r>
    </w:p>
    <w:p w14:paraId="1BB6D78D" w14:textId="772DF993" w:rsidR="004D2118" w:rsidRDefault="004D2118" w:rsidP="004D2118">
      <w:pPr>
        <w:pStyle w:val="whitespace-normal"/>
      </w:pPr>
      <w:r>
        <w:t>The trial randomises entire classrooms within school</w:t>
      </w:r>
      <w:r w:rsidR="00152C56">
        <w:t xml:space="preserve"> </w:t>
      </w:r>
      <w:r>
        <w:t>×</w:t>
      </w:r>
      <w:r w:rsidR="00152C56">
        <w:t xml:space="preserve"> </w:t>
      </w:r>
      <w:r>
        <w:t>grade</w:t>
      </w:r>
      <w:r w:rsidR="00152C56">
        <w:t xml:space="preserve"> </w:t>
      </w:r>
      <w:r>
        <w:t>×</w:t>
      </w:r>
      <w:r w:rsidR="00152C56">
        <w:t xml:space="preserve"> </w:t>
      </w:r>
      <w:r>
        <w:t>teacher strata (JSS1 and JSS2) in Port Loko District. Identification comes from within-stratum comparisons; standard errors are clustered at the classroom level.</w:t>
      </w:r>
    </w:p>
    <w:p w14:paraId="507806ED" w14:textId="77777777" w:rsidR="004D2118" w:rsidRDefault="004D2118" w:rsidP="004D2118">
      <w:pPr>
        <w:pStyle w:val="whitespace-normal"/>
      </w:pPr>
      <w:r>
        <w:t>The primary outcome is student mathematics achievement, measured at baseline and endline with curriculum-aligned multiple-choice assessments administered on paper. Reading Comprehension is collected at baseline only and used as a pre-specified precision covariate and for heterogeneity analysis; it is not a confirmatory outcome.</w:t>
      </w:r>
    </w:p>
    <w:p w14:paraId="5E1A43AB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Outcome standardisation</w:t>
      </w:r>
    </w:p>
    <w:p w14:paraId="30A2CDBD" w14:textId="77777777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Maths (and the baseline Reading Comprehension covariate) are analysed using Item Response Theory to obtain interval-scale ability estimates and enable valid change measurement over time. We will fit a 3-parameter logistic (3PL) model for dichotomous items to account for guessing in multiple-choice formats. For item </w:t>
      </w:r>
      <w:proofErr w:type="spellStart"/>
      <w:r w:rsidRPr="001958A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</w:t>
      </w:r>
      <w:proofErr w:type="spellEnd"/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latent ability θ, the model is:</w:t>
      </w:r>
    </w:p>
    <w:p w14:paraId="70BBA499" w14:textId="77777777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P(Xᵢ=1 | θ) = cᵢ + (1 − cᵢ) · [1 / (1 + exp(−aᵢ(θ − bᵢ)))],</w:t>
      </w:r>
    </w:p>
    <w:p w14:paraId="69A672B9" w14:textId="77777777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where </w:t>
      </w:r>
      <w:r w:rsidRPr="001958A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aᵢ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item discrimination, </w:t>
      </w:r>
      <w:r w:rsidRPr="001958A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bᵢ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item difficulty, and </w:t>
      </w:r>
      <w:r w:rsidRPr="001958A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cᵢ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pseudo-guessing (lower asymptote). Ability scores will be placed on a common scale via concurrent calibration of baseline and endline responses so that change is interpretable on an interval metric. Scores will then be linearly transformed to a reporting scale with mean 500 and standard deviation 100.</w:t>
      </w:r>
    </w:p>
    <w:p w14:paraId="318C07B0" w14:textId="77777777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Psychometric quality checks will include descriptive item statistics (e.g., percent correct, non-functioning items), item discrimination review, reliability indices, and an item–person map to judge targeting. Dimensionality and local independence will be assessed using principal components analysis of residuals and residual-correlation diagnostics; items with poor fit without substantive justification may be excluded from the final scale. Item Characteristic Curves and model fit summaries will be reported. </w:t>
      </w:r>
      <w:proofErr w:type="spellStart"/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jMetrik</w:t>
      </w:r>
      <w:proofErr w:type="spellEnd"/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(or equivalent IRT software) will be used to implement these steps.</w:t>
      </w:r>
    </w:p>
    <w:p w14:paraId="640FB4AA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Primary estimand (ITT)</w:t>
      </w:r>
    </w:p>
    <w:p w14:paraId="22A4BD8D" w14:textId="2E4453D1" w:rsidR="004D2118" w:rsidRDefault="004D2118" w:rsidP="004D2118">
      <w:pPr>
        <w:pStyle w:val="whitespace-normal"/>
      </w:pPr>
      <w:r>
        <w:t>The primary analysis is an ANCOVA at the student level: endline mathematics (scaled ability) regressed on the randomised classroom assignment indicator, adjusting for baseline mathematics (scaled ability) and baseline Reading Comprehension (scaled ability) as pre-specified precision covariates. Models absorb school</w:t>
      </w:r>
      <w:r w:rsidR="009C2659">
        <w:t xml:space="preserve"> </w:t>
      </w:r>
      <w:r>
        <w:t>×</w:t>
      </w:r>
      <w:r w:rsidR="009C2659">
        <w:t xml:space="preserve"> </w:t>
      </w:r>
      <w:r>
        <w:t>grade</w:t>
      </w:r>
      <w:r w:rsidR="009C2659">
        <w:t xml:space="preserve"> </w:t>
      </w:r>
      <w:r>
        <w:t>×</w:t>
      </w:r>
      <w:r w:rsidR="009C2659">
        <w:t xml:space="preserve"> </w:t>
      </w:r>
      <w:r>
        <w:t xml:space="preserve">teacher fixed effects; standard errors are clustered at the classroom level. A parsimonious set of student-level background covariates and at least one pre-treatment classroom-level covariate (e.g., baseline class mean </w:t>
      </w:r>
      <w:r>
        <w:lastRenderedPageBreak/>
        <w:t>maths or a composite of baseline class means) may be included to improve precision, without affecting identification. We will report the coefficient, 95% CI, p-value, and standardised effect size.</w:t>
      </w:r>
    </w:p>
    <w:p w14:paraId="25088784" w14:textId="77777777" w:rsidR="004D2118" w:rsidRDefault="004D2118" w:rsidP="004D2118">
      <w:pPr>
        <w:pStyle w:val="whitespace-normal"/>
      </w:pPr>
      <w:r>
        <w:t>As a secondary ITT estimand, we will fit an endline-only model that includes all students with an observed endline score (regardless of baseline availability), controlling for classroom-level baseline means (e.g., maths or a maths–English composite) and the same stratum fixed effects, with clustering at the classroom level.</w:t>
      </w:r>
    </w:p>
    <w:p w14:paraId="5B252FE4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Attrition and sensitivity</w:t>
      </w:r>
    </w:p>
    <w:p w14:paraId="4E4DA683" w14:textId="1F579AA7" w:rsidR="004D2118" w:rsidRDefault="004D2118" w:rsidP="004D2118">
      <w:pPr>
        <w:pStyle w:val="whitespace-normal"/>
      </w:pPr>
      <w:r>
        <w:t>We will present a CONSORT-style flow and baseline balance by arm (absorbing school</w:t>
      </w:r>
      <w:r w:rsidR="009C2659">
        <w:t xml:space="preserve"> </w:t>
      </w:r>
      <w:r>
        <w:t>×</w:t>
      </w:r>
      <w:r w:rsidR="009C2659">
        <w:t xml:space="preserve"> </w:t>
      </w:r>
      <w:r>
        <w:t>grade</w:t>
      </w:r>
      <w:r w:rsidR="009C2659">
        <w:t xml:space="preserve"> </w:t>
      </w:r>
      <w:r>
        <w:t>×</w:t>
      </w:r>
      <w:r w:rsidR="009C2659">
        <w:t xml:space="preserve"> </w:t>
      </w:r>
      <w:r>
        <w:t>teacher). Follow-up rates will be reported overall and by stratum. We will regress an endline-observation indicator on treatment and key baselines (including maths, Reading Comprehension, sex, and age) with school</w:t>
      </w:r>
      <w:r w:rsidR="009C2659">
        <w:t xml:space="preserve"> </w:t>
      </w:r>
      <w:r>
        <w:t>×</w:t>
      </w:r>
      <w:r w:rsidR="009C2659">
        <w:t xml:space="preserve"> </w:t>
      </w:r>
      <w:r>
        <w:t>grade</w:t>
      </w:r>
      <w:r w:rsidR="009C2659">
        <w:t xml:space="preserve"> </w:t>
      </w:r>
      <w:r>
        <w:t>×</w:t>
      </w:r>
      <w:r w:rsidR="009C2659">
        <w:t xml:space="preserve"> </w:t>
      </w:r>
      <w:r>
        <w:t>teacher fixed effects to assess predictors of missingness.</w:t>
      </w:r>
    </w:p>
    <w:p w14:paraId="13F9BE58" w14:textId="77777777" w:rsidR="004D2118" w:rsidRDefault="004D2118" w:rsidP="004D2118">
      <w:pPr>
        <w:pStyle w:val="whitespace-normal"/>
      </w:pPr>
      <w:r>
        <w:t>Decision rules are as follows. If arm-level follow-up differs by more than 10 percentage points, we will report Lee bounds as attrition-robust worst/best-case estimates. If attrition relates to baseline covariates but not treatment, we will add inverse-probability weighting and multiple imputation as MAR-based sensitivity checks. If treatment predicts attrition, Lee bounds will be emphasised; MAR-based results may be shown but interpreted cautiously. Primary inference remains the complete-case ANCOVA.</w:t>
      </w:r>
    </w:p>
    <w:p w14:paraId="0CD7145B" w14:textId="497CA834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2348E79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Heterogeneity</w:t>
      </w:r>
    </w:p>
    <w:p w14:paraId="254A8044" w14:textId="16F22BB5" w:rsidR="001958AE" w:rsidRPr="001958AE" w:rsidRDefault="004D2118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D211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will examine pre-specified heterogeneity by grade (JSS1 vs JSS2), baseline English proficiency (e.g., below/above within-grade median on the Reading Comprehension baseline scale), and teacher baseline maths knowledge (e.g., below/above median). Interaction terms will be added to the primary ANCOVA while retaining covariates and stratum fixed effects. We will report subgroup estimates with 95% CIs. To account modestly for multiplicity across these dimensions, we will control the false discovery rate at q=0.10 and also report unadjusted p-values</w:t>
      </w:r>
      <w:r w:rsidR="001958AE"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6276F0B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Treatment-on-the-treated (exposure–response)</w:t>
      </w:r>
    </w:p>
    <w:p w14:paraId="21DBD7A2" w14:textId="6043D426" w:rsidR="001958AE" w:rsidRPr="001958AE" w:rsidRDefault="004D2118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D211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will estimate local average treatment effects using two-stage least squares with student-level dosage (share of scheduled treatment lessons actually attended; 0–1) instrumented by classroom assignment. The outcome equation mirrors the ITT specification (same covariates and stratum fixed effects; clustering at classroom). We will report first-stage strength (coefficient and F-statistic) and discuss monotonicity/exclusion. Where relevant, we will explore heterogeneity of the dosage effect by baseline literacy via interaction terms, instrumented accordingly. If student-level first stages are weak or classroom-level delivery varies markedly, we will complement with a classroom-dosage TOT (e.g., realised share of planned sessions delivered, or class-mean dosage), again instrumented by assignment</w:t>
      </w:r>
      <w:r w:rsidR="001958AE"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9EC2524" w14:textId="77777777" w:rsidR="001958AE" w:rsidRPr="001958AE" w:rsidRDefault="001958AE" w:rsidP="001958A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lastRenderedPageBreak/>
        <w:t>Parameters, power, and reporting</w:t>
      </w:r>
    </w:p>
    <w:p w14:paraId="43598DE6" w14:textId="3EF87CDB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All tests are two-tailed at α=0.05. </w:t>
      </w:r>
    </w:p>
    <w:p w14:paraId="5DA596C1" w14:textId="05EB0656" w:rsidR="001958AE" w:rsidRPr="001958AE" w:rsidRDefault="001958AE" w:rsidP="001958AE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For transparency, we will pre-register the randomisation seed, archive the school</w:t>
      </w:r>
      <w:r w:rsidR="009C265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×</w:t>
      </w:r>
      <w:r w:rsidR="009C265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grade</w:t>
      </w:r>
      <w:r w:rsidR="009C265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3078D"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×</w:t>
      </w:r>
      <w:r w:rsidR="009C265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83078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teacher</w:t>
      </w:r>
      <w:r w:rsidRPr="001958A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rosters used for assignment, and publish code to reproduce locked outcome scales and the primary estimands. Any deviations from this plan will be documented and justified in the final report.</w:t>
      </w:r>
    </w:p>
    <w:p w14:paraId="2DAC76A6" w14:textId="77777777" w:rsidR="00182008" w:rsidRDefault="00182008"/>
    <w:sectPr w:rsidR="00182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8AE"/>
    <w:rsid w:val="00152C56"/>
    <w:rsid w:val="00182008"/>
    <w:rsid w:val="001958AE"/>
    <w:rsid w:val="001E4EC6"/>
    <w:rsid w:val="00226DB1"/>
    <w:rsid w:val="00352CA8"/>
    <w:rsid w:val="00392F46"/>
    <w:rsid w:val="00410962"/>
    <w:rsid w:val="004D2118"/>
    <w:rsid w:val="00654183"/>
    <w:rsid w:val="0075719C"/>
    <w:rsid w:val="007B5A91"/>
    <w:rsid w:val="0083078D"/>
    <w:rsid w:val="00830E94"/>
    <w:rsid w:val="008577D3"/>
    <w:rsid w:val="00927644"/>
    <w:rsid w:val="009C2659"/>
    <w:rsid w:val="00A37315"/>
    <w:rsid w:val="00D955EA"/>
    <w:rsid w:val="00DD16E7"/>
    <w:rsid w:val="00E01038"/>
    <w:rsid w:val="00E308FB"/>
    <w:rsid w:val="00EC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9796E"/>
  <w15:chartTrackingRefBased/>
  <w15:docId w15:val="{89290060-AEC4-EF42-B1D6-E2DCE82E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5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8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8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8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8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">
    <w:name w:val="Grid Table 1 Light"/>
    <w:basedOn w:val="TableNormal"/>
    <w:uiPriority w:val="46"/>
    <w:rsid w:val="00D955EA"/>
    <w:rPr>
      <w:rFonts w:ascii="Arial" w:eastAsia="Cambria" w:hAnsi="Arial" w:cs="Times New Roman"/>
      <w:color w:val="595959"/>
      <w:kern w:val="0"/>
      <w:sz w:val="20"/>
      <w:szCs w:val="28"/>
      <w:lang w:val="en-US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ffff">
    <w:name w:val="ffff"/>
    <w:basedOn w:val="TableNormal"/>
    <w:uiPriority w:val="99"/>
    <w:rsid w:val="00E308FB"/>
    <w:rPr>
      <w:rFonts w:ascii="Arial" w:eastAsia="Cambria" w:hAnsi="Arial" w:cs="Times New Roman"/>
      <w:color w:val="595959"/>
      <w:kern w:val="0"/>
      <w:szCs w:val="28"/>
      <w:lang w:val="en-US"/>
      <w14:ligatures w14:val="none"/>
    </w:rPr>
    <w:tblPr/>
  </w:style>
  <w:style w:type="table" w:customStyle="1" w:styleId="paper">
    <w:name w:val="paper"/>
    <w:basedOn w:val="TableNormal"/>
    <w:uiPriority w:val="99"/>
    <w:rsid w:val="001E4EC6"/>
    <w:rPr>
      <w:rFonts w:ascii="Garamond" w:hAnsi="Garamond"/>
      <w:sz w:val="21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195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95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8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8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8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8A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958A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1958AE"/>
    <w:rPr>
      <w:i/>
      <w:iCs/>
    </w:rPr>
  </w:style>
  <w:style w:type="paragraph" w:customStyle="1" w:styleId="whitespace-normal">
    <w:name w:val="whitespace-normal"/>
    <w:basedOn w:val="Normal"/>
    <w:rsid w:val="004D211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Valdes Aspillaga</dc:creator>
  <cp:keywords/>
  <dc:description/>
  <cp:lastModifiedBy>Usman Khawar</cp:lastModifiedBy>
  <cp:revision>6</cp:revision>
  <dcterms:created xsi:type="dcterms:W3CDTF">2025-09-06T14:13:00Z</dcterms:created>
  <dcterms:modified xsi:type="dcterms:W3CDTF">2025-09-18T10:17:00Z</dcterms:modified>
</cp:coreProperties>
</file>