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EB9E2" w14:textId="1CA40E91" w:rsidR="009C265B" w:rsidRPr="006F41A3" w:rsidRDefault="00DD4BE3" w:rsidP="00C92D09">
      <w:pPr>
        <w:pStyle w:val="Heading1"/>
        <w:spacing w:after="0" w:line="276" w:lineRule="auto"/>
        <w:rPr>
          <w:rFonts w:ascii="Times New Roman" w:hAnsi="Times New Roman" w:cs="Times New Roman"/>
          <w:b/>
          <w:bCs/>
          <w:sz w:val="36"/>
          <w:szCs w:val="36"/>
        </w:rPr>
      </w:pPr>
      <w:r w:rsidRPr="006F41A3">
        <w:rPr>
          <w:rFonts w:ascii="Times New Roman" w:hAnsi="Times New Roman" w:cs="Times New Roman"/>
          <w:b/>
          <w:bCs/>
          <w:sz w:val="36"/>
          <w:szCs w:val="36"/>
        </w:rPr>
        <w:t>Pre-Analysis Plan</w:t>
      </w:r>
    </w:p>
    <w:p w14:paraId="52F6E293" w14:textId="77777777" w:rsidR="00DD4BE3" w:rsidRPr="006F41A3" w:rsidRDefault="00DD4BE3" w:rsidP="00DD4BE3">
      <w:pPr>
        <w:textDirection w:val="btLr"/>
        <w:rPr>
          <w:rFonts w:ascii="Times New Roman" w:eastAsiaTheme="majorEastAsia" w:hAnsi="Times New Roman" w:cs="Times New Roman"/>
          <w:color w:val="0F4761" w:themeColor="accent1" w:themeShade="BF"/>
          <w:sz w:val="36"/>
          <w:szCs w:val="36"/>
        </w:rPr>
      </w:pPr>
      <w:r w:rsidRPr="006F41A3">
        <w:rPr>
          <w:rFonts w:ascii="Times New Roman" w:eastAsiaTheme="majorEastAsia" w:hAnsi="Times New Roman" w:cs="Times New Roman"/>
          <w:color w:val="0F4761" w:themeColor="accent1" w:themeShade="BF"/>
          <w:sz w:val="36"/>
          <w:szCs w:val="36"/>
        </w:rPr>
        <w:t>Rapid Evaluation of the Impact of Gemini Guided Learning on Students’ Mathematics Scores in Junior Secondary Schools in Sierra Leone</w:t>
      </w:r>
    </w:p>
    <w:p w14:paraId="66F16F0B" w14:textId="77777777" w:rsidR="00DD4BE3" w:rsidRPr="006F41A3" w:rsidRDefault="00DD4BE3" w:rsidP="00DD4BE3">
      <w:pPr>
        <w:rPr>
          <w:rFonts w:ascii="Times New Roman" w:hAnsi="Times New Roman" w:cs="Times New Roman"/>
        </w:rPr>
      </w:pPr>
    </w:p>
    <w:p w14:paraId="19425A4E" w14:textId="77777777" w:rsidR="00DD4BE3" w:rsidRPr="006F41A3" w:rsidRDefault="00DD4BE3" w:rsidP="00DD4BE3">
      <w:pPr>
        <w:rPr>
          <w:rFonts w:ascii="Times New Roman" w:hAnsi="Times New Roman" w:cs="Times New Roman"/>
        </w:rPr>
      </w:pPr>
    </w:p>
    <w:p w14:paraId="027F1D92" w14:textId="77777777" w:rsidR="00DD4BE3" w:rsidRPr="006F41A3" w:rsidRDefault="00DD4BE3">
      <w:pPr>
        <w:rPr>
          <w:rFonts w:ascii="Times New Roman" w:eastAsiaTheme="majorEastAsia" w:hAnsi="Times New Roman" w:cs="Times New Roman"/>
          <w:color w:val="0F4761" w:themeColor="accent1" w:themeShade="BF"/>
          <w:sz w:val="32"/>
          <w:szCs w:val="32"/>
        </w:rPr>
      </w:pPr>
      <w:r w:rsidRPr="006F41A3">
        <w:rPr>
          <w:rFonts w:ascii="Times New Roman" w:hAnsi="Times New Roman" w:cs="Times New Roman"/>
        </w:rPr>
        <w:br w:type="page"/>
      </w:r>
    </w:p>
    <w:p w14:paraId="52D8DDA6" w14:textId="77777777" w:rsidR="00780548" w:rsidRPr="006F41A3" w:rsidRDefault="00780548" w:rsidP="002740EB">
      <w:pPr>
        <w:pStyle w:val="Heading2"/>
      </w:pPr>
      <w:r w:rsidRPr="002740EB">
        <w:lastRenderedPageBreak/>
        <w:t>Introduction</w:t>
      </w:r>
    </w:p>
    <w:p w14:paraId="58A901DF" w14:textId="66B99C27" w:rsidR="00B7051A" w:rsidRDefault="00780548" w:rsidP="00B7051A">
      <w:pPr>
        <w:spacing w:before="100" w:beforeAutospacing="1" w:after="100" w:afterAutospacing="1"/>
        <w:rPr>
          <w:rFonts w:ascii="Times New Roman" w:eastAsia="Times New Roman" w:hAnsi="Times New Roman" w:cs="Times New Roman"/>
          <w:kern w:val="0"/>
          <w:lang w:eastAsia="en-GB"/>
          <w14:ligatures w14:val="none"/>
        </w:rPr>
      </w:pPr>
      <w:r w:rsidRPr="00780548">
        <w:rPr>
          <w:rFonts w:ascii="Times New Roman" w:eastAsia="Times New Roman" w:hAnsi="Times New Roman" w:cs="Times New Roman"/>
          <w:kern w:val="0"/>
          <w:lang w:eastAsia="en-GB"/>
          <w14:ligatures w14:val="none"/>
        </w:rPr>
        <w:t>This pre-analysis plan describes the evaluation design and planned statistical analysis for a cluster randomised controlled trial assessing the impact of Gemini Guided Learning on student mathematics achievement in Junior Secondary Schools in Sierra Leone. The intervention is implemented at the classroom level and integrates Gemini-supported instructional activities into regular mathematics lessons over one academic term. The evaluation uses baseline and endline student assessments aligned with the national</w:t>
      </w:r>
      <w:r w:rsidR="00B7051A">
        <w:rPr>
          <w:rFonts w:ascii="Times New Roman" w:eastAsia="Times New Roman" w:hAnsi="Times New Roman" w:cs="Times New Roman"/>
          <w:kern w:val="0"/>
          <w:lang w:eastAsia="en-GB"/>
          <w14:ligatures w14:val="none"/>
        </w:rPr>
        <w:t xml:space="preserve"> </w:t>
      </w:r>
      <w:r w:rsidRPr="00780548">
        <w:rPr>
          <w:rFonts w:ascii="Times New Roman" w:eastAsia="Times New Roman" w:hAnsi="Times New Roman" w:cs="Times New Roman"/>
          <w:kern w:val="0"/>
          <w:lang w:eastAsia="en-GB"/>
          <w14:ligatures w14:val="none"/>
        </w:rPr>
        <w:t xml:space="preserve">curriculum, complemented by baseline student surveys collecting sociodemographic information and implementation monitoring data collected throughout the intervention period. Classrooms are randomly assigned to treatment or control within school and grade strata. The primary outcome is student mathematics achievement at endline, and the primary </w:t>
      </w:r>
      <w:proofErr w:type="spellStart"/>
      <w:r w:rsidRPr="00780548">
        <w:rPr>
          <w:rFonts w:ascii="Times New Roman" w:eastAsia="Times New Roman" w:hAnsi="Times New Roman" w:cs="Times New Roman"/>
          <w:kern w:val="0"/>
          <w:lang w:eastAsia="en-GB"/>
          <w14:ligatures w14:val="none"/>
        </w:rPr>
        <w:t>estimand</w:t>
      </w:r>
      <w:proofErr w:type="spellEnd"/>
      <w:r w:rsidRPr="00780548">
        <w:rPr>
          <w:rFonts w:ascii="Times New Roman" w:eastAsia="Times New Roman" w:hAnsi="Times New Roman" w:cs="Times New Roman"/>
          <w:kern w:val="0"/>
          <w:lang w:eastAsia="en-GB"/>
          <w14:ligatures w14:val="none"/>
        </w:rPr>
        <w:t xml:space="preserve"> is the intention-to-treat effect of classroom assignment to Gemini Guided Learning.</w:t>
      </w:r>
    </w:p>
    <w:p w14:paraId="1F149540" w14:textId="77777777" w:rsidR="00D54D16" w:rsidRPr="00B7051A" w:rsidRDefault="00D54D16" w:rsidP="00D54D16">
      <w:pPr>
        <w:spacing w:before="100" w:beforeAutospacing="1" w:after="100" w:afterAutospacing="1"/>
        <w:rPr>
          <w:rFonts w:ascii="Times New Roman" w:eastAsia="Times New Roman" w:hAnsi="Times New Roman" w:cs="Times New Roman"/>
          <w:kern w:val="0"/>
          <w:lang w:eastAsia="en-GB"/>
          <w14:ligatures w14:val="none"/>
        </w:rPr>
      </w:pPr>
      <w:r w:rsidRPr="0077652A">
        <w:rPr>
          <w:rFonts w:ascii="Times New Roman" w:eastAsia="Times New Roman" w:hAnsi="Times New Roman" w:cs="Times New Roman"/>
          <w:kern w:val="0"/>
          <w:lang w:eastAsia="en-GB"/>
          <w14:ligatures w14:val="none"/>
        </w:rPr>
        <w:t>The study is part of a broader, multi-site portfolio of randomized controlled trials evaluating the educational efficacy of teacher-supported uses of generative AI in real-world classroom settings.</w:t>
      </w:r>
    </w:p>
    <w:p w14:paraId="50D12359" w14:textId="77777777" w:rsidR="00B7051A" w:rsidRPr="00B7051A" w:rsidRDefault="00B7051A" w:rsidP="00B7051A">
      <w:pPr>
        <w:spacing w:before="100" w:beforeAutospacing="1" w:after="100" w:afterAutospacing="1"/>
        <w:rPr>
          <w:rFonts w:ascii="Times New Roman" w:eastAsia="Times New Roman" w:hAnsi="Times New Roman" w:cs="Times New Roman"/>
          <w:kern w:val="0"/>
          <w:lang w:eastAsia="en-GB"/>
          <w14:ligatures w14:val="none"/>
        </w:rPr>
      </w:pPr>
    </w:p>
    <w:p w14:paraId="0DAE4B6A" w14:textId="14714677" w:rsidR="00DD4BE3" w:rsidRPr="006F41A3" w:rsidRDefault="00DD4BE3" w:rsidP="002740EB">
      <w:pPr>
        <w:pStyle w:val="Heading2"/>
      </w:pPr>
      <w:r w:rsidRPr="006F41A3">
        <w:t>Summary Table</w:t>
      </w:r>
    </w:p>
    <w:p w14:paraId="10803326" w14:textId="77777777" w:rsidR="00DD4BE3" w:rsidRPr="006F41A3" w:rsidRDefault="00DD4BE3" w:rsidP="00DD4BE3">
      <w:pPr>
        <w:rPr>
          <w:rFonts w:ascii="Times New Roman" w:hAnsi="Times New Roman" w:cs="Times New Roman"/>
        </w:rPr>
      </w:pPr>
    </w:p>
    <w:tbl>
      <w:tblPr>
        <w:tblStyle w:val="PlainTable2"/>
        <w:tblW w:w="0" w:type="auto"/>
        <w:tblLook w:val="04A0" w:firstRow="1" w:lastRow="0" w:firstColumn="1" w:lastColumn="0" w:noHBand="0" w:noVBand="1"/>
      </w:tblPr>
      <w:tblGrid>
        <w:gridCol w:w="2694"/>
        <w:gridCol w:w="6332"/>
      </w:tblGrid>
      <w:tr w:rsidR="00DD4BE3" w:rsidRPr="00DD4BE3" w14:paraId="0D07EFA1" w14:textId="77777777" w:rsidTr="00DD4B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458AF46E" w14:textId="77777777" w:rsidR="00DD4BE3" w:rsidRPr="00DD4BE3" w:rsidRDefault="00DD4BE3" w:rsidP="00DD4BE3">
            <w:pPr>
              <w:jc w:val="cente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Item</w:t>
            </w:r>
          </w:p>
        </w:tc>
        <w:tc>
          <w:tcPr>
            <w:tcW w:w="6332" w:type="dxa"/>
            <w:hideMark/>
          </w:tcPr>
          <w:p w14:paraId="7ED002CA" w14:textId="77777777" w:rsidR="00DD4BE3" w:rsidRPr="00DD4BE3" w:rsidRDefault="00DD4BE3" w:rsidP="00DD4BE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Description</w:t>
            </w:r>
          </w:p>
        </w:tc>
      </w:tr>
      <w:tr w:rsidR="00DD4BE3" w:rsidRPr="00DD4BE3" w14:paraId="4925AE57" w14:textId="77777777" w:rsidTr="00DD4B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0480AAB7"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Project title</w:t>
            </w:r>
          </w:p>
        </w:tc>
        <w:tc>
          <w:tcPr>
            <w:tcW w:w="6332" w:type="dxa"/>
            <w:hideMark/>
          </w:tcPr>
          <w:p w14:paraId="5721DCEF" w14:textId="77777777" w:rsidR="00DD4BE3" w:rsidRPr="00DD4BE3" w:rsidRDefault="00DD4BE3" w:rsidP="00DD4BE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Evaluating the impact of Gemini Guided Learning on mathematics achievement in Junior Secondary Schools in Sierra Leone</w:t>
            </w:r>
          </w:p>
        </w:tc>
      </w:tr>
      <w:tr w:rsidR="00DD4BE3" w:rsidRPr="00DD4BE3" w14:paraId="59EEFCFE" w14:textId="77777777" w:rsidTr="00DD4BE3">
        <w:tc>
          <w:tcPr>
            <w:cnfStyle w:val="001000000000" w:firstRow="0" w:lastRow="0" w:firstColumn="1" w:lastColumn="0" w:oddVBand="0" w:evenVBand="0" w:oddHBand="0" w:evenHBand="0" w:firstRowFirstColumn="0" w:firstRowLastColumn="0" w:lastRowFirstColumn="0" w:lastRowLastColumn="0"/>
            <w:tcW w:w="2694" w:type="dxa"/>
            <w:hideMark/>
          </w:tcPr>
          <w:p w14:paraId="459E2090" w14:textId="3274CB6C"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 xml:space="preserve">Evaluator </w:t>
            </w:r>
          </w:p>
        </w:tc>
        <w:tc>
          <w:tcPr>
            <w:tcW w:w="6332" w:type="dxa"/>
            <w:hideMark/>
          </w:tcPr>
          <w:p w14:paraId="5E540FCC" w14:textId="58E8E001" w:rsidR="00DD4BE3" w:rsidRPr="00DD4BE3" w:rsidRDefault="00DD4BE3"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 xml:space="preserve">Fab </w:t>
            </w:r>
            <w:r w:rsidRPr="006F41A3">
              <w:rPr>
                <w:rFonts w:ascii="Times New Roman" w:eastAsia="Times New Roman" w:hAnsi="Times New Roman" w:cs="Times New Roman"/>
                <w:kern w:val="0"/>
                <w:lang w:eastAsia="en-GB"/>
                <w14:ligatures w14:val="none"/>
              </w:rPr>
              <w:t>AI</w:t>
            </w:r>
            <w:r w:rsidRPr="00DD4BE3">
              <w:rPr>
                <w:rFonts w:ascii="Times New Roman" w:eastAsia="Times New Roman" w:hAnsi="Times New Roman" w:cs="Times New Roman"/>
                <w:kern w:val="0"/>
                <w:lang w:eastAsia="en-GB"/>
                <w14:ligatures w14:val="none"/>
              </w:rPr>
              <w:t xml:space="preserve"> </w:t>
            </w:r>
          </w:p>
        </w:tc>
      </w:tr>
      <w:tr w:rsidR="00DD4BE3" w:rsidRPr="00EC36B9" w14:paraId="06D80FA9" w14:textId="77777777" w:rsidTr="00DD4B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406C8E17" w14:textId="28279FE5"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Principal investigators</w:t>
            </w:r>
            <w:r w:rsidR="00B72D59">
              <w:rPr>
                <w:rFonts w:ascii="Times New Roman" w:eastAsia="Times New Roman" w:hAnsi="Times New Roman" w:cs="Times New Roman"/>
                <w:kern w:val="0"/>
                <w:lang w:eastAsia="en-GB"/>
                <w14:ligatures w14:val="none"/>
              </w:rPr>
              <w:t xml:space="preserve"> on Evaluation team</w:t>
            </w:r>
          </w:p>
        </w:tc>
        <w:tc>
          <w:tcPr>
            <w:tcW w:w="6332" w:type="dxa"/>
            <w:hideMark/>
          </w:tcPr>
          <w:p w14:paraId="1F93DED3" w14:textId="7B393437" w:rsidR="00DD4BE3" w:rsidRPr="00DD4BE3" w:rsidRDefault="00DD4BE3" w:rsidP="00DD4BE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s-419" w:eastAsia="en-GB"/>
                <w14:ligatures w14:val="none"/>
              </w:rPr>
            </w:pPr>
            <w:r w:rsidRPr="00DD4BE3">
              <w:rPr>
                <w:rFonts w:ascii="Times New Roman" w:eastAsia="Times New Roman" w:hAnsi="Times New Roman" w:cs="Times New Roman"/>
                <w:kern w:val="0"/>
                <w:lang w:val="es-419" w:eastAsia="en-GB"/>
                <w14:ligatures w14:val="none"/>
              </w:rPr>
              <w:t>Maria José Ogando Portela; Natalia Valdés Aspillaga</w:t>
            </w:r>
            <w:r w:rsidRPr="006F41A3">
              <w:rPr>
                <w:rFonts w:ascii="Times New Roman" w:eastAsia="Times New Roman" w:hAnsi="Times New Roman" w:cs="Times New Roman"/>
                <w:kern w:val="0"/>
                <w:lang w:val="es-419" w:eastAsia="en-GB"/>
                <w14:ligatures w14:val="none"/>
              </w:rPr>
              <w:t>; Usman Khawar</w:t>
            </w:r>
          </w:p>
        </w:tc>
      </w:tr>
      <w:tr w:rsidR="00DD4BE3" w:rsidRPr="006F41A3" w14:paraId="50263ECC" w14:textId="77777777" w:rsidTr="00DD4BE3">
        <w:tc>
          <w:tcPr>
            <w:cnfStyle w:val="001000000000" w:firstRow="0" w:lastRow="0" w:firstColumn="1" w:lastColumn="0" w:oddVBand="0" w:evenVBand="0" w:oddHBand="0" w:evenHBand="0" w:firstRowFirstColumn="0" w:firstRowLastColumn="0" w:lastRowFirstColumn="0" w:lastRowLastColumn="0"/>
            <w:tcW w:w="2694" w:type="dxa"/>
          </w:tcPr>
          <w:p w14:paraId="34612CEB" w14:textId="027DCA75" w:rsidR="00DD4BE3" w:rsidRPr="006F41A3" w:rsidRDefault="000E3E6A" w:rsidP="00DD4BE3">
            <w:pPr>
              <w:rPr>
                <w:rFonts w:ascii="Times New Roman" w:eastAsia="Times New Roman" w:hAnsi="Times New Roman" w:cs="Times New Roman"/>
                <w:kern w:val="0"/>
                <w:lang w:eastAsia="en-GB"/>
                <w14:ligatures w14:val="none"/>
              </w:rPr>
            </w:pPr>
            <w:r w:rsidRPr="006F41A3">
              <w:rPr>
                <w:rFonts w:ascii="Times New Roman" w:eastAsia="Times New Roman" w:hAnsi="Times New Roman" w:cs="Times New Roman"/>
                <w:kern w:val="0"/>
                <w:lang w:eastAsia="en-GB"/>
                <w14:ligatures w14:val="none"/>
              </w:rPr>
              <w:t>Study Collaborators</w:t>
            </w:r>
          </w:p>
        </w:tc>
        <w:tc>
          <w:tcPr>
            <w:tcW w:w="6332" w:type="dxa"/>
          </w:tcPr>
          <w:p w14:paraId="481EDF16" w14:textId="7312C772" w:rsidR="000E3E6A" w:rsidRPr="006F41A3" w:rsidRDefault="000E3E6A"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6F41A3">
              <w:rPr>
                <w:rFonts w:ascii="Times New Roman" w:eastAsia="Times New Roman" w:hAnsi="Times New Roman" w:cs="Times New Roman"/>
                <w:kern w:val="0"/>
                <w:lang w:eastAsia="en-GB"/>
                <w14:ligatures w14:val="none"/>
              </w:rPr>
              <w:t>Google DeepMind</w:t>
            </w:r>
          </w:p>
          <w:p w14:paraId="6A8869B6" w14:textId="738B7545" w:rsidR="000E3E6A" w:rsidRPr="006F41A3" w:rsidRDefault="000E3E6A"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6F41A3">
              <w:rPr>
                <w:rFonts w:ascii="Times New Roman" w:eastAsia="Times New Roman" w:hAnsi="Times New Roman" w:cs="Times New Roman"/>
                <w:kern w:val="0"/>
                <w:lang w:eastAsia="en-GB"/>
                <w14:ligatures w14:val="none"/>
              </w:rPr>
              <w:t>Ministry of Basic and Senior Secondary Education (MBSSE) of Sierra Leone</w:t>
            </w:r>
          </w:p>
          <w:p w14:paraId="214B73DA" w14:textId="77777777" w:rsidR="00DD4BE3" w:rsidRPr="006F41A3" w:rsidRDefault="00DD4BE3"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 xml:space="preserve">Oxford </w:t>
            </w:r>
            <w:proofErr w:type="spellStart"/>
            <w:r w:rsidRPr="00DD4BE3">
              <w:rPr>
                <w:rFonts w:ascii="Times New Roman" w:eastAsia="Times New Roman" w:hAnsi="Times New Roman" w:cs="Times New Roman"/>
                <w:kern w:val="0"/>
                <w:lang w:eastAsia="en-GB"/>
                <w14:ligatures w14:val="none"/>
              </w:rPr>
              <w:t>MeasurEd</w:t>
            </w:r>
            <w:proofErr w:type="spellEnd"/>
          </w:p>
          <w:p w14:paraId="3BD6C942" w14:textId="77777777" w:rsidR="000E3E6A" w:rsidRPr="006F41A3" w:rsidRDefault="000E3E6A"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roofErr w:type="spellStart"/>
            <w:r w:rsidRPr="006F41A3">
              <w:rPr>
                <w:rFonts w:ascii="Times New Roman" w:eastAsia="Times New Roman" w:hAnsi="Times New Roman" w:cs="Times New Roman"/>
                <w:kern w:val="0"/>
                <w:lang w:eastAsia="en-GB"/>
                <w14:ligatures w14:val="none"/>
              </w:rPr>
              <w:t>EducAid</w:t>
            </w:r>
            <w:proofErr w:type="spellEnd"/>
          </w:p>
          <w:p w14:paraId="0F050F3D" w14:textId="0FACCEF0" w:rsidR="000E3E6A" w:rsidRPr="006F41A3" w:rsidRDefault="000E3E6A"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6F41A3">
              <w:rPr>
                <w:rFonts w:ascii="Times New Roman" w:eastAsia="Times New Roman" w:hAnsi="Times New Roman" w:cs="Times New Roman"/>
                <w:kern w:val="0"/>
                <w:lang w:eastAsia="en-GB"/>
                <w14:ligatures w14:val="none"/>
              </w:rPr>
              <w:t>Laterite</w:t>
            </w:r>
          </w:p>
        </w:tc>
      </w:tr>
      <w:tr w:rsidR="00DD4BE3" w:rsidRPr="00DD4BE3" w14:paraId="4D0C3BEA" w14:textId="77777777" w:rsidTr="00DD4B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29DD730E"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Trial design</w:t>
            </w:r>
          </w:p>
        </w:tc>
        <w:tc>
          <w:tcPr>
            <w:tcW w:w="6332" w:type="dxa"/>
            <w:hideMark/>
          </w:tcPr>
          <w:p w14:paraId="2F939D74" w14:textId="77777777" w:rsidR="00DD4BE3" w:rsidRPr="00DD4BE3" w:rsidRDefault="00DD4BE3" w:rsidP="00DD4BE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Two-arm cluster randomised controlled trial</w:t>
            </w:r>
          </w:p>
        </w:tc>
      </w:tr>
      <w:tr w:rsidR="00DD4BE3" w:rsidRPr="00DD4BE3" w14:paraId="7D1DC3F7" w14:textId="77777777" w:rsidTr="00DD4BE3">
        <w:tc>
          <w:tcPr>
            <w:cnfStyle w:val="001000000000" w:firstRow="0" w:lastRow="0" w:firstColumn="1" w:lastColumn="0" w:oddVBand="0" w:evenVBand="0" w:oddHBand="0" w:evenHBand="0" w:firstRowFirstColumn="0" w:firstRowLastColumn="0" w:lastRowFirstColumn="0" w:lastRowLastColumn="0"/>
            <w:tcW w:w="2694" w:type="dxa"/>
            <w:hideMark/>
          </w:tcPr>
          <w:p w14:paraId="69635280"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Unit of randomisation</w:t>
            </w:r>
          </w:p>
        </w:tc>
        <w:tc>
          <w:tcPr>
            <w:tcW w:w="6332" w:type="dxa"/>
            <w:hideMark/>
          </w:tcPr>
          <w:p w14:paraId="2260F82E" w14:textId="77777777" w:rsidR="00DD4BE3" w:rsidRPr="00DD4BE3" w:rsidRDefault="00DD4BE3"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Classroom</w:t>
            </w:r>
          </w:p>
        </w:tc>
      </w:tr>
      <w:tr w:rsidR="00DD4BE3" w:rsidRPr="00DD4BE3" w14:paraId="57A9E224" w14:textId="77777777" w:rsidTr="00DD4B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79F3D0F7"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Unit of analysis</w:t>
            </w:r>
          </w:p>
        </w:tc>
        <w:tc>
          <w:tcPr>
            <w:tcW w:w="6332" w:type="dxa"/>
            <w:hideMark/>
          </w:tcPr>
          <w:p w14:paraId="19A485B3" w14:textId="77777777" w:rsidR="00DD4BE3" w:rsidRPr="00DD4BE3" w:rsidRDefault="00DD4BE3" w:rsidP="00DD4BE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Student</w:t>
            </w:r>
          </w:p>
        </w:tc>
      </w:tr>
      <w:tr w:rsidR="00DD4BE3" w:rsidRPr="00DD4BE3" w14:paraId="3C82B5EA" w14:textId="77777777" w:rsidTr="00DD4BE3">
        <w:tc>
          <w:tcPr>
            <w:cnfStyle w:val="001000000000" w:firstRow="0" w:lastRow="0" w:firstColumn="1" w:lastColumn="0" w:oddVBand="0" w:evenVBand="0" w:oddHBand="0" w:evenHBand="0" w:firstRowFirstColumn="0" w:firstRowLastColumn="0" w:lastRowFirstColumn="0" w:lastRowLastColumn="0"/>
            <w:tcW w:w="2694" w:type="dxa"/>
            <w:hideMark/>
          </w:tcPr>
          <w:p w14:paraId="2B556F2C"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Blocking / stratification</w:t>
            </w:r>
          </w:p>
        </w:tc>
        <w:tc>
          <w:tcPr>
            <w:tcW w:w="6332" w:type="dxa"/>
            <w:hideMark/>
          </w:tcPr>
          <w:p w14:paraId="0796BAA3" w14:textId="77777777" w:rsidR="00DD4BE3" w:rsidRPr="00DD4BE3" w:rsidRDefault="00DD4BE3"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School × grade (JSS1, JSS2)</w:t>
            </w:r>
          </w:p>
        </w:tc>
      </w:tr>
      <w:tr w:rsidR="00DD4BE3" w:rsidRPr="00DD4BE3" w14:paraId="420979C7" w14:textId="77777777" w:rsidTr="00DD4B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7D899C68"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Target population</w:t>
            </w:r>
          </w:p>
        </w:tc>
        <w:tc>
          <w:tcPr>
            <w:tcW w:w="6332" w:type="dxa"/>
            <w:hideMark/>
          </w:tcPr>
          <w:p w14:paraId="23425026" w14:textId="629F3AF0" w:rsidR="00DD4BE3" w:rsidRPr="00DD4BE3" w:rsidRDefault="00DD4BE3" w:rsidP="00DD4BE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JSS1 and JSS2 students in government-supported schools</w:t>
            </w:r>
            <w:r w:rsidR="00D54D16">
              <w:rPr>
                <w:rFonts w:ascii="Times New Roman" w:eastAsia="Times New Roman" w:hAnsi="Times New Roman" w:cs="Times New Roman"/>
                <w:kern w:val="0"/>
                <w:lang w:eastAsia="en-GB"/>
                <w14:ligatures w14:val="none"/>
              </w:rPr>
              <w:t xml:space="preserve"> </w:t>
            </w:r>
            <w:r w:rsidR="00D54D16" w:rsidRPr="00A76970">
              <w:rPr>
                <w:rFonts w:ascii="Times New Roman" w:eastAsia="Times New Roman" w:hAnsi="Times New Roman" w:cs="Times New Roman"/>
                <w:kern w:val="0"/>
                <w:lang w:eastAsia="en-GB"/>
                <w14:ligatures w14:val="none"/>
              </w:rPr>
              <w:t>restricted to students aged 13 or older (eligible for Gemini use)</w:t>
            </w:r>
          </w:p>
        </w:tc>
      </w:tr>
      <w:tr w:rsidR="00DD4BE3" w:rsidRPr="00DD4BE3" w14:paraId="5437922C" w14:textId="77777777" w:rsidTr="00DD4BE3">
        <w:tc>
          <w:tcPr>
            <w:cnfStyle w:val="001000000000" w:firstRow="0" w:lastRow="0" w:firstColumn="1" w:lastColumn="0" w:oddVBand="0" w:evenVBand="0" w:oddHBand="0" w:evenHBand="0" w:firstRowFirstColumn="0" w:firstRowLastColumn="0" w:lastRowFirstColumn="0" w:lastRowLastColumn="0"/>
            <w:tcW w:w="2694" w:type="dxa"/>
            <w:hideMark/>
          </w:tcPr>
          <w:p w14:paraId="00919513"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Number of clusters</w:t>
            </w:r>
          </w:p>
        </w:tc>
        <w:tc>
          <w:tcPr>
            <w:tcW w:w="6332" w:type="dxa"/>
            <w:hideMark/>
          </w:tcPr>
          <w:p w14:paraId="6C109BD8" w14:textId="2FAD66F5" w:rsidR="00DD4BE3" w:rsidRPr="00DD4BE3" w:rsidRDefault="00DD4BE3"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6F41A3">
              <w:rPr>
                <w:rFonts w:ascii="Times New Roman" w:eastAsia="Times New Roman" w:hAnsi="Times New Roman" w:cs="Times New Roman"/>
                <w:kern w:val="0"/>
                <w:lang w:eastAsia="en-GB"/>
                <w14:ligatures w14:val="none"/>
              </w:rPr>
              <w:t>48</w:t>
            </w:r>
            <w:r w:rsidRPr="00DD4BE3">
              <w:rPr>
                <w:rFonts w:ascii="Times New Roman" w:eastAsia="Times New Roman" w:hAnsi="Times New Roman" w:cs="Times New Roman"/>
                <w:kern w:val="0"/>
                <w:lang w:eastAsia="en-GB"/>
                <w14:ligatures w14:val="none"/>
              </w:rPr>
              <w:t xml:space="preserve"> classrooms </w:t>
            </w:r>
          </w:p>
        </w:tc>
      </w:tr>
      <w:tr w:rsidR="00DD4BE3" w:rsidRPr="00DD4BE3" w14:paraId="4BAAB8B5" w14:textId="77777777" w:rsidTr="00DD4B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72EF8C28"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Primary outcome</w:t>
            </w:r>
          </w:p>
        </w:tc>
        <w:tc>
          <w:tcPr>
            <w:tcW w:w="6332" w:type="dxa"/>
            <w:hideMark/>
          </w:tcPr>
          <w:p w14:paraId="6AE0C321" w14:textId="77777777" w:rsidR="00DD4BE3" w:rsidRPr="00DD4BE3" w:rsidRDefault="00DD4BE3" w:rsidP="00DD4BE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Endline mathematics achievement (IRT-scaled score)</w:t>
            </w:r>
          </w:p>
        </w:tc>
      </w:tr>
      <w:tr w:rsidR="00DD4BE3" w:rsidRPr="00DD4BE3" w14:paraId="67FE9EF4" w14:textId="77777777" w:rsidTr="00DD4BE3">
        <w:tc>
          <w:tcPr>
            <w:cnfStyle w:val="001000000000" w:firstRow="0" w:lastRow="0" w:firstColumn="1" w:lastColumn="0" w:oddVBand="0" w:evenVBand="0" w:oddHBand="0" w:evenHBand="0" w:firstRowFirstColumn="0" w:firstRowLastColumn="0" w:lastRowFirstColumn="0" w:lastRowLastColumn="0"/>
            <w:tcW w:w="2694" w:type="dxa"/>
            <w:hideMark/>
          </w:tcPr>
          <w:p w14:paraId="456881BA" w14:textId="77777777" w:rsidR="00DD4BE3" w:rsidRPr="00DD4BE3" w:rsidRDefault="00DD4BE3" w:rsidP="00DD4BE3">
            <w:pPr>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 xml:space="preserve">Primary </w:t>
            </w:r>
            <w:proofErr w:type="spellStart"/>
            <w:r w:rsidRPr="00DD4BE3">
              <w:rPr>
                <w:rFonts w:ascii="Times New Roman" w:eastAsia="Times New Roman" w:hAnsi="Times New Roman" w:cs="Times New Roman"/>
                <w:kern w:val="0"/>
                <w:lang w:eastAsia="en-GB"/>
                <w14:ligatures w14:val="none"/>
              </w:rPr>
              <w:t>estimand</w:t>
            </w:r>
            <w:proofErr w:type="spellEnd"/>
          </w:p>
        </w:tc>
        <w:tc>
          <w:tcPr>
            <w:tcW w:w="6332" w:type="dxa"/>
            <w:hideMark/>
          </w:tcPr>
          <w:p w14:paraId="55458B52" w14:textId="77777777" w:rsidR="00DD4BE3" w:rsidRPr="00DD4BE3" w:rsidRDefault="00DD4BE3" w:rsidP="00DD4BE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DD4BE3">
              <w:rPr>
                <w:rFonts w:ascii="Times New Roman" w:eastAsia="Times New Roman" w:hAnsi="Times New Roman" w:cs="Times New Roman"/>
                <w:kern w:val="0"/>
                <w:lang w:eastAsia="en-GB"/>
                <w14:ligatures w14:val="none"/>
              </w:rPr>
              <w:t>Intent-to-treat (ITT)</w:t>
            </w:r>
          </w:p>
        </w:tc>
      </w:tr>
    </w:tbl>
    <w:p w14:paraId="567770C5" w14:textId="77777777" w:rsidR="00DD4BE3" w:rsidRPr="006F41A3" w:rsidRDefault="00DD4BE3" w:rsidP="00DD4BE3">
      <w:pPr>
        <w:rPr>
          <w:rFonts w:ascii="Times New Roman" w:hAnsi="Times New Roman" w:cs="Times New Roman"/>
        </w:rPr>
      </w:pPr>
    </w:p>
    <w:p w14:paraId="289725D2" w14:textId="77777777" w:rsidR="00DD4BE3" w:rsidRPr="006F41A3" w:rsidRDefault="00DD4BE3" w:rsidP="002740EB">
      <w:pPr>
        <w:pStyle w:val="Heading2"/>
      </w:pPr>
      <w:r w:rsidRPr="006F41A3">
        <w:lastRenderedPageBreak/>
        <w:t>Pre-Analysis Plan Commitments</w:t>
      </w:r>
    </w:p>
    <w:p w14:paraId="4992A3CF" w14:textId="77777777" w:rsidR="00DD4BE3" w:rsidRPr="006F41A3" w:rsidRDefault="00DD4BE3" w:rsidP="00DD4BE3">
      <w:pPr>
        <w:pStyle w:val="NormalWeb"/>
      </w:pPr>
      <w:r w:rsidRPr="006F41A3">
        <w:t xml:space="preserve">This pre-analysis plan was finalised </w:t>
      </w:r>
      <w:r w:rsidRPr="006F41A3">
        <w:rPr>
          <w:rStyle w:val="Strong"/>
          <w:rFonts w:eastAsiaTheme="majorEastAsia"/>
        </w:rPr>
        <w:t>before access to endline data and before any impact analysis was conducted</w:t>
      </w:r>
      <w:r w:rsidRPr="006F41A3">
        <w:t xml:space="preserve">. Randomisation was completed prior to data collection. Outcome construction, psychometric scaling, </w:t>
      </w:r>
      <w:proofErr w:type="spellStart"/>
      <w:r w:rsidRPr="006F41A3">
        <w:t>estimands</w:t>
      </w:r>
      <w:proofErr w:type="spellEnd"/>
      <w:r w:rsidRPr="006F41A3">
        <w:t>, model specifications, and decision rules for robustness analyses are fully specified ex ante.</w:t>
      </w:r>
    </w:p>
    <w:p w14:paraId="19A310B9" w14:textId="77777777" w:rsidR="00DD4BE3" w:rsidRPr="006F41A3" w:rsidRDefault="00DD4BE3" w:rsidP="00DD4BE3">
      <w:pPr>
        <w:pStyle w:val="NormalWeb"/>
      </w:pPr>
      <w:r w:rsidRPr="006F41A3">
        <w:t xml:space="preserve">Any deviations from this plan will be </w:t>
      </w:r>
      <w:r w:rsidRPr="006F41A3">
        <w:rPr>
          <w:rStyle w:val="Strong"/>
          <w:rFonts w:eastAsiaTheme="majorEastAsia"/>
        </w:rPr>
        <w:t>explicitly documented and justified</w:t>
      </w:r>
      <w:r w:rsidRPr="006F41A3">
        <w:t xml:space="preserve"> in the final report.</w:t>
      </w:r>
    </w:p>
    <w:p w14:paraId="4430D113" w14:textId="77777777" w:rsidR="00DD4BE3" w:rsidRPr="006F41A3" w:rsidRDefault="00DD4BE3" w:rsidP="002740EB">
      <w:pPr>
        <w:pStyle w:val="Heading2"/>
      </w:pPr>
      <w:r w:rsidRPr="006F41A3">
        <w:t>Policy Context</w:t>
      </w:r>
    </w:p>
    <w:p w14:paraId="1FD1A9B6" w14:textId="77777777" w:rsidR="00DD4BE3" w:rsidRPr="006F41A3" w:rsidRDefault="00DD4BE3" w:rsidP="00DD4BE3">
      <w:pPr>
        <w:pStyle w:val="NormalWeb"/>
      </w:pPr>
      <w:r w:rsidRPr="006F41A3">
        <w:t>Sierra Leone faces persistent learning deficits at the Junior Secondary level, particularly in mathematics. Large class sizes, limited instructional materials, and constrained teacher capacity make it difficult to provide individualised support. Gemini Guided Learning is designed to complement classroom instruction through structured, scaffolded problem solving supported by teachers.</w:t>
      </w:r>
    </w:p>
    <w:p w14:paraId="49685C7F" w14:textId="77777777" w:rsidR="00DD4BE3" w:rsidRPr="006F41A3" w:rsidRDefault="00DD4BE3" w:rsidP="00DD4BE3">
      <w:pPr>
        <w:pStyle w:val="NormalWeb"/>
      </w:pPr>
      <w:r w:rsidRPr="006F41A3">
        <w:t>This trial provides rigorous causal evidence on whether such an AI-supported approach can improve learning outcomes in a low-resource classroom context.</w:t>
      </w:r>
    </w:p>
    <w:p w14:paraId="1F76EDF9" w14:textId="77777777" w:rsidR="00DD4BE3" w:rsidRPr="006F41A3" w:rsidRDefault="00DD4BE3" w:rsidP="002740EB">
      <w:pPr>
        <w:pStyle w:val="Heading2"/>
      </w:pPr>
      <w:r w:rsidRPr="006F41A3">
        <w:t>Trial Aim</w:t>
      </w:r>
    </w:p>
    <w:p w14:paraId="30942F71" w14:textId="77777777" w:rsidR="00DD4BE3" w:rsidRPr="006F41A3" w:rsidRDefault="00DD4BE3" w:rsidP="00DD4BE3">
      <w:pPr>
        <w:pStyle w:val="NormalWeb"/>
      </w:pPr>
      <w:r w:rsidRPr="006F41A3">
        <w:t>The primary aim of the trial is to estimate the causal effect of classroom-level assignment to Gemini Guided Learning on students’ mathematics achievement over one academic term.</w:t>
      </w:r>
    </w:p>
    <w:p w14:paraId="51E8850D" w14:textId="77777777" w:rsidR="00EA080D" w:rsidRPr="006F41A3" w:rsidRDefault="00EA080D" w:rsidP="002740EB">
      <w:pPr>
        <w:pStyle w:val="Heading2"/>
      </w:pPr>
      <w:r w:rsidRPr="006F41A3">
        <w:rPr>
          <w:rStyle w:val="Strong"/>
          <w:b w:val="0"/>
          <w:bCs w:val="0"/>
        </w:rPr>
        <w:t>Hypotheses</w:t>
      </w:r>
    </w:p>
    <w:p w14:paraId="3C2BC784" w14:textId="77777777" w:rsidR="00EA080D" w:rsidRPr="006F41A3" w:rsidRDefault="00EA080D" w:rsidP="00EA080D">
      <w:pPr>
        <w:pStyle w:val="NormalWeb"/>
      </w:pPr>
      <w:r w:rsidRPr="006F41A3">
        <w:t>The primary hypothesis is that students assigned to classrooms implementing Gemini Guided Learning will demonstrate higher mathematics achievement at endline than students in control classrooms receiving business-as-usual instruction.</w:t>
      </w:r>
    </w:p>
    <w:p w14:paraId="7691DA5B" w14:textId="5014F046" w:rsidR="00EA080D" w:rsidRPr="006F41A3" w:rsidRDefault="004E0AB5" w:rsidP="00EA080D">
      <w:pPr>
        <w:pStyle w:val="NormalWeb"/>
      </w:pPr>
      <w:r w:rsidRPr="006F41A3">
        <w:t xml:space="preserve">A secondary hypothesis is that </w:t>
      </w:r>
      <w:r w:rsidR="00673FBE" w:rsidRPr="006F41A3">
        <w:t xml:space="preserve">higher exposure time to Gemini Guided Learning (measured in hours of attendance at Gemini-supported lessons) </w:t>
      </w:r>
      <w:r w:rsidRPr="006F41A3">
        <w:t xml:space="preserve">increases learning gains among compliers. </w:t>
      </w:r>
      <w:r w:rsidR="00EA080D" w:rsidRPr="006F41A3">
        <w:t>This hypothesis is evaluated using treatment-on-the-treated (TOT) and dosage-based analyses and is interpreted as a local average causal effect for students whose exposure responds to classroom assignment.</w:t>
      </w:r>
    </w:p>
    <w:p w14:paraId="39820098" w14:textId="77777777" w:rsidR="000E3E6A" w:rsidRPr="006F41A3" w:rsidRDefault="000E3E6A" w:rsidP="002740EB">
      <w:pPr>
        <w:pStyle w:val="Heading2"/>
      </w:pPr>
      <w:r w:rsidRPr="006F41A3">
        <w:t>Intervention Type</w:t>
      </w:r>
    </w:p>
    <w:p w14:paraId="4B5DAB66" w14:textId="77777777" w:rsidR="000E3E6A" w:rsidRPr="006F41A3" w:rsidRDefault="000E3E6A" w:rsidP="000E3E6A">
      <w:pPr>
        <w:pStyle w:val="NormalWeb"/>
        <w:rPr>
          <w:b/>
          <w:bCs/>
        </w:rPr>
      </w:pPr>
      <w:r w:rsidRPr="006F41A3">
        <w:t xml:space="preserve">The study is a </w:t>
      </w:r>
      <w:r w:rsidRPr="006F41A3">
        <w:rPr>
          <w:rStyle w:val="Strong"/>
          <w:rFonts w:eastAsiaTheme="majorEastAsia"/>
          <w:b w:val="0"/>
          <w:bCs w:val="0"/>
        </w:rPr>
        <w:t>two-arm classroom-level RCT</w:t>
      </w:r>
      <w:r w:rsidRPr="006F41A3">
        <w:rPr>
          <w:b/>
          <w:bCs/>
        </w:rPr>
        <w:t>:</w:t>
      </w:r>
    </w:p>
    <w:p w14:paraId="63853C46" w14:textId="170026F5" w:rsidR="000E3E6A" w:rsidRPr="006F41A3" w:rsidRDefault="000E3E6A" w:rsidP="000E3E6A">
      <w:pPr>
        <w:pStyle w:val="NormalWeb"/>
        <w:numPr>
          <w:ilvl w:val="0"/>
          <w:numId w:val="15"/>
        </w:numPr>
      </w:pPr>
      <w:r w:rsidRPr="006F41A3">
        <w:rPr>
          <w:rStyle w:val="Strong"/>
          <w:rFonts w:eastAsiaTheme="majorEastAsia"/>
        </w:rPr>
        <w:t>Treatment</w:t>
      </w:r>
      <w:r w:rsidRPr="006F41A3">
        <w:t>: Mathematics lessons supported by Gemini Guided Learning for approximately 50% of weekly maths periods</w:t>
      </w:r>
      <w:r w:rsidR="00EA080D" w:rsidRPr="006F41A3">
        <w:t xml:space="preserve"> for the first academic term in Sierra Leone (2025).</w:t>
      </w:r>
    </w:p>
    <w:p w14:paraId="470785B9" w14:textId="2E8952C0" w:rsidR="00EA080D" w:rsidRPr="006F41A3" w:rsidRDefault="000E3E6A" w:rsidP="000E3E6A">
      <w:pPr>
        <w:pStyle w:val="NormalWeb"/>
        <w:numPr>
          <w:ilvl w:val="0"/>
          <w:numId w:val="15"/>
        </w:numPr>
      </w:pPr>
      <w:r w:rsidRPr="006F41A3">
        <w:rPr>
          <w:rStyle w:val="Strong"/>
          <w:rFonts w:eastAsiaTheme="majorEastAsia"/>
        </w:rPr>
        <w:t>Control</w:t>
      </w:r>
      <w:r w:rsidRPr="006F41A3">
        <w:t>: Business-as-usual mathematics instruction.</w:t>
      </w:r>
    </w:p>
    <w:p w14:paraId="5E8F047A" w14:textId="77777777" w:rsidR="00EA080D" w:rsidRPr="006F41A3" w:rsidRDefault="00EA080D" w:rsidP="002740EB">
      <w:pPr>
        <w:pStyle w:val="Heading2"/>
      </w:pPr>
      <w:r w:rsidRPr="006F41A3">
        <w:rPr>
          <w:rStyle w:val="Strong"/>
          <w:b w:val="0"/>
          <w:bCs w:val="0"/>
        </w:rPr>
        <w:lastRenderedPageBreak/>
        <w:t>Randomisation</w:t>
      </w:r>
    </w:p>
    <w:p w14:paraId="2FAB993C" w14:textId="77777777" w:rsidR="00EA080D" w:rsidRPr="006F41A3" w:rsidRDefault="00EA080D" w:rsidP="00EA080D">
      <w:pPr>
        <w:pStyle w:val="NormalWeb"/>
      </w:pPr>
      <w:r w:rsidRPr="006F41A3">
        <w:t>Randomisation was conducted at the classroom level within schools and grades (JSS1 and JSS2). Within each school × grade stratum, classrooms were randomly assigned with equal probability to either the treatment or control group (50% treatment, 50% control).</w:t>
      </w:r>
    </w:p>
    <w:p w14:paraId="0DF8380A" w14:textId="65386192" w:rsidR="00EA080D" w:rsidRPr="006F41A3" w:rsidRDefault="00EA080D" w:rsidP="00EA080D">
      <w:pPr>
        <w:pStyle w:val="NormalWeb"/>
      </w:pPr>
      <w:r w:rsidRPr="006F41A3">
        <w:t>Randomisation was completed after baseline data collection and prior to the start of the intervention. The randomisation procedure and seed were pre-specified and archived for reproducibility.</w:t>
      </w:r>
    </w:p>
    <w:p w14:paraId="019A6633" w14:textId="3F7C2AF3" w:rsidR="0088651B" w:rsidRPr="006F41A3" w:rsidRDefault="0088651B" w:rsidP="00EA080D">
      <w:pPr>
        <w:pStyle w:val="NormalWeb"/>
      </w:pPr>
      <w:r w:rsidRPr="006F41A3">
        <w:t xml:space="preserve">For transparency and reproducibility, we will pre-register the randomisation seed, archive the school-by-grade classroom rosters used for assignment, and publish the analysis code used to produce the locked outcome measures and primary </w:t>
      </w:r>
      <w:proofErr w:type="spellStart"/>
      <w:r w:rsidRPr="006F41A3">
        <w:t>estimands</w:t>
      </w:r>
      <w:proofErr w:type="spellEnd"/>
      <w:r w:rsidRPr="006F41A3">
        <w:t>. Any deviations from this plan will be explicitly flagged and justified in the final report.</w:t>
      </w:r>
    </w:p>
    <w:p w14:paraId="53D99A7A" w14:textId="2029E7E2" w:rsidR="000E3E6A" w:rsidRPr="006F41A3" w:rsidRDefault="000E3E6A" w:rsidP="002740EB">
      <w:pPr>
        <w:pStyle w:val="Heading2"/>
        <w:rPr>
          <w:rFonts w:eastAsia="Times New Roman"/>
          <w:kern w:val="0"/>
          <w14:ligatures w14:val="none"/>
        </w:rPr>
      </w:pPr>
      <w:r w:rsidRPr="006F41A3">
        <w:t xml:space="preserve">Ethics and </w:t>
      </w:r>
      <w:r w:rsidR="002740EB">
        <w:t>c</w:t>
      </w:r>
      <w:r w:rsidRPr="006F41A3">
        <w:t>onsent</w:t>
      </w:r>
    </w:p>
    <w:p w14:paraId="5D5E1500" w14:textId="298FBDBE" w:rsidR="000E3E6A" w:rsidRPr="000E3E6A" w:rsidRDefault="000E3E6A" w:rsidP="000E3E6A">
      <w:pPr>
        <w:spacing w:before="100" w:beforeAutospacing="1" w:after="100" w:afterAutospacing="1"/>
        <w:rPr>
          <w:rFonts w:ascii="Times New Roman" w:eastAsia="Times New Roman" w:hAnsi="Times New Roman" w:cs="Times New Roman"/>
          <w:kern w:val="0"/>
          <w:lang w:eastAsia="en-GB"/>
          <w14:ligatures w14:val="none"/>
        </w:rPr>
      </w:pPr>
      <w:r w:rsidRPr="000E3E6A">
        <w:rPr>
          <w:rFonts w:ascii="Times New Roman" w:eastAsia="Times New Roman" w:hAnsi="Times New Roman" w:cs="Times New Roman"/>
          <w:kern w:val="0"/>
          <w:lang w:eastAsia="en-GB"/>
          <w14:ligatures w14:val="none"/>
        </w:rPr>
        <w:t xml:space="preserve">Ethical approval for this study was obtained from the </w:t>
      </w:r>
      <w:r w:rsidRPr="008F2134">
        <w:rPr>
          <w:rFonts w:ascii="Times New Roman" w:eastAsia="Times New Roman" w:hAnsi="Times New Roman" w:cs="Times New Roman"/>
          <w:kern w:val="0"/>
          <w:lang w:eastAsia="en-GB"/>
          <w14:ligatures w14:val="none"/>
        </w:rPr>
        <w:t xml:space="preserve">Sierra Leone Ethics and Scientific Review Committee (SLESRC), </w:t>
      </w:r>
      <w:r w:rsidRPr="000E3E6A">
        <w:rPr>
          <w:rFonts w:ascii="Times New Roman" w:eastAsia="Times New Roman" w:hAnsi="Times New Roman" w:cs="Times New Roman"/>
          <w:kern w:val="0"/>
          <w:lang w:eastAsia="en-GB"/>
          <w14:ligatures w14:val="none"/>
        </w:rPr>
        <w:t xml:space="preserve">Ministry of Health (Approval No. </w:t>
      </w:r>
      <w:r w:rsidRPr="008F2134">
        <w:rPr>
          <w:rFonts w:ascii="Times New Roman" w:eastAsia="Times New Roman" w:hAnsi="Times New Roman" w:cs="Times New Roman"/>
          <w:kern w:val="0"/>
          <w:lang w:eastAsia="en-GB"/>
          <w14:ligatures w14:val="none"/>
        </w:rPr>
        <w:t>007/09/2025,</w:t>
      </w:r>
      <w:r w:rsidRPr="000E3E6A">
        <w:rPr>
          <w:rFonts w:ascii="Times New Roman" w:eastAsia="Times New Roman" w:hAnsi="Times New Roman" w:cs="Times New Roman"/>
          <w:kern w:val="0"/>
          <w:lang w:eastAsia="en-GB"/>
          <w14:ligatures w14:val="none"/>
        </w:rPr>
        <w:t xml:space="preserve"> approved on </w:t>
      </w:r>
      <w:r w:rsidRPr="008F2134">
        <w:rPr>
          <w:rFonts w:ascii="Times New Roman" w:eastAsia="Times New Roman" w:hAnsi="Times New Roman" w:cs="Times New Roman"/>
          <w:kern w:val="0"/>
          <w:lang w:eastAsia="en-GB"/>
          <w14:ligatures w14:val="none"/>
        </w:rPr>
        <w:t>8 September 2025</w:t>
      </w:r>
      <w:r w:rsidRPr="000E3E6A">
        <w:rPr>
          <w:rFonts w:ascii="Times New Roman" w:eastAsia="Times New Roman" w:hAnsi="Times New Roman" w:cs="Times New Roman"/>
          <w:kern w:val="0"/>
          <w:lang w:eastAsia="en-GB"/>
          <w14:ligatures w14:val="none"/>
        </w:rPr>
        <w:t>). The study also received authorisation from the Ministry of Basic and Senior Secondary Education (MBSSE).</w:t>
      </w:r>
    </w:p>
    <w:p w14:paraId="39526A56" w14:textId="0FE4F897" w:rsidR="00EA080D" w:rsidRPr="006F41A3" w:rsidRDefault="000E3E6A" w:rsidP="000E3E6A">
      <w:pPr>
        <w:spacing w:before="100" w:beforeAutospacing="1" w:after="100" w:afterAutospacing="1"/>
        <w:rPr>
          <w:rFonts w:ascii="Times New Roman" w:eastAsia="Times New Roman" w:hAnsi="Times New Roman" w:cs="Times New Roman"/>
          <w:kern w:val="0"/>
          <w:lang w:eastAsia="en-GB"/>
          <w14:ligatures w14:val="none"/>
        </w:rPr>
      </w:pPr>
      <w:r w:rsidRPr="000E3E6A">
        <w:rPr>
          <w:rFonts w:ascii="Times New Roman" w:eastAsia="Times New Roman" w:hAnsi="Times New Roman" w:cs="Times New Roman"/>
          <w:kern w:val="0"/>
          <w:lang w:eastAsia="en-GB"/>
          <w14:ligatures w14:val="none"/>
        </w:rPr>
        <w:t>Parental consent, student assent, and teacher consent were obtained prior to participation. Participation was voluntary and had no consequences for grades or professional standing. All analyses are conducted on de-identified data and reported in aggregate form only.</w:t>
      </w:r>
    </w:p>
    <w:p w14:paraId="094A0567" w14:textId="77777777" w:rsidR="002740EB" w:rsidRDefault="00F04732" w:rsidP="002740EB">
      <w:pPr>
        <w:pStyle w:val="Heading2"/>
        <w:rPr>
          <w:rStyle w:val="Heading2Char"/>
        </w:rPr>
      </w:pPr>
      <w:r w:rsidRPr="002740EB">
        <w:rPr>
          <w:rStyle w:val="Heading2Char"/>
        </w:rPr>
        <w:t>Analysis population.</w:t>
      </w:r>
    </w:p>
    <w:p w14:paraId="543DF55B" w14:textId="009E84F3" w:rsidR="00F04732" w:rsidRPr="002740EB" w:rsidRDefault="005003A4" w:rsidP="002740EB">
      <w:pPr>
        <w:spacing w:before="100" w:beforeAutospacing="1" w:after="100" w:afterAutospacing="1"/>
        <w:rPr>
          <w:rFonts w:ascii="Times New Roman" w:eastAsiaTheme="majorEastAsia" w:hAnsi="Times New Roman" w:cs="Times New Roman"/>
          <w:color w:val="0F4761" w:themeColor="accent1" w:themeShade="BF"/>
          <w:sz w:val="32"/>
          <w:szCs w:val="32"/>
          <w:lang w:eastAsia="en-GB"/>
        </w:rPr>
      </w:pPr>
      <w:r w:rsidRPr="002740EB">
        <w:rPr>
          <w:rFonts w:ascii="Times New Roman" w:eastAsia="Times New Roman" w:hAnsi="Times New Roman" w:cs="Times New Roman"/>
          <w:kern w:val="0"/>
          <w:lang w:eastAsia="en-GB"/>
          <w14:ligatures w14:val="none"/>
        </w:rPr>
        <w:t>The analysis population includes students aged 13 years or older enrolled in randomised JSS1 and JSS2 sections across 12 government supported schools who provided the required consent and assent and for whom outcome data are observed. Students under the age of 13 are excluded because the use of Gemini was not permitted for this group. Students who did not provide consent or assent are also excluded from the analysis, as no outcome data were collected for them.</w:t>
      </w:r>
    </w:p>
    <w:p w14:paraId="3B8E104F" w14:textId="67474EEE" w:rsidR="00EA080D" w:rsidRPr="006F41A3" w:rsidRDefault="00EA080D" w:rsidP="002740EB">
      <w:pPr>
        <w:pStyle w:val="Heading2"/>
      </w:pPr>
      <w:r w:rsidRPr="006F41A3">
        <w:t>Outcome</w:t>
      </w:r>
      <w:r w:rsidR="002740EB">
        <w:t xml:space="preserve"> and variables</w:t>
      </w:r>
      <w:r w:rsidRPr="006F41A3">
        <w:t xml:space="preserve"> </w:t>
      </w:r>
      <w:r w:rsidR="002740EB">
        <w:t>m</w:t>
      </w:r>
      <w:r w:rsidR="002740EB" w:rsidRPr="006F41A3">
        <w:t>easure</w:t>
      </w:r>
      <w:r w:rsidRPr="006F41A3">
        <w:t xml:space="preserve"> and </w:t>
      </w:r>
      <w:r w:rsidR="002740EB">
        <w:t>c</w:t>
      </w:r>
      <w:r w:rsidRPr="006F41A3">
        <w:t>onstruction</w:t>
      </w:r>
    </w:p>
    <w:p w14:paraId="5DF86DE5" w14:textId="59D0D527" w:rsidR="00163B88" w:rsidRPr="006F41A3" w:rsidRDefault="00163B88" w:rsidP="00163B88">
      <w:pPr>
        <w:pStyle w:val="Heading3"/>
        <w:rPr>
          <w:rFonts w:ascii="Times New Roman" w:hAnsi="Times New Roman" w:cs="Times New Roman"/>
        </w:rPr>
      </w:pPr>
      <w:r w:rsidRPr="006F41A3">
        <w:rPr>
          <w:rFonts w:ascii="Times New Roman" w:hAnsi="Times New Roman" w:cs="Times New Roman"/>
        </w:rPr>
        <w:t>Student Mathematics Achievement (Primary Outcome)</w:t>
      </w:r>
    </w:p>
    <w:p w14:paraId="35F9220F" w14:textId="77777777" w:rsidR="00271512" w:rsidRPr="006F41A3" w:rsidRDefault="00271512" w:rsidP="00271512">
      <w:pPr>
        <w:pStyle w:val="NormalWeb"/>
      </w:pPr>
      <w:r w:rsidRPr="006F41A3">
        <w:t>Student mathematics achievement is measured at baseline and endline using curriculum-aligned multiple-choice assessments designed for Junior Secondary School students in Sierra Leone. Assessments are administered using paper-based testing procedures under standardised conditions.</w:t>
      </w:r>
    </w:p>
    <w:p w14:paraId="319C7A1C" w14:textId="4E51C54D" w:rsidR="00271512" w:rsidRPr="006F41A3" w:rsidRDefault="00167F0F" w:rsidP="00271512">
      <w:pPr>
        <w:pStyle w:val="NormalWeb"/>
      </w:pPr>
      <w:r w:rsidRPr="006F41A3">
        <w:t>Student mathematics achievement at baseline and endline, and baseline reading comprehension, are constructed using Item Response Theory (IRT) methods</w:t>
      </w:r>
      <w:r w:rsidR="00271512" w:rsidRPr="006F41A3">
        <w:t>. Baseline and endline assessments are placed on a common scale to allow meaningful measurement of learning gains over time.</w:t>
      </w:r>
    </w:p>
    <w:p w14:paraId="5B0543C9" w14:textId="0245E587" w:rsidR="00271512" w:rsidRDefault="00271512" w:rsidP="00271512">
      <w:pPr>
        <w:pStyle w:val="NormalWeb"/>
      </w:pPr>
      <w:r w:rsidRPr="006F41A3">
        <w:lastRenderedPageBreak/>
        <w:t xml:space="preserve">Final student achievement scores are expressed on a standardised scale with a mean of 500 and a standard deviation of 100. </w:t>
      </w:r>
    </w:p>
    <w:p w14:paraId="162970D5" w14:textId="4400C3D2" w:rsidR="00B7051A" w:rsidRPr="006F41A3" w:rsidRDefault="00B7051A" w:rsidP="00271512">
      <w:pPr>
        <w:pStyle w:val="NormalWeb"/>
      </w:pPr>
      <w:r>
        <w:t xml:space="preserve">Detailed psychometric procedures for scoring, scaling, equating, and validation of the mathematics and reading assessments are implemented independently by Oxford </w:t>
      </w:r>
      <w:proofErr w:type="spellStart"/>
      <w:r>
        <w:t>MeasurEd</w:t>
      </w:r>
      <w:proofErr w:type="spellEnd"/>
      <w:r>
        <w:t xml:space="preserve"> following established best practices in educational measurement. These procedures are documented in </w:t>
      </w:r>
      <w:proofErr w:type="spellStart"/>
      <w:r>
        <w:t>MeasurEd’s</w:t>
      </w:r>
      <w:proofErr w:type="spellEnd"/>
      <w:r>
        <w:t xml:space="preserve"> internal technical documentation and are not determined by the evaluation team. The evaluation relies only on the final locked scores produced through this process.</w:t>
      </w:r>
    </w:p>
    <w:p w14:paraId="199F5E46" w14:textId="2F24E81D" w:rsidR="00EA080D" w:rsidRPr="006F41A3" w:rsidRDefault="00EA080D" w:rsidP="00EA080D">
      <w:pPr>
        <w:pStyle w:val="Heading3"/>
        <w:rPr>
          <w:rFonts w:ascii="Times New Roman" w:hAnsi="Times New Roman" w:cs="Times New Roman"/>
        </w:rPr>
      </w:pPr>
      <w:r w:rsidRPr="006F41A3">
        <w:rPr>
          <w:rFonts w:ascii="Times New Roman" w:hAnsi="Times New Roman" w:cs="Times New Roman"/>
        </w:rPr>
        <w:t xml:space="preserve">Covariates </w:t>
      </w:r>
    </w:p>
    <w:p w14:paraId="2051BC48" w14:textId="1F41CCB9" w:rsidR="00271512" w:rsidRPr="006F41A3" w:rsidRDefault="00271512" w:rsidP="00271512">
      <w:pPr>
        <w:pStyle w:val="NormalWeb"/>
      </w:pPr>
      <w:r w:rsidRPr="006F41A3">
        <w:t xml:space="preserve">Baseline data collection included student assessments </w:t>
      </w:r>
      <w:r w:rsidR="006F41A3">
        <w:t xml:space="preserve">(English comprehension and Mathematics) </w:t>
      </w:r>
      <w:r w:rsidRPr="006F41A3">
        <w:t>and a student survey administered prior to randomisation. The survey collected basic sociodemographic information, including sex, age, and selected household characteristics.</w:t>
      </w:r>
      <w:r w:rsidR="006F41A3">
        <w:t xml:space="preserve"> </w:t>
      </w:r>
    </w:p>
    <w:p w14:paraId="7AB0E308" w14:textId="7C389CED" w:rsidR="00271512" w:rsidRPr="006F41A3" w:rsidRDefault="00271512" w:rsidP="00271512">
      <w:pPr>
        <w:pStyle w:val="NormalWeb"/>
      </w:pPr>
      <w:r w:rsidRPr="006F41A3">
        <w:t>All covariates included in the analysis are pre-treatment variables. Student-level covariates include baseline mathematics achievement and baseline reading comprehension, both constructed using IRT methods. Classroom-level covariates include pre-treatment classroom mean mathematics achievement and, where specified, a pre-defined composite of classroom mean mathematics and reading comprehension.</w:t>
      </w:r>
      <w:r w:rsidR="00167F0F" w:rsidRPr="006F41A3">
        <w:t xml:space="preserve"> Classroom-level covariates are included only in selected robustness checks, as specified below</w:t>
      </w:r>
    </w:p>
    <w:p w14:paraId="56A73D88" w14:textId="5F59270C" w:rsidR="00271512" w:rsidRPr="006F41A3" w:rsidRDefault="00271512" w:rsidP="002740EB">
      <w:pPr>
        <w:pStyle w:val="Heading2"/>
      </w:pPr>
      <w:r w:rsidRPr="006F41A3">
        <w:t>Method of Analysis</w:t>
      </w:r>
    </w:p>
    <w:p w14:paraId="0539AEA3" w14:textId="77777777" w:rsidR="00271512" w:rsidRPr="006F41A3" w:rsidRDefault="00271512" w:rsidP="00271512">
      <w:pPr>
        <w:pStyle w:val="Heading3"/>
        <w:rPr>
          <w:rFonts w:ascii="Times New Roman" w:hAnsi="Times New Roman" w:cs="Times New Roman"/>
        </w:rPr>
      </w:pPr>
      <w:r w:rsidRPr="006F41A3">
        <w:rPr>
          <w:rFonts w:ascii="Times New Roman" w:hAnsi="Times New Roman" w:cs="Times New Roman"/>
        </w:rPr>
        <w:t>Intention-to-Treat (ITT) Analysis</w:t>
      </w:r>
    </w:p>
    <w:p w14:paraId="08AE6360" w14:textId="77777777" w:rsidR="00913C0B" w:rsidRPr="006F41A3" w:rsidRDefault="00913C0B" w:rsidP="00271512">
      <w:pPr>
        <w:pStyle w:val="NormalWeb"/>
      </w:pPr>
      <w:r w:rsidRPr="006F41A3">
        <w:t xml:space="preserve">The primary </w:t>
      </w:r>
      <w:proofErr w:type="spellStart"/>
      <w:r w:rsidRPr="006F41A3">
        <w:t>estimand</w:t>
      </w:r>
      <w:proofErr w:type="spellEnd"/>
      <w:r w:rsidRPr="006F41A3">
        <w:t xml:space="preserve"> is the intention-to-treat (ITT) effect of classroom-level assignment to Gemini Guided Learning on student mathematics achievement at endline. All ITT analyses are conducted at the student level, with standard errors clustered at the classroom level, which is the unit of randomisation. All models include school × grade fixed effects, reflecting the stratified randomisation design.</w:t>
      </w:r>
    </w:p>
    <w:p w14:paraId="7CB90F3F" w14:textId="76A74127" w:rsidR="00271512" w:rsidRPr="006F41A3" w:rsidRDefault="00B7051A" w:rsidP="00271512">
      <w:pPr>
        <w:pStyle w:val="NormalWeb"/>
      </w:pPr>
      <w:r>
        <w:rPr>
          <w:color w:val="000000"/>
        </w:rPr>
        <w:t xml:space="preserve">Given substantial student mobility and incomplete baseline coverage, we pre-specify two main ITT specifications. The first is a design-based endline-only specification estimated on the full endline sample (ITT Specification 1), which preserves representativeness and avoids conditioning on baseline availability. The second is an ANCOVA specification estimated on the subset of students with both baseline and endline test scores (ITT Specification 2), which improves precision by adjusting for baseline achievement. We interpret these two specifications jointly as the main results; any divergence between them will be examined and discussed </w:t>
      </w:r>
      <w:proofErr w:type="gramStart"/>
      <w:r>
        <w:rPr>
          <w:color w:val="000000"/>
        </w:rPr>
        <w:t>in light of</w:t>
      </w:r>
      <w:proofErr w:type="gramEnd"/>
      <w:r>
        <w:rPr>
          <w:color w:val="000000"/>
        </w:rPr>
        <w:t xml:space="preserve"> differential baseline availability.</w:t>
      </w:r>
    </w:p>
    <w:p w14:paraId="628ACD29" w14:textId="4C820676" w:rsidR="00271512" w:rsidRPr="006F41A3" w:rsidRDefault="00271512" w:rsidP="00271512">
      <w:pPr>
        <w:pStyle w:val="Heading4"/>
        <w:rPr>
          <w:rFonts w:ascii="Times New Roman" w:hAnsi="Times New Roman" w:cs="Times New Roman"/>
        </w:rPr>
      </w:pPr>
      <w:r w:rsidRPr="006F41A3">
        <w:rPr>
          <w:rFonts w:ascii="Times New Roman" w:hAnsi="Times New Roman" w:cs="Times New Roman"/>
        </w:rPr>
        <w:t xml:space="preserve">ITT Specification 1: Design-based endline-only model </w:t>
      </w:r>
    </w:p>
    <w:p w14:paraId="1F39556F" w14:textId="4078A05A" w:rsidR="000B41C2" w:rsidRPr="006F41A3" w:rsidRDefault="000B41C2" w:rsidP="000B41C2">
      <w:pPr>
        <w:pStyle w:val="NormalWeb"/>
      </w:pPr>
      <w:r w:rsidRPr="006F41A3">
        <w:t xml:space="preserve">As a base specification, we estimate a design-based model that includes only the randomised treatment indicator and school × grade fixed effects. This specification relies solely on the randomisation design and does not condition on baseline </w:t>
      </w:r>
      <w:r w:rsidR="00510C3C">
        <w:t>data</w:t>
      </w:r>
      <w:r w:rsidRPr="006F41A3">
        <w:t>.</w:t>
      </w:r>
    </w:p>
    <w:p w14:paraId="758F391F" w14:textId="45FB0E6C" w:rsidR="000B41C2" w:rsidRPr="006F41A3" w:rsidRDefault="00000000" w:rsidP="000B41C2">
      <w:pPr>
        <w:pStyle w:val="NormalWeb"/>
      </w:pPr>
      <m:oMathPara>
        <m:oMath>
          <m:sSubSup>
            <m:sSubSupPr>
              <m:ctrlPr>
                <w:rPr>
                  <w:rFonts w:ascii="Cambria Math" w:hAnsi="Cambria Math"/>
                  <w:i/>
                </w:rPr>
              </m:ctrlPr>
            </m:sSubSupPr>
            <m:e>
              <m:r>
                <w:rPr>
                  <w:rFonts w:ascii="Cambria Math" w:hAnsi="Cambria Math"/>
                </w:rPr>
                <m:t>Y</m:t>
              </m:r>
            </m:e>
            <m:sub>
              <m:r>
                <w:rPr>
                  <w:rFonts w:ascii="Cambria Math" w:hAnsi="Cambria Math"/>
                </w:rPr>
                <m:t>icgs</m:t>
              </m:r>
            </m:sub>
            <m:sup>
              <m:r>
                <w:rPr>
                  <w:rFonts w:ascii="Cambria Math" w:hAnsi="Cambria Math"/>
                </w:rPr>
                <m:t>EL</m:t>
              </m:r>
            </m:sup>
          </m:sSubSup>
          <m:r>
            <w:rPr>
              <w:rFonts w:ascii="Cambria Math" w:hAnsi="Cambria Math"/>
            </w:rPr>
            <m:t xml:space="preserve">= α+ </m:t>
          </m:r>
          <m:sSub>
            <m:sSubPr>
              <m:ctrlPr>
                <w:rPr>
                  <w:rFonts w:ascii="Cambria Math" w:hAnsi="Cambria Math"/>
                  <w:i/>
                </w:rPr>
              </m:ctrlPr>
            </m:sSubPr>
            <m:e>
              <m:r>
                <w:rPr>
                  <w:rFonts w:ascii="Cambria Math" w:hAnsi="Cambria Math"/>
                </w:rPr>
                <m:t>βD</m:t>
              </m:r>
            </m:e>
            <m:sub>
              <m:r>
                <w:rPr>
                  <w:rFonts w:ascii="Cambria Math" w:hAnsi="Cambria Math"/>
                </w:rPr>
                <m:t>cgs</m:t>
              </m:r>
            </m:sub>
          </m:sSub>
          <m: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gs</m:t>
              </m:r>
            </m:sub>
          </m:sSub>
          <m:r>
            <w:rPr>
              <w:rFonts w:ascii="Cambria Math" w:hAnsi="Cambria Math"/>
            </w:rPr>
            <m:t xml:space="preserve"> + </m:t>
          </m:r>
          <m:sSub>
            <m:sSubPr>
              <m:ctrlPr>
                <w:rPr>
                  <w:rFonts w:ascii="Cambria Math" w:hAnsi="Cambria Math"/>
                  <w:i/>
                </w:rPr>
              </m:ctrlPr>
            </m:sSubPr>
            <m:e>
              <m:r>
                <w:rPr>
                  <w:rFonts w:ascii="Cambria Math" w:hAnsi="Cambria Math"/>
                </w:rPr>
                <m:t>ε</m:t>
              </m:r>
            </m:e>
            <m:sub>
              <m:r>
                <w:rPr>
                  <w:rFonts w:ascii="Cambria Math" w:hAnsi="Cambria Math"/>
                </w:rPr>
                <m:t>icgs</m:t>
              </m:r>
            </m:sub>
          </m:sSub>
        </m:oMath>
      </m:oMathPara>
    </w:p>
    <w:p w14:paraId="07A1B10C" w14:textId="78209C22" w:rsidR="000B41C2" w:rsidRPr="006F41A3" w:rsidRDefault="000B41C2" w:rsidP="000B41C2">
      <w:pPr>
        <w:pStyle w:val="NormalWeb"/>
      </w:pPr>
      <w:r w:rsidRPr="006F41A3">
        <w:t xml:space="preserve">Where </w:t>
      </w:r>
      <m:oMath>
        <m:sSubSup>
          <m:sSubSupPr>
            <m:ctrlPr>
              <w:rPr>
                <w:rFonts w:ascii="Cambria Math" w:hAnsi="Cambria Math"/>
                <w:i/>
              </w:rPr>
            </m:ctrlPr>
          </m:sSubSupPr>
          <m:e>
            <m:r>
              <w:rPr>
                <w:rFonts w:ascii="Cambria Math" w:hAnsi="Cambria Math"/>
              </w:rPr>
              <m:t>Y</m:t>
            </m:r>
          </m:e>
          <m:sub>
            <m:r>
              <w:rPr>
                <w:rFonts w:ascii="Cambria Math" w:hAnsi="Cambria Math"/>
              </w:rPr>
              <m:t>icgs</m:t>
            </m:r>
          </m:sub>
          <m:sup>
            <m:r>
              <w:rPr>
                <w:rFonts w:ascii="Cambria Math" w:hAnsi="Cambria Math"/>
              </w:rPr>
              <m:t>EL</m:t>
            </m:r>
          </m:sup>
        </m:sSubSup>
      </m:oMath>
      <w:r w:rsidRPr="006F41A3">
        <w:t xml:space="preserve"> is the endline mathematics scaled score for student </w:t>
      </w:r>
      <w:proofErr w:type="spellStart"/>
      <w:r w:rsidRPr="006F41A3">
        <w:rPr>
          <w:rStyle w:val="katex-mathml"/>
          <w:i/>
          <w:iCs/>
        </w:rPr>
        <w:t>i</w:t>
      </w:r>
      <w:proofErr w:type="spellEnd"/>
      <w:r w:rsidRPr="006F41A3">
        <w:rPr>
          <w:i/>
          <w:iCs/>
        </w:rPr>
        <w:t xml:space="preserve"> </w:t>
      </w:r>
      <w:r w:rsidRPr="006F41A3">
        <w:t xml:space="preserve">in classroom </w:t>
      </w:r>
      <w:r w:rsidRPr="006F41A3">
        <w:rPr>
          <w:rStyle w:val="katex-mathml"/>
          <w:i/>
          <w:iCs/>
        </w:rPr>
        <w:t>c</w:t>
      </w:r>
      <w:r w:rsidRPr="006F41A3">
        <w:t xml:space="preserve">, grade </w:t>
      </w:r>
      <w:r w:rsidRPr="006F41A3">
        <w:rPr>
          <w:rStyle w:val="katex-mathml"/>
          <w:i/>
          <w:iCs/>
        </w:rPr>
        <w:t>g</w:t>
      </w:r>
      <w:r w:rsidRPr="006F41A3">
        <w:t xml:space="preserve">, school </w:t>
      </w:r>
      <w:r w:rsidRPr="006F41A3">
        <w:rPr>
          <w:rStyle w:val="katex-mathml"/>
          <w:i/>
          <w:iCs/>
        </w:rPr>
        <w:t>s</w:t>
      </w:r>
      <w:r w:rsidRPr="006F41A3">
        <w:t xml:space="preserve">. </w:t>
      </w:r>
      <m:oMath>
        <m:sSub>
          <m:sSubPr>
            <m:ctrlPr>
              <w:rPr>
                <w:rFonts w:ascii="Cambria Math" w:hAnsi="Cambria Math"/>
                <w:i/>
              </w:rPr>
            </m:ctrlPr>
          </m:sSubPr>
          <m:e>
            <m:r>
              <w:rPr>
                <w:rFonts w:ascii="Cambria Math" w:hAnsi="Cambria Math"/>
              </w:rPr>
              <m:t>D</m:t>
            </m:r>
          </m:e>
          <m:sub>
            <m:r>
              <w:rPr>
                <w:rFonts w:ascii="Cambria Math" w:hAnsi="Cambria Math"/>
              </w:rPr>
              <m:t>cgs</m:t>
            </m:r>
          </m:sub>
        </m:sSub>
      </m:oMath>
      <w:r w:rsidRPr="006F41A3">
        <w:t xml:space="preserve"> represents the classroom-level treatment indicator and </w:t>
      </w:r>
      <m:oMath>
        <m:sSub>
          <m:sSubPr>
            <m:ctrlPr>
              <w:rPr>
                <w:rFonts w:ascii="Cambria Math" w:hAnsi="Cambria Math"/>
                <w:i/>
              </w:rPr>
            </m:ctrlPr>
          </m:sSubPr>
          <m:e>
            <m:r>
              <w:rPr>
                <w:rFonts w:ascii="Cambria Math" w:hAnsi="Cambria Math"/>
              </w:rPr>
              <m:t>δ</m:t>
            </m:r>
          </m:e>
          <m:sub>
            <m:r>
              <w:rPr>
                <w:rFonts w:ascii="Cambria Math" w:hAnsi="Cambria Math"/>
              </w:rPr>
              <m:t>gs</m:t>
            </m:r>
          </m:sub>
        </m:sSub>
      </m:oMath>
      <w:r w:rsidRPr="006F41A3">
        <w:t xml:space="preserve"> are fixed effects for each school-by-grade stratum. Standard errors are clustered at the classroom level.</w:t>
      </w:r>
    </w:p>
    <w:p w14:paraId="6111C976" w14:textId="77777777" w:rsidR="000B41C2" w:rsidRPr="006F41A3" w:rsidRDefault="000B41C2" w:rsidP="000B41C2">
      <w:pPr>
        <w:pStyle w:val="NormalWeb"/>
      </w:pPr>
      <w:r w:rsidRPr="006F41A3">
        <w:t>This specification can be estimated for all students with observed endline outcomes, irrespective of baseline data availability, and serves as a transparent design-based benchmark.</w:t>
      </w:r>
    </w:p>
    <w:p w14:paraId="57FB93FF" w14:textId="097B75F9" w:rsidR="000B41C2" w:rsidRPr="006F41A3" w:rsidRDefault="000B41C2" w:rsidP="000B41C2">
      <w:pPr>
        <w:pStyle w:val="Heading4"/>
        <w:rPr>
          <w:rFonts w:ascii="Times New Roman" w:hAnsi="Times New Roman" w:cs="Times New Roman"/>
          <w:lang w:eastAsia="en-GB"/>
        </w:rPr>
      </w:pPr>
      <w:r w:rsidRPr="006F41A3">
        <w:rPr>
          <w:rFonts w:ascii="Times New Roman" w:hAnsi="Times New Roman" w:cs="Times New Roman"/>
          <w:lang w:eastAsia="en-GB"/>
        </w:rPr>
        <w:t>ITT Specification 2: ANCOVA with baseline achievement</w:t>
      </w:r>
    </w:p>
    <w:p w14:paraId="06213738" w14:textId="73835D3E" w:rsidR="000B41C2" w:rsidRPr="006F41A3" w:rsidRDefault="000B41C2" w:rsidP="000B41C2">
      <w:pPr>
        <w:spacing w:before="100" w:beforeAutospacing="1" w:after="100" w:afterAutospacing="1"/>
        <w:rPr>
          <w:rFonts w:ascii="Times New Roman" w:eastAsia="Times New Roman" w:hAnsi="Times New Roman" w:cs="Times New Roman"/>
          <w:kern w:val="0"/>
          <w:lang w:eastAsia="en-GB"/>
          <w14:ligatures w14:val="none"/>
        </w:rPr>
      </w:pPr>
      <w:r w:rsidRPr="000B41C2">
        <w:rPr>
          <w:rFonts w:ascii="Times New Roman" w:eastAsia="Times New Roman" w:hAnsi="Times New Roman" w:cs="Times New Roman"/>
          <w:kern w:val="0"/>
          <w:lang w:eastAsia="en-GB"/>
          <w14:ligatures w14:val="none"/>
        </w:rPr>
        <w:t>The primary analysis uses an ANCOVA specification that conditions on baseline achievement measures to improve precision.</w:t>
      </w:r>
    </w:p>
    <w:p w14:paraId="4FD069D7" w14:textId="520D781D" w:rsidR="00271512" w:rsidRPr="006F41A3" w:rsidRDefault="00000000" w:rsidP="00271512">
      <w:pPr>
        <w:pStyle w:val="NormalWeb"/>
      </w:pPr>
      <m:oMathPara>
        <m:oMath>
          <m:sSubSup>
            <m:sSubSupPr>
              <m:ctrlPr>
                <w:rPr>
                  <w:rFonts w:ascii="Cambria Math" w:hAnsi="Cambria Math"/>
                  <w:i/>
                </w:rPr>
              </m:ctrlPr>
            </m:sSubSupPr>
            <m:e>
              <m:r>
                <w:rPr>
                  <w:rFonts w:ascii="Cambria Math" w:hAnsi="Cambria Math"/>
                </w:rPr>
                <m:t>Y</m:t>
              </m:r>
            </m:e>
            <m:sub>
              <m:r>
                <w:rPr>
                  <w:rFonts w:ascii="Cambria Math" w:hAnsi="Cambria Math"/>
                </w:rPr>
                <m:t>icgs</m:t>
              </m:r>
            </m:sub>
            <m:sup>
              <m:r>
                <w:rPr>
                  <w:rFonts w:ascii="Cambria Math" w:hAnsi="Cambria Math"/>
                </w:rPr>
                <m:t>EL</m:t>
              </m:r>
            </m:sup>
          </m:sSubSup>
          <m:r>
            <w:rPr>
              <w:rFonts w:ascii="Cambria Math" w:hAnsi="Cambria Math"/>
            </w:rPr>
            <m:t xml:space="preserve">= α+ </m:t>
          </m:r>
          <m:sSub>
            <m:sSubPr>
              <m:ctrlPr>
                <w:rPr>
                  <w:rFonts w:ascii="Cambria Math" w:hAnsi="Cambria Math"/>
                  <w:i/>
                </w:rPr>
              </m:ctrlPr>
            </m:sSubPr>
            <m:e>
              <m:r>
                <w:rPr>
                  <w:rFonts w:ascii="Cambria Math" w:hAnsi="Cambria Math"/>
                </w:rPr>
                <m:t>βD</m:t>
              </m:r>
            </m:e>
            <m:sub>
              <m:r>
                <w:rPr>
                  <w:rFonts w:ascii="Cambria Math" w:hAnsi="Cambria Math"/>
                </w:rPr>
                <m:t>cgs</m:t>
              </m:r>
            </m:sub>
          </m:sSub>
          <m:r>
            <w:rPr>
              <w:rFonts w:ascii="Cambria Math" w:hAnsi="Cambria Math"/>
            </w:rPr>
            <m:t xml:space="preserve">+ </m:t>
          </m:r>
          <m:sSubSup>
            <m:sSubSupPr>
              <m:ctrlPr>
                <w:rPr>
                  <w:rFonts w:ascii="Cambria Math" w:hAnsi="Cambria Math"/>
                  <w:i/>
                </w:rPr>
              </m:ctrlPr>
            </m:sSubSupPr>
            <m:e>
              <m:sSub>
                <m:sSubPr>
                  <m:ctrlPr>
                    <w:rPr>
                      <w:rFonts w:ascii="Cambria Math" w:hAnsi="Cambria Math"/>
                      <w:i/>
                    </w:rPr>
                  </m:ctrlPr>
                </m:sSubPr>
                <m:e>
                  <m:r>
                    <w:rPr>
                      <w:rFonts w:ascii="Cambria Math" w:hAnsi="Cambria Math"/>
                    </w:rPr>
                    <m:t>γ</m:t>
                  </m:r>
                </m:e>
                <m:sub>
                  <m:r>
                    <w:rPr>
                      <w:rFonts w:ascii="Cambria Math" w:hAnsi="Cambria Math"/>
                    </w:rPr>
                    <m:t>1</m:t>
                  </m:r>
                </m:sub>
              </m:sSub>
              <m:r>
                <w:rPr>
                  <w:rFonts w:ascii="Cambria Math" w:hAnsi="Cambria Math"/>
                </w:rPr>
                <m:t>Y</m:t>
              </m:r>
            </m:e>
            <m:sub>
              <m:r>
                <w:rPr>
                  <w:rFonts w:ascii="Cambria Math" w:hAnsi="Cambria Math"/>
                </w:rPr>
                <m:t>icgs</m:t>
              </m:r>
            </m:sub>
            <m:sup>
              <m:r>
                <w:rPr>
                  <w:rFonts w:ascii="Cambria Math" w:hAnsi="Cambria Math"/>
                </w:rPr>
                <m:t>BL</m:t>
              </m:r>
            </m:sup>
          </m:sSubSup>
          <m:r>
            <w:rPr>
              <w:rFonts w:ascii="Cambria Math" w:hAnsi="Cambria Math"/>
            </w:rPr>
            <m:t xml:space="preserve">+ </m:t>
          </m:r>
          <m:sSubSup>
            <m:sSubSupPr>
              <m:ctrlPr>
                <w:rPr>
                  <w:rFonts w:ascii="Cambria Math" w:hAnsi="Cambria Math"/>
                  <w:i/>
                </w:rPr>
              </m:ctrlPr>
            </m:sSubSupPr>
            <m:e>
              <m:sSub>
                <m:sSubPr>
                  <m:ctrlPr>
                    <w:rPr>
                      <w:rFonts w:ascii="Cambria Math" w:hAnsi="Cambria Math"/>
                      <w:i/>
                    </w:rPr>
                  </m:ctrlPr>
                </m:sSubPr>
                <m:e>
                  <m:r>
                    <w:rPr>
                      <w:rFonts w:ascii="Cambria Math" w:hAnsi="Cambria Math"/>
                    </w:rPr>
                    <m:t>γ</m:t>
                  </m:r>
                </m:e>
                <m:sub>
                  <m:r>
                    <w:rPr>
                      <w:rFonts w:ascii="Cambria Math" w:hAnsi="Cambria Math"/>
                    </w:rPr>
                    <m:t>2</m:t>
                  </m:r>
                </m:sub>
              </m:sSub>
              <m:r>
                <w:rPr>
                  <w:rFonts w:ascii="Cambria Math" w:hAnsi="Cambria Math"/>
                </w:rPr>
                <m:t>E</m:t>
              </m:r>
            </m:e>
            <m:sub>
              <m:r>
                <w:rPr>
                  <w:rFonts w:ascii="Cambria Math" w:hAnsi="Cambria Math"/>
                </w:rPr>
                <m:t>icgs</m:t>
              </m:r>
            </m:sub>
            <m:sup>
              <m:r>
                <w:rPr>
                  <w:rFonts w:ascii="Cambria Math" w:hAnsi="Cambria Math"/>
                </w:rPr>
                <m:t>BL</m:t>
              </m:r>
            </m:sup>
          </m:sSubSup>
          <m: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gs</m:t>
              </m:r>
            </m:sub>
          </m:sSub>
          <m:r>
            <w:rPr>
              <w:rFonts w:ascii="Cambria Math" w:hAnsi="Cambria Math"/>
            </w:rPr>
            <m:t xml:space="preserve"> + </m:t>
          </m:r>
          <m:sSub>
            <m:sSubPr>
              <m:ctrlPr>
                <w:rPr>
                  <w:rFonts w:ascii="Cambria Math" w:hAnsi="Cambria Math"/>
                  <w:i/>
                </w:rPr>
              </m:ctrlPr>
            </m:sSubPr>
            <m:e>
              <m:r>
                <w:rPr>
                  <w:rFonts w:ascii="Cambria Math" w:hAnsi="Cambria Math"/>
                </w:rPr>
                <m:t>ε</m:t>
              </m:r>
            </m:e>
            <m:sub>
              <m:r>
                <w:rPr>
                  <w:rFonts w:ascii="Cambria Math" w:hAnsi="Cambria Math"/>
                </w:rPr>
                <m:t>icgs</m:t>
              </m:r>
            </m:sub>
          </m:sSub>
        </m:oMath>
      </m:oMathPara>
    </w:p>
    <w:p w14:paraId="71D517CD" w14:textId="31B29469" w:rsidR="000B41C2" w:rsidRDefault="00271512" w:rsidP="000B41C2">
      <w:pPr>
        <w:pStyle w:val="NormalWeb"/>
      </w:pPr>
      <w:r w:rsidRPr="006F41A3">
        <w:t xml:space="preserve">Where </w:t>
      </w:r>
      <m:oMath>
        <m:sSub>
          <m:sSubPr>
            <m:ctrlPr>
              <w:rPr>
                <w:rFonts w:ascii="Cambria Math" w:hAnsi="Cambria Math"/>
                <w:i/>
              </w:rPr>
            </m:ctrlPr>
          </m:sSubPr>
          <m:e>
            <m:r>
              <w:rPr>
                <w:rFonts w:ascii="Cambria Math" w:hAnsi="Cambria Math"/>
              </w:rPr>
              <m:t>γ</m:t>
            </m:r>
          </m:e>
          <m:sub>
            <m:r>
              <w:rPr>
                <w:rFonts w:ascii="Cambria Math" w:hAnsi="Cambria Math"/>
              </w:rPr>
              <m:t>1</m:t>
            </m:r>
          </m:sub>
        </m:sSub>
      </m:oMath>
      <w:r w:rsidRPr="006F41A3">
        <w:t xml:space="preserve"> and </w:t>
      </w:r>
      <m:oMath>
        <m:sSub>
          <m:sSubPr>
            <m:ctrlPr>
              <w:rPr>
                <w:rFonts w:ascii="Cambria Math" w:hAnsi="Cambria Math"/>
                <w:i/>
              </w:rPr>
            </m:ctrlPr>
          </m:sSubPr>
          <m:e>
            <m:r>
              <w:rPr>
                <w:rFonts w:ascii="Cambria Math" w:hAnsi="Cambria Math"/>
              </w:rPr>
              <m:t>γ</m:t>
            </m:r>
          </m:e>
          <m:sub>
            <m:r>
              <w:rPr>
                <w:rFonts w:ascii="Cambria Math" w:hAnsi="Cambria Math"/>
              </w:rPr>
              <m:t>2</m:t>
            </m:r>
          </m:sub>
        </m:sSub>
      </m:oMath>
      <w:r w:rsidRPr="006F41A3">
        <w:rPr>
          <w:rStyle w:val="vlist-s"/>
          <w:rFonts w:eastAsiaTheme="majorEastAsia"/>
        </w:rPr>
        <w:t>​</w:t>
      </w:r>
      <w:r w:rsidRPr="006F41A3">
        <w:t xml:space="preserve"> are the coefficients on baseline mathematics and baseline English </w:t>
      </w:r>
      <w:r w:rsidR="006769CF" w:rsidRPr="006F41A3">
        <w:t xml:space="preserve">comprehension </w:t>
      </w:r>
      <w:r w:rsidRPr="006F41A3">
        <w:t>scaled scores</w:t>
      </w:r>
      <w:r w:rsidR="006F41A3">
        <w:rPr>
          <w:rStyle w:val="FootnoteReference"/>
        </w:rPr>
        <w:footnoteReference w:id="1"/>
      </w:r>
      <w:r w:rsidRPr="006F41A3">
        <w:t xml:space="preserve">, respectively. </w:t>
      </w:r>
      <w:r w:rsidR="000B41C2" w:rsidRPr="006F41A3">
        <w:t>This specification includes the same school × grade fixed effects and clustered standard errors as Specification 1.</w:t>
      </w:r>
    </w:p>
    <w:p w14:paraId="0D1F355F" w14:textId="77777777" w:rsidR="000B41C2" w:rsidRPr="006F41A3" w:rsidRDefault="000B41C2" w:rsidP="000B41C2">
      <w:pPr>
        <w:pStyle w:val="Heading4"/>
        <w:rPr>
          <w:rFonts w:ascii="Times New Roman" w:hAnsi="Times New Roman" w:cs="Times New Roman"/>
        </w:rPr>
      </w:pPr>
      <w:r w:rsidRPr="006F41A3">
        <w:rPr>
          <w:rFonts w:ascii="Times New Roman" w:hAnsi="Times New Roman" w:cs="Times New Roman"/>
        </w:rPr>
        <w:t>ITT Specification 3: ANCOVA with baseline achievement and demographics</w:t>
      </w:r>
    </w:p>
    <w:p w14:paraId="2ACC57FD" w14:textId="3D7A3025" w:rsidR="00A17A58" w:rsidRDefault="00A17A58" w:rsidP="000B41C2">
      <w:pPr>
        <w:pStyle w:val="NormalWeb"/>
      </w:pPr>
      <w:r>
        <w:t>As a robustness check, we estimate an augmented ANCOVA specification that additionally adjusts for pre-treatment student characteristics collected at baseline. These include basic demographics (age and gender), household and socioeconomic background, schooling and vulnerability indicators, learning environment and resources, and digital familiarity. Age and gender are always included and are fully observed, as they are also collected from administrative school records. Additional baseline covariates are restricted to pre-treatment variables and included only when they have sufficient response rates to contribute meaningful information.</w:t>
      </w:r>
      <w:r w:rsidRPr="00A17A58">
        <w:t xml:space="preserve"> </w:t>
      </w:r>
      <w:r>
        <w:t xml:space="preserve">Treatment assignment and school × grade fixed effects are always included. This specification does not change the </w:t>
      </w:r>
      <w:proofErr w:type="spellStart"/>
      <w:r>
        <w:t>estimand</w:t>
      </w:r>
      <w:proofErr w:type="spellEnd"/>
      <w:r>
        <w:t xml:space="preserve"> and is used solely to assess robustness and potential precision gains.</w:t>
      </w:r>
    </w:p>
    <w:p w14:paraId="097931A1" w14:textId="3657362B" w:rsidR="00271512" w:rsidRPr="006F41A3" w:rsidRDefault="00000000" w:rsidP="000B41C2">
      <w:pPr>
        <w:pStyle w:val="NormalWeb"/>
      </w:pPr>
      <m:oMathPara>
        <m:oMath>
          <m:sSubSup>
            <m:sSubSupPr>
              <m:ctrlPr>
                <w:rPr>
                  <w:rFonts w:ascii="Cambria Math" w:hAnsi="Cambria Math"/>
                </w:rPr>
              </m:ctrlPr>
            </m:sSubSupPr>
            <m:e>
              <m:r>
                <w:rPr>
                  <w:rFonts w:ascii="Cambria Math" w:hAnsi="Cambria Math"/>
                </w:rPr>
                <m:t>Y</m:t>
              </m:r>
            </m:e>
            <m:sub>
              <m:r>
                <w:rPr>
                  <w:rFonts w:ascii="Cambria Math" w:hAnsi="Cambria Math"/>
                </w:rPr>
                <m:t>icgs</m:t>
              </m:r>
            </m:sub>
            <m:sup>
              <m:r>
                <w:rPr>
                  <w:rFonts w:ascii="Cambria Math" w:hAnsi="Cambria Math"/>
                </w:rPr>
                <m:t>EL</m:t>
              </m:r>
            </m:sup>
          </m:sSubSup>
          <m:r>
            <w:rPr>
              <w:rFonts w:ascii="Cambria Math" w:hAnsi="Cambria Math"/>
            </w:rPr>
            <m:t>=α+β</m:t>
          </m:r>
          <m:sSub>
            <m:sSubPr>
              <m:ctrlPr>
                <w:rPr>
                  <w:rFonts w:ascii="Cambria Math" w:hAnsi="Cambria Math"/>
                </w:rPr>
              </m:ctrlPr>
            </m:sSubPr>
            <m:e>
              <m:r>
                <w:rPr>
                  <w:rFonts w:ascii="Cambria Math" w:hAnsi="Cambria Math"/>
                </w:rPr>
                <m:t>D</m:t>
              </m:r>
            </m:e>
            <m:sub>
              <m:r>
                <w:rPr>
                  <w:rFonts w:ascii="Cambria Math" w:hAnsi="Cambria Math"/>
                </w:rPr>
                <m:t>cgs</m:t>
              </m:r>
            </m:sub>
          </m:sSub>
          <m: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1</m:t>
              </m:r>
            </m:sub>
          </m:sSub>
          <m:sSubSup>
            <m:sSubSupPr>
              <m:ctrlPr>
                <w:rPr>
                  <w:rFonts w:ascii="Cambria Math" w:hAnsi="Cambria Math"/>
                </w:rPr>
              </m:ctrlPr>
            </m:sSubSupPr>
            <m:e>
              <m:r>
                <w:rPr>
                  <w:rFonts w:ascii="Cambria Math" w:hAnsi="Cambria Math"/>
                </w:rPr>
                <m:t>Y</m:t>
              </m:r>
            </m:e>
            <m:sub>
              <m:r>
                <w:rPr>
                  <w:rFonts w:ascii="Cambria Math" w:hAnsi="Cambria Math"/>
                </w:rPr>
                <m:t>icgs</m:t>
              </m:r>
            </m:sub>
            <m:sup>
              <m:r>
                <w:rPr>
                  <w:rFonts w:ascii="Cambria Math" w:hAnsi="Cambria Math"/>
                </w:rPr>
                <m:t>BL</m:t>
              </m:r>
            </m:sup>
          </m:sSubSup>
          <m:r>
            <w:rPr>
              <w:rFonts w:ascii="Cambria Math" w:hAnsi="Cambria Math"/>
            </w:rPr>
            <m:t>+</m:t>
          </m:r>
          <m:sSub>
            <m:sSubPr>
              <m:ctrlPr>
                <w:rPr>
                  <w:rFonts w:ascii="Cambria Math" w:hAnsi="Cambria Math"/>
                </w:rPr>
              </m:ctrlPr>
            </m:sSubPr>
            <m:e>
              <m:r>
                <w:rPr>
                  <w:rFonts w:ascii="Cambria Math" w:hAnsi="Cambria Math"/>
                </w:rPr>
                <m:t>γ</m:t>
              </m:r>
            </m:e>
            <m:sub>
              <m:r>
                <w:rPr>
                  <w:rFonts w:ascii="Cambria Math" w:hAnsi="Cambria Math"/>
                </w:rPr>
                <m:t>2</m:t>
              </m:r>
            </m:sub>
          </m:sSub>
          <m:sSubSup>
            <m:sSubSupPr>
              <m:ctrlPr>
                <w:rPr>
                  <w:rFonts w:ascii="Cambria Math" w:hAnsi="Cambria Math"/>
                </w:rPr>
              </m:ctrlPr>
            </m:sSubSupPr>
            <m:e>
              <m:r>
                <w:rPr>
                  <w:rFonts w:ascii="Cambria Math" w:hAnsi="Cambria Math"/>
                </w:rPr>
                <m:t>E</m:t>
              </m:r>
            </m:e>
            <m:sub>
              <m:r>
                <w:rPr>
                  <w:rFonts w:ascii="Cambria Math" w:hAnsi="Cambria Math"/>
                </w:rPr>
                <m:t>icgs</m:t>
              </m:r>
            </m:sub>
            <m:sup>
              <m:r>
                <w:rPr>
                  <w:rFonts w:ascii="Cambria Math" w:hAnsi="Cambria Math"/>
                </w:rPr>
                <m:t>BL</m:t>
              </m:r>
            </m:sup>
          </m:sSubSup>
          <m:r>
            <w:rPr>
              <w:rFonts w:ascii="Cambria Math" w:hAnsi="Cambria Math"/>
            </w:rPr>
            <m:t>+</m:t>
          </m:r>
          <m:r>
            <m:rPr>
              <m:sty m:val="p"/>
            </m:rPr>
            <w:rPr>
              <w:rFonts w:ascii="Cambria Math" w:hAnsi="Cambria Math"/>
            </w:rPr>
            <w:sym w:font="Symbol" w:char="F0A6"/>
          </m:r>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icgs</m:t>
              </m:r>
            </m:sub>
          </m:sSub>
          <m:r>
            <w:rPr>
              <w:rFonts w:ascii="Cambria Math" w:hAnsi="Cambria Math"/>
            </w:rPr>
            <m:t>)+</m:t>
          </m:r>
          <m:sSub>
            <m:sSubPr>
              <m:ctrlPr>
                <w:rPr>
                  <w:rFonts w:ascii="Cambria Math" w:hAnsi="Cambria Math"/>
                </w:rPr>
              </m:ctrlPr>
            </m:sSubPr>
            <m:e>
              <m:r>
                <w:rPr>
                  <w:rFonts w:ascii="Cambria Math" w:hAnsi="Cambria Math"/>
                </w:rPr>
                <m:t>δ</m:t>
              </m:r>
            </m:e>
            <m:sub>
              <m:r>
                <w:rPr>
                  <w:rFonts w:ascii="Cambria Math" w:hAnsi="Cambria Math"/>
                </w:rPr>
                <m:t>gs</m:t>
              </m:r>
            </m:sub>
          </m:sSub>
          <m:r>
            <w:rPr>
              <w:rFonts w:ascii="Cambria Math" w:hAnsi="Cambria Math"/>
            </w:rPr>
            <m:t>+</m:t>
          </m:r>
          <m:sSub>
            <m:sSubPr>
              <m:ctrlPr>
                <w:rPr>
                  <w:rFonts w:ascii="Cambria Math" w:hAnsi="Cambria Math"/>
                </w:rPr>
              </m:ctrlPr>
            </m:sSubPr>
            <m:e>
              <m:r>
                <w:rPr>
                  <w:rFonts w:ascii="Cambria Math" w:hAnsi="Cambria Math"/>
                </w:rPr>
                <m:t>ε</m:t>
              </m:r>
            </m:e>
            <m:sub>
              <m:r>
                <w:rPr>
                  <w:rFonts w:ascii="Cambria Math" w:hAnsi="Cambria Math"/>
                </w:rPr>
                <m:t>icgs</m:t>
              </m:r>
            </m:sub>
          </m:sSub>
          <m:r>
            <m:rPr>
              <m:sty m:val="p"/>
            </m:rPr>
            <w:br/>
          </m:r>
        </m:oMath>
      </m:oMathPara>
    </w:p>
    <w:p w14:paraId="1620EBF8" w14:textId="6AD12EC9" w:rsidR="004C0EEC" w:rsidRPr="006F41A3" w:rsidRDefault="00000000" w:rsidP="004C0EEC">
      <w:pPr>
        <w:pStyle w:val="NormalWeb"/>
      </w:pPr>
      <m:oMath>
        <m:sSub>
          <m:sSubPr>
            <m:ctrlPr>
              <w:rPr>
                <w:rFonts w:ascii="Cambria Math" w:hAnsi="Cambria Math"/>
                <w:i/>
              </w:rPr>
            </m:ctrlPr>
          </m:sSubPr>
          <m:e>
            <m:r>
              <w:rPr>
                <w:rFonts w:ascii="Cambria Math" w:hAnsi="Cambria Math"/>
              </w:rPr>
              <m:t>X</m:t>
            </m:r>
          </m:e>
          <m:sub>
            <m:r>
              <w:rPr>
                <w:rFonts w:ascii="Cambria Math" w:hAnsi="Cambria Math"/>
              </w:rPr>
              <m:t>icgs</m:t>
            </m:r>
          </m:sub>
        </m:sSub>
      </m:oMath>
      <w:r w:rsidR="00194696" w:rsidRPr="006F41A3">
        <w:t xml:space="preserve"> includes student-level sociodemographic covariates</w:t>
      </w:r>
      <w:r w:rsidR="00673FBE" w:rsidRPr="006F41A3">
        <w:t xml:space="preserve"> (e.g., sex, age, household characteristics).</w:t>
      </w:r>
    </w:p>
    <w:p w14:paraId="24A23FFE" w14:textId="77777777" w:rsidR="004C0EEC" w:rsidRPr="006F41A3" w:rsidRDefault="004C0EEC" w:rsidP="002740EB">
      <w:pPr>
        <w:pStyle w:val="Heading2"/>
      </w:pPr>
      <w:r w:rsidRPr="006F41A3">
        <w:lastRenderedPageBreak/>
        <w:t>Treatment-on-the-Treated (TOT) and Dosage Analyses</w:t>
      </w:r>
    </w:p>
    <w:p w14:paraId="7F7DBD4D" w14:textId="77777777" w:rsidR="004C0EEC" w:rsidRPr="006F41A3" w:rsidRDefault="004C0EEC" w:rsidP="004C0EEC">
      <w:pPr>
        <w:pStyle w:val="Heading3"/>
        <w:rPr>
          <w:rFonts w:ascii="Times New Roman" w:hAnsi="Times New Roman" w:cs="Times New Roman"/>
        </w:rPr>
      </w:pPr>
      <w:r w:rsidRPr="006F41A3">
        <w:rPr>
          <w:rFonts w:ascii="Times New Roman" w:hAnsi="Times New Roman" w:cs="Times New Roman"/>
        </w:rPr>
        <w:t xml:space="preserve">Motivation and </w:t>
      </w:r>
      <w:proofErr w:type="spellStart"/>
      <w:r w:rsidRPr="006F41A3">
        <w:rPr>
          <w:rFonts w:ascii="Times New Roman" w:hAnsi="Times New Roman" w:cs="Times New Roman"/>
        </w:rPr>
        <w:t>estimand</w:t>
      </w:r>
      <w:proofErr w:type="spellEnd"/>
    </w:p>
    <w:p w14:paraId="15D41E7F" w14:textId="76F9124B" w:rsidR="004C0EEC" w:rsidRPr="006F41A3" w:rsidRDefault="004C0EEC" w:rsidP="004C0EEC">
      <w:pPr>
        <w:pStyle w:val="NormalWeb"/>
      </w:pPr>
      <w:r w:rsidRPr="006F41A3">
        <w:t>The TOT analysis assesses whether higher exposure to Gemini Guided Learning leads to larger learning gains among students in classrooms assigned to treatment. Because exposure is not randomly assigned at the student level, dosage-based effects are estimated using instrumental variables methods and interpreted as local average treatment effects for students whose exposure responds to classroom assignment.</w:t>
      </w:r>
      <w:r w:rsidR="00BF79F6" w:rsidRPr="006F41A3">
        <w:t xml:space="preserve"> We refer to this as a TOT/dose–response </w:t>
      </w:r>
      <w:proofErr w:type="spellStart"/>
      <w:r w:rsidR="00BF79F6" w:rsidRPr="006F41A3">
        <w:t>estimand</w:t>
      </w:r>
      <w:proofErr w:type="spellEnd"/>
      <w:r w:rsidR="00BF79F6" w:rsidRPr="006F41A3">
        <w:t>.</w:t>
      </w:r>
      <w:r w:rsidR="00167F0F" w:rsidRPr="006F41A3">
        <w:t xml:space="preserve"> The first-stage equation is identical across all TOT specifications.</w:t>
      </w:r>
    </w:p>
    <w:p w14:paraId="05A2BACB" w14:textId="77777777" w:rsidR="004C0EEC" w:rsidRPr="006F41A3" w:rsidRDefault="004C0EEC" w:rsidP="004C0EEC">
      <w:pPr>
        <w:pStyle w:val="Heading3"/>
        <w:rPr>
          <w:rFonts w:ascii="Times New Roman" w:hAnsi="Times New Roman" w:cs="Times New Roman"/>
        </w:rPr>
      </w:pPr>
      <w:r w:rsidRPr="006F41A3">
        <w:rPr>
          <w:rFonts w:ascii="Times New Roman" w:hAnsi="Times New Roman" w:cs="Times New Roman"/>
        </w:rPr>
        <w:t>Dosage definition</w:t>
      </w:r>
    </w:p>
    <w:p w14:paraId="4EE4AA41" w14:textId="725D004D" w:rsidR="004C0EEC" w:rsidRPr="006F41A3" w:rsidRDefault="00222552" w:rsidP="004C0EEC">
      <w:pPr>
        <w:pStyle w:val="NormalWeb"/>
      </w:pPr>
      <w:r w:rsidRPr="006F41A3">
        <w:t>Student-level dosage is defined as total exposure time to Gemini Guided Learning, measured as the total number of hours the student was present during Gemini-supported mathematics instruction over the intervention period. Exposure time is constructed using attendance records and session duration information from implementation monitoring data</w:t>
      </w:r>
      <w:r w:rsidR="004C0EEC" w:rsidRPr="006F41A3">
        <w:t xml:space="preserve">. </w:t>
      </w:r>
    </w:p>
    <w:p w14:paraId="46169223" w14:textId="333EA9F8" w:rsidR="00BF79F6" w:rsidRDefault="00222552" w:rsidP="00B7051A">
      <w:pPr>
        <w:pStyle w:val="Heading4"/>
        <w:rPr>
          <w:rFonts w:ascii="Times New Roman" w:hAnsi="Times New Roman" w:cs="Times New Roman"/>
        </w:rPr>
      </w:pPr>
      <w:r w:rsidRPr="006F41A3">
        <w:rPr>
          <w:rFonts w:ascii="Times New Roman" w:hAnsi="Times New Roman" w:cs="Times New Roman"/>
          <w:lang w:eastAsia="en-GB"/>
        </w:rPr>
        <w:t>TOT Specification 1:</w:t>
      </w:r>
      <w:r w:rsidR="00BF79F6" w:rsidRPr="006F41A3">
        <w:rPr>
          <w:rFonts w:ascii="Times New Roman" w:hAnsi="Times New Roman" w:cs="Times New Roman"/>
        </w:rPr>
        <w:t xml:space="preserve"> Design-based endline-only IV model </w:t>
      </w:r>
    </w:p>
    <w:p w14:paraId="7E3E5092" w14:textId="77777777" w:rsidR="00B7051A" w:rsidRPr="00B7051A" w:rsidRDefault="00B7051A" w:rsidP="00B7051A"/>
    <w:p w14:paraId="40F265CF" w14:textId="3FF4AAB4" w:rsidR="00BF79F6" w:rsidRPr="006F41A3" w:rsidRDefault="00BF79F6" w:rsidP="00BF79F6">
      <w:pPr>
        <w:rPr>
          <w:rFonts w:ascii="Times New Roman" w:hAnsi="Times New Roman" w:cs="Times New Roman"/>
        </w:rPr>
      </w:pPr>
      <w:r w:rsidRPr="006F41A3">
        <w:rPr>
          <w:rFonts w:ascii="Times New Roman" w:hAnsi="Times New Roman" w:cs="Times New Roman"/>
        </w:rPr>
        <w:t>This specification mirrors the design-based ITT benchmark and does not condition on baseline outcomes. It can be estimated for all eligible students with endline outcomes and dosage information.</w:t>
      </w:r>
    </w:p>
    <w:p w14:paraId="13EB4F02" w14:textId="77777777" w:rsidR="00BF79F6" w:rsidRPr="006F41A3" w:rsidRDefault="00BF79F6" w:rsidP="00BF79F6">
      <w:pPr>
        <w:rPr>
          <w:rFonts w:ascii="Times New Roman" w:hAnsi="Times New Roman" w:cs="Times New Roman"/>
        </w:rPr>
      </w:pPr>
    </w:p>
    <w:p w14:paraId="3963FBD0" w14:textId="77777777" w:rsidR="00BF79F6" w:rsidRPr="006F41A3" w:rsidRDefault="00BF79F6" w:rsidP="00BF79F6">
      <w:pPr>
        <w:pStyle w:val="NormalWeb"/>
        <w:rPr>
          <w:i/>
        </w:rPr>
      </w:pPr>
      <w:r w:rsidRPr="006F41A3">
        <w:t xml:space="preserve">First stage: </w:t>
      </w:r>
      <w:r w:rsidRPr="006F41A3">
        <w:rPr>
          <w:i/>
        </w:rPr>
        <w:br/>
      </w:r>
      <m:oMathPara>
        <m:oMath>
          <m:sSub>
            <m:sSubPr>
              <m:ctrlPr>
                <w:rPr>
                  <w:rFonts w:ascii="Cambria Math" w:hAnsi="Cambria Math"/>
                  <w:i/>
                </w:rPr>
              </m:ctrlPr>
            </m:sSubPr>
            <m:e>
              <m:r>
                <w:rPr>
                  <w:rFonts w:ascii="Cambria Math" w:hAnsi="Cambria Math"/>
                </w:rPr>
                <m:t>Dosage</m:t>
              </m:r>
            </m:e>
            <m:sub>
              <m:r>
                <w:rPr>
                  <w:rFonts w:ascii="Cambria Math" w:hAnsi="Cambria Math"/>
                </w:rPr>
                <m:t>icgs</m:t>
              </m:r>
            </m:sub>
          </m:sSub>
          <m:r>
            <w:rPr>
              <w:rFonts w:ascii="Cambria Math" w:hAnsi="Cambria Math"/>
            </w:rPr>
            <m:t xml:space="preserve">= κ+ </m:t>
          </m:r>
          <m:sSub>
            <m:sSubPr>
              <m:ctrlPr>
                <w:rPr>
                  <w:rFonts w:ascii="Cambria Math" w:hAnsi="Cambria Math"/>
                  <w:i/>
                </w:rPr>
              </m:ctrlPr>
            </m:sSubPr>
            <m:e>
              <m:r>
                <w:rPr>
                  <w:rFonts w:ascii="Cambria Math" w:hAnsi="Cambria Math"/>
                </w:rPr>
                <m:t>κ</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cgs</m:t>
              </m:r>
            </m:sub>
          </m:sSub>
          <m: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gs</m:t>
              </m:r>
            </m:sub>
          </m:sSub>
          <m:r>
            <w:rPr>
              <w:rFonts w:ascii="Cambria Math" w:hAnsi="Cambria Math"/>
            </w:rPr>
            <m:t xml:space="preserve"> + </m:t>
          </m:r>
          <m:sSub>
            <m:sSubPr>
              <m:ctrlPr>
                <w:rPr>
                  <w:rFonts w:ascii="Cambria Math" w:hAnsi="Cambria Math"/>
                  <w:i/>
                </w:rPr>
              </m:ctrlPr>
            </m:sSubPr>
            <m:e>
              <m:r>
                <w:rPr>
                  <w:rFonts w:ascii="Cambria Math" w:hAnsi="Cambria Math"/>
                </w:rPr>
                <m:t>μ</m:t>
              </m:r>
            </m:e>
            <m:sub>
              <m:r>
                <w:rPr>
                  <w:rFonts w:ascii="Cambria Math" w:hAnsi="Cambria Math"/>
                </w:rPr>
                <m:t>icgs</m:t>
              </m:r>
            </m:sub>
          </m:sSub>
        </m:oMath>
      </m:oMathPara>
    </w:p>
    <w:p w14:paraId="4BC035E6" w14:textId="77777777" w:rsidR="00BF79F6" w:rsidRPr="006F41A3" w:rsidRDefault="00BF79F6" w:rsidP="00BF79F6">
      <w:pPr>
        <w:pStyle w:val="NormalWeb"/>
      </w:pPr>
      <w:r w:rsidRPr="006F41A3">
        <w:t>Second stage (outcome on predicted exposure):</w:t>
      </w:r>
    </w:p>
    <w:p w14:paraId="27E0A281" w14:textId="3D57659B" w:rsidR="00BF79F6" w:rsidRPr="006F41A3" w:rsidRDefault="00000000" w:rsidP="006F41A3">
      <w:pPr>
        <w:pStyle w:val="NormalWeb"/>
        <w:jc w:val="center"/>
      </w:pPr>
      <m:oMathPara>
        <m:oMath>
          <m:sSubSup>
            <m:sSubSupPr>
              <m:ctrlPr>
                <w:rPr>
                  <w:rFonts w:ascii="Cambria Math" w:hAnsi="Cambria Math"/>
                  <w:i/>
                </w:rPr>
              </m:ctrlPr>
            </m:sSubSupPr>
            <m:e>
              <m:r>
                <w:rPr>
                  <w:rFonts w:ascii="Cambria Math" w:hAnsi="Cambria Math"/>
                </w:rPr>
                <m:t>Y</m:t>
              </m:r>
            </m:e>
            <m:sub>
              <m:r>
                <w:rPr>
                  <w:rFonts w:ascii="Cambria Math" w:hAnsi="Cambria Math"/>
                </w:rPr>
                <m:t>icgs</m:t>
              </m:r>
            </m:sub>
            <m:sup>
              <m:r>
                <w:rPr>
                  <w:rFonts w:ascii="Cambria Math" w:hAnsi="Cambria Math"/>
                </w:rPr>
                <m:t>EL</m:t>
              </m:r>
            </m:sup>
          </m:sSubSup>
          <m:r>
            <w:rPr>
              <w:rFonts w:ascii="Cambria Math" w:hAnsi="Cambria Math"/>
            </w:rPr>
            <m:t xml:space="preserve">= α+ </m:t>
          </m:r>
          <m:sSub>
            <m:sSubPr>
              <m:ctrlPr>
                <w:rPr>
                  <w:rFonts w:ascii="Cambria Math" w:hAnsi="Cambria Math"/>
                  <w:i/>
                </w:rPr>
              </m:ctrlPr>
            </m:sSubPr>
            <m:e>
              <m:sSub>
                <m:sSubPr>
                  <m:ctrlPr>
                    <w:rPr>
                      <w:rFonts w:ascii="Cambria Math" w:hAnsi="Cambria Math"/>
                      <w:i/>
                    </w:rPr>
                  </m:ctrlPr>
                </m:sSubPr>
                <m:e>
                  <m:r>
                    <w:rPr>
                      <w:rFonts w:ascii="Cambria Math" w:hAnsi="Cambria Math"/>
                    </w:rPr>
                    <m:t>β</m:t>
                  </m:r>
                </m:e>
                <m:sub>
                  <m:r>
                    <w:rPr>
                      <w:rFonts w:ascii="Cambria Math" w:hAnsi="Cambria Math"/>
                    </w:rPr>
                    <m:t>tot</m:t>
                  </m:r>
                </m:sub>
              </m:sSub>
              <m:acc>
                <m:accPr>
                  <m:ctrlPr>
                    <w:rPr>
                      <w:rFonts w:ascii="Cambria Math" w:hAnsi="Cambria Math"/>
                      <w:i/>
                    </w:rPr>
                  </m:ctrlPr>
                </m:accPr>
                <m:e>
                  <m:r>
                    <w:rPr>
                      <w:rFonts w:ascii="Cambria Math" w:hAnsi="Cambria Math"/>
                    </w:rPr>
                    <m:t>Dosage</m:t>
                  </m:r>
                </m:e>
              </m:acc>
            </m:e>
            <m:sub>
              <m:r>
                <w:rPr>
                  <w:rFonts w:ascii="Cambria Math" w:hAnsi="Cambria Math"/>
                </w:rPr>
                <m:t xml:space="preserve">icgs </m:t>
              </m:r>
            </m:sub>
          </m:sSub>
          <m: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 xml:space="preserve">gs </m:t>
              </m:r>
            </m:sub>
          </m:sSub>
          <m:r>
            <w:rPr>
              <w:rFonts w:ascii="Cambria Math" w:hAnsi="Cambria Math"/>
            </w:rPr>
            <m:t xml:space="preserve"> + </m:t>
          </m:r>
          <m:sSub>
            <m:sSubPr>
              <m:ctrlPr>
                <w:rPr>
                  <w:rFonts w:ascii="Cambria Math" w:hAnsi="Cambria Math"/>
                  <w:i/>
                </w:rPr>
              </m:ctrlPr>
            </m:sSubPr>
            <m:e>
              <m:r>
                <w:rPr>
                  <w:rFonts w:ascii="Cambria Math" w:hAnsi="Cambria Math"/>
                </w:rPr>
                <m:t>ε</m:t>
              </m:r>
            </m:e>
            <m:sub>
              <m:r>
                <w:rPr>
                  <w:rFonts w:ascii="Cambria Math" w:hAnsi="Cambria Math"/>
                </w:rPr>
                <m:t>icgs</m:t>
              </m:r>
            </m:sub>
          </m:sSub>
        </m:oMath>
      </m:oMathPara>
    </w:p>
    <w:p w14:paraId="20C3598C" w14:textId="632FD772" w:rsidR="00E671E9" w:rsidRPr="006F41A3" w:rsidRDefault="00000000" w:rsidP="00E671E9">
      <w:pPr>
        <w:pStyle w:val="NormalWeb"/>
      </w:pPr>
      <m:oMath>
        <m:sSub>
          <m:sSubPr>
            <m:ctrlPr>
              <w:rPr>
                <w:rFonts w:ascii="Cambria Math" w:hAnsi="Cambria Math"/>
                <w:i/>
              </w:rPr>
            </m:ctrlPr>
          </m:sSubPr>
          <m:e>
            <m:r>
              <w:rPr>
                <w:rFonts w:ascii="Cambria Math" w:hAnsi="Cambria Math"/>
              </w:rPr>
              <m:t>Dosage</m:t>
            </m:r>
          </m:e>
          <m:sub>
            <m:r>
              <w:rPr>
                <w:rFonts w:ascii="Cambria Math" w:hAnsi="Cambria Math"/>
              </w:rPr>
              <m:t>icsg</m:t>
            </m:r>
          </m:sub>
        </m:sSub>
      </m:oMath>
      <w:r w:rsidR="00E671E9" w:rsidRPr="006F41A3">
        <w:t xml:space="preserve"> </w:t>
      </w:r>
      <w:r w:rsidR="00673FBE" w:rsidRPr="006F41A3">
        <w:t xml:space="preserve">denotes </w:t>
      </w:r>
      <w:r w:rsidR="00E671E9" w:rsidRPr="006F41A3">
        <w:t xml:space="preserve">total hours of Gemini exposure for student </w:t>
      </w:r>
      <m:oMath>
        <m:r>
          <w:rPr>
            <w:rFonts w:ascii="Cambria Math" w:hAnsi="Cambria Math"/>
          </w:rPr>
          <m:t>i</m:t>
        </m:r>
      </m:oMath>
      <w:r w:rsidR="00E671E9" w:rsidRPr="006F41A3">
        <w:t xml:space="preserve">(constructed from attendance × session duration). </w:t>
      </w:r>
      <m:oMath>
        <m:sSub>
          <m:sSubPr>
            <m:ctrlPr>
              <w:rPr>
                <w:rFonts w:ascii="Cambria Math" w:hAnsi="Cambria Math"/>
                <w:i/>
              </w:rPr>
            </m:ctrlPr>
          </m:sSubPr>
          <m:e>
            <m:r>
              <w:rPr>
                <w:rFonts w:ascii="Cambria Math" w:hAnsi="Cambria Math"/>
              </w:rPr>
              <m:t>β</m:t>
            </m:r>
          </m:e>
          <m:sub>
            <m:r>
              <w:rPr>
                <w:rFonts w:ascii="Cambria Math" w:hAnsi="Cambria Math"/>
              </w:rPr>
              <m:t>tot</m:t>
            </m:r>
          </m:sub>
        </m:sSub>
      </m:oMath>
      <w:r w:rsidR="00E671E9" w:rsidRPr="006F41A3">
        <w:t xml:space="preserve"> </w:t>
      </w:r>
      <w:r w:rsidR="00167F0F" w:rsidRPr="006F41A3">
        <w:t>is interpreted as the effect on endline mathematics achievement per additional hour of Gemini exposure for compliers.</w:t>
      </w:r>
    </w:p>
    <w:p w14:paraId="40B9FDAB" w14:textId="77777777" w:rsidR="00BF79F6" w:rsidRPr="006F41A3" w:rsidRDefault="00BF79F6" w:rsidP="00BF79F6">
      <w:pPr>
        <w:rPr>
          <w:rFonts w:ascii="Times New Roman" w:hAnsi="Times New Roman" w:cs="Times New Roman"/>
        </w:rPr>
      </w:pPr>
    </w:p>
    <w:p w14:paraId="7A78161B" w14:textId="60698E39" w:rsidR="00BF79F6" w:rsidRPr="006F41A3" w:rsidRDefault="00BF79F6" w:rsidP="00BF79F6">
      <w:pPr>
        <w:pStyle w:val="Heading4"/>
        <w:rPr>
          <w:rFonts w:ascii="Times New Roman" w:hAnsi="Times New Roman" w:cs="Times New Roman"/>
        </w:rPr>
      </w:pPr>
      <w:r w:rsidRPr="006F41A3">
        <w:rPr>
          <w:rFonts w:ascii="Times New Roman" w:hAnsi="Times New Roman" w:cs="Times New Roman"/>
        </w:rPr>
        <w:t xml:space="preserve">TOT Specification 2: IV-ANCOVA with baseline achievement </w:t>
      </w:r>
    </w:p>
    <w:p w14:paraId="652D4FCB" w14:textId="77777777" w:rsidR="004C0EEC" w:rsidRPr="006F41A3" w:rsidRDefault="004C0EEC" w:rsidP="004C0EEC">
      <w:pPr>
        <w:pStyle w:val="NormalWeb"/>
      </w:pPr>
      <w:r w:rsidRPr="006F41A3">
        <w:t>We estimate a two-stage least squares (2SLS) model that instruments student dosage with classroom assignment to treatment. All specifications include school × grade fixed effects, and standard errors are clustered at the classroom level.</w:t>
      </w:r>
    </w:p>
    <w:p w14:paraId="536568D6" w14:textId="77777777" w:rsidR="009E4AF3" w:rsidRPr="006F41A3" w:rsidRDefault="009E4AF3" w:rsidP="009E4AF3">
      <w:pPr>
        <w:pStyle w:val="NormalWeb"/>
      </w:pPr>
      <w:r w:rsidRPr="006F41A3">
        <w:t>Second stage (outcome on predicted exposure):</w:t>
      </w:r>
    </w:p>
    <w:p w14:paraId="7473C21D" w14:textId="5A9C5844" w:rsidR="009E4AF3" w:rsidRPr="006F41A3" w:rsidRDefault="00000000" w:rsidP="006F41A3">
      <w:pPr>
        <w:pStyle w:val="NormalWeb"/>
        <w:jc w:val="center"/>
      </w:pPr>
      <m:oMathPara>
        <m:oMath>
          <m:sSubSup>
            <m:sSubSupPr>
              <m:ctrlPr>
                <w:rPr>
                  <w:rFonts w:ascii="Cambria Math" w:hAnsi="Cambria Math"/>
                  <w:i/>
                </w:rPr>
              </m:ctrlPr>
            </m:sSubSupPr>
            <m:e>
              <m:r>
                <w:rPr>
                  <w:rFonts w:ascii="Cambria Math" w:hAnsi="Cambria Math"/>
                </w:rPr>
                <m:t>Y</m:t>
              </m:r>
            </m:e>
            <m:sub>
              <m:r>
                <w:rPr>
                  <w:rFonts w:ascii="Cambria Math" w:hAnsi="Cambria Math"/>
                </w:rPr>
                <m:t>icgs</m:t>
              </m:r>
            </m:sub>
            <m:sup>
              <m:r>
                <w:rPr>
                  <w:rFonts w:ascii="Cambria Math" w:hAnsi="Cambria Math"/>
                </w:rPr>
                <m:t>EL</m:t>
              </m:r>
            </m:sup>
          </m:sSubSup>
          <m:r>
            <w:rPr>
              <w:rFonts w:ascii="Cambria Math" w:hAnsi="Cambria Math"/>
            </w:rPr>
            <m:t xml:space="preserve">= α+ </m:t>
          </m:r>
          <m:sSub>
            <m:sSubPr>
              <m:ctrlPr>
                <w:rPr>
                  <w:rFonts w:ascii="Cambria Math" w:hAnsi="Cambria Math"/>
                  <w:i/>
                </w:rPr>
              </m:ctrlPr>
            </m:sSubPr>
            <m:e>
              <m:sSub>
                <m:sSubPr>
                  <m:ctrlPr>
                    <w:rPr>
                      <w:rFonts w:ascii="Cambria Math" w:hAnsi="Cambria Math"/>
                      <w:i/>
                    </w:rPr>
                  </m:ctrlPr>
                </m:sSubPr>
                <m:e>
                  <m:r>
                    <w:rPr>
                      <w:rFonts w:ascii="Cambria Math" w:hAnsi="Cambria Math"/>
                    </w:rPr>
                    <m:t>β</m:t>
                  </m:r>
                </m:e>
                <m:sub>
                  <m:r>
                    <w:rPr>
                      <w:rFonts w:ascii="Cambria Math" w:hAnsi="Cambria Math"/>
                    </w:rPr>
                    <m:t>tot</m:t>
                  </m:r>
                </m:sub>
              </m:sSub>
              <m:acc>
                <m:accPr>
                  <m:ctrlPr>
                    <w:rPr>
                      <w:rFonts w:ascii="Cambria Math" w:hAnsi="Cambria Math"/>
                      <w:i/>
                    </w:rPr>
                  </m:ctrlPr>
                </m:accPr>
                <m:e>
                  <m:r>
                    <w:rPr>
                      <w:rFonts w:ascii="Cambria Math" w:hAnsi="Cambria Math"/>
                    </w:rPr>
                    <m:t>Dosage</m:t>
                  </m:r>
                </m:e>
              </m:acc>
            </m:e>
            <m:sub>
              <m:r>
                <w:rPr>
                  <w:rFonts w:ascii="Cambria Math" w:hAnsi="Cambria Math"/>
                </w:rPr>
                <m:t xml:space="preserve">icgs </m:t>
              </m:r>
            </m:sub>
          </m:sSub>
          <m:r>
            <w:rPr>
              <w:rFonts w:ascii="Cambria Math" w:hAnsi="Cambria Math"/>
            </w:rPr>
            <m:t xml:space="preserve">+ </m:t>
          </m:r>
          <m:sSubSup>
            <m:sSubSupPr>
              <m:ctrlPr>
                <w:rPr>
                  <w:rFonts w:ascii="Cambria Math" w:hAnsi="Cambria Math"/>
                  <w:i/>
                </w:rPr>
              </m:ctrlPr>
            </m:sSubSupPr>
            <m:e>
              <m:sSub>
                <m:sSubPr>
                  <m:ctrlPr>
                    <w:rPr>
                      <w:rFonts w:ascii="Cambria Math" w:hAnsi="Cambria Math"/>
                      <w:i/>
                    </w:rPr>
                  </m:ctrlPr>
                </m:sSubPr>
                <m:e>
                  <m:r>
                    <w:rPr>
                      <w:rFonts w:ascii="Cambria Math" w:hAnsi="Cambria Math"/>
                    </w:rPr>
                    <m:t>γ</m:t>
                  </m:r>
                </m:e>
                <m:sub>
                  <m:r>
                    <w:rPr>
                      <w:rFonts w:ascii="Cambria Math" w:hAnsi="Cambria Math"/>
                    </w:rPr>
                    <m:t>1</m:t>
                  </m:r>
                </m:sub>
              </m:sSub>
              <m:r>
                <w:rPr>
                  <w:rFonts w:ascii="Cambria Math" w:hAnsi="Cambria Math"/>
                </w:rPr>
                <m:t>Y</m:t>
              </m:r>
            </m:e>
            <m:sub>
              <m:r>
                <w:rPr>
                  <w:rFonts w:ascii="Cambria Math" w:hAnsi="Cambria Math"/>
                </w:rPr>
                <m:t>icgs</m:t>
              </m:r>
            </m:sub>
            <m:sup>
              <m:r>
                <w:rPr>
                  <w:rFonts w:ascii="Cambria Math" w:hAnsi="Cambria Math"/>
                </w:rPr>
                <m:t>BL</m:t>
              </m:r>
            </m:sup>
          </m:sSubSup>
          <m:r>
            <w:rPr>
              <w:rFonts w:ascii="Cambria Math" w:hAnsi="Cambria Math"/>
            </w:rPr>
            <m:t xml:space="preserve">+ </m:t>
          </m:r>
          <m:sSubSup>
            <m:sSubSupPr>
              <m:ctrlPr>
                <w:rPr>
                  <w:rFonts w:ascii="Cambria Math" w:hAnsi="Cambria Math"/>
                  <w:i/>
                </w:rPr>
              </m:ctrlPr>
            </m:sSubSupPr>
            <m:e>
              <m:sSub>
                <m:sSubPr>
                  <m:ctrlPr>
                    <w:rPr>
                      <w:rFonts w:ascii="Cambria Math" w:hAnsi="Cambria Math"/>
                      <w:i/>
                    </w:rPr>
                  </m:ctrlPr>
                </m:sSubPr>
                <m:e>
                  <m:r>
                    <w:rPr>
                      <w:rFonts w:ascii="Cambria Math" w:hAnsi="Cambria Math"/>
                    </w:rPr>
                    <m:t>γ</m:t>
                  </m:r>
                </m:e>
                <m:sub>
                  <m:r>
                    <w:rPr>
                      <w:rFonts w:ascii="Cambria Math" w:hAnsi="Cambria Math"/>
                    </w:rPr>
                    <m:t>2</m:t>
                  </m:r>
                </m:sub>
              </m:sSub>
              <m:r>
                <w:rPr>
                  <w:rFonts w:ascii="Cambria Math" w:hAnsi="Cambria Math"/>
                </w:rPr>
                <m:t>E</m:t>
              </m:r>
            </m:e>
            <m:sub>
              <m:r>
                <w:rPr>
                  <w:rFonts w:ascii="Cambria Math" w:hAnsi="Cambria Math"/>
                </w:rPr>
                <m:t>icgs</m:t>
              </m:r>
            </m:sub>
            <m:sup>
              <m:r>
                <w:rPr>
                  <w:rFonts w:ascii="Cambria Math" w:hAnsi="Cambria Math"/>
                </w:rPr>
                <m:t>BL</m:t>
              </m:r>
            </m:sup>
          </m:sSubSup>
          <m: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 xml:space="preserve">gs </m:t>
              </m:r>
            </m:sub>
          </m:sSub>
          <m:r>
            <w:rPr>
              <w:rFonts w:ascii="Cambria Math" w:hAnsi="Cambria Math"/>
            </w:rPr>
            <m:t xml:space="preserve"> + </m:t>
          </m:r>
          <m:sSub>
            <m:sSubPr>
              <m:ctrlPr>
                <w:rPr>
                  <w:rFonts w:ascii="Cambria Math" w:hAnsi="Cambria Math"/>
                  <w:i/>
                </w:rPr>
              </m:ctrlPr>
            </m:sSubPr>
            <m:e>
              <m:r>
                <w:rPr>
                  <w:rFonts w:ascii="Cambria Math" w:hAnsi="Cambria Math"/>
                </w:rPr>
                <m:t>ε</m:t>
              </m:r>
            </m:e>
            <m:sub>
              <m:r>
                <w:rPr>
                  <w:rFonts w:ascii="Cambria Math" w:hAnsi="Cambria Math"/>
                </w:rPr>
                <m:t>icgs</m:t>
              </m:r>
            </m:sub>
          </m:sSub>
        </m:oMath>
      </m:oMathPara>
    </w:p>
    <w:p w14:paraId="064B614C" w14:textId="77777777" w:rsidR="00E671E9" w:rsidRPr="006F41A3" w:rsidRDefault="00E671E9" w:rsidP="009E4AF3">
      <w:pPr>
        <w:pStyle w:val="NormalWeb"/>
      </w:pPr>
    </w:p>
    <w:p w14:paraId="154CE44F" w14:textId="2554A818" w:rsidR="000D79FA" w:rsidRPr="000D79FA" w:rsidRDefault="00E671E9" w:rsidP="000D79FA">
      <w:pPr>
        <w:pStyle w:val="Heading4"/>
        <w:rPr>
          <w:rFonts w:ascii="Times New Roman" w:hAnsi="Times New Roman" w:cs="Times New Roman"/>
        </w:rPr>
      </w:pPr>
      <w:r w:rsidRPr="006F41A3">
        <w:rPr>
          <w:rFonts w:ascii="Times New Roman" w:hAnsi="Times New Roman" w:cs="Times New Roman"/>
        </w:rPr>
        <w:lastRenderedPageBreak/>
        <w:t>TOT Specification 3: IV-ANCOVA with additional baseline adjustment (robustness)</w:t>
      </w:r>
    </w:p>
    <w:p w14:paraId="59D998E5" w14:textId="4D17CE5D" w:rsidR="00E671E9" w:rsidRPr="006F41A3" w:rsidRDefault="00E671E9" w:rsidP="009E4AF3">
      <w:pPr>
        <w:pStyle w:val="NormalWeb"/>
      </w:pPr>
      <w:r w:rsidRPr="006F41A3">
        <w:t xml:space="preserve">As a robustness check, we estimate an augmented IV-ANCOVA specification that additionally adjusts for </w:t>
      </w:r>
      <w:r w:rsidR="000D79FA">
        <w:t xml:space="preserve">the </w:t>
      </w:r>
      <w:r w:rsidRPr="006F41A3">
        <w:t>pre-treatment student characteristics collected in the baseline survey.</w:t>
      </w:r>
    </w:p>
    <w:p w14:paraId="74A99271" w14:textId="77777777" w:rsidR="00E671E9" w:rsidRPr="006F41A3" w:rsidRDefault="00E671E9" w:rsidP="00E671E9">
      <w:pPr>
        <w:pStyle w:val="NormalWeb"/>
      </w:pPr>
      <w:r w:rsidRPr="006F41A3">
        <w:t>Second stage (outcome on predicted exposure):</w:t>
      </w:r>
    </w:p>
    <w:p w14:paraId="2863E865" w14:textId="3AF2FD5F" w:rsidR="00E671E9" w:rsidRPr="006F41A3" w:rsidRDefault="00000000" w:rsidP="006F41A3">
      <w:pPr>
        <w:pStyle w:val="NormalWeb"/>
        <w:jc w:val="center"/>
      </w:pPr>
      <m:oMathPara>
        <m:oMath>
          <m:sSubSup>
            <m:sSubSupPr>
              <m:ctrlPr>
                <w:rPr>
                  <w:rFonts w:ascii="Cambria Math" w:hAnsi="Cambria Math"/>
                  <w:i/>
                </w:rPr>
              </m:ctrlPr>
            </m:sSubSupPr>
            <m:e>
              <m:r>
                <w:rPr>
                  <w:rFonts w:ascii="Cambria Math" w:hAnsi="Cambria Math"/>
                </w:rPr>
                <m:t>Y</m:t>
              </m:r>
            </m:e>
            <m:sub>
              <m:r>
                <w:rPr>
                  <w:rFonts w:ascii="Cambria Math" w:hAnsi="Cambria Math"/>
                </w:rPr>
                <m:t>icgs</m:t>
              </m:r>
            </m:sub>
            <m:sup>
              <m:r>
                <w:rPr>
                  <w:rFonts w:ascii="Cambria Math" w:hAnsi="Cambria Math"/>
                </w:rPr>
                <m:t>EL</m:t>
              </m:r>
            </m:sup>
          </m:sSubSup>
          <m:r>
            <w:rPr>
              <w:rFonts w:ascii="Cambria Math" w:hAnsi="Cambria Math"/>
            </w:rPr>
            <m:t xml:space="preserve">= α+ </m:t>
          </m:r>
          <m:sSub>
            <m:sSubPr>
              <m:ctrlPr>
                <w:rPr>
                  <w:rFonts w:ascii="Cambria Math" w:hAnsi="Cambria Math"/>
                  <w:i/>
                </w:rPr>
              </m:ctrlPr>
            </m:sSubPr>
            <m:e>
              <m:sSub>
                <m:sSubPr>
                  <m:ctrlPr>
                    <w:rPr>
                      <w:rFonts w:ascii="Cambria Math" w:hAnsi="Cambria Math"/>
                      <w:i/>
                    </w:rPr>
                  </m:ctrlPr>
                </m:sSubPr>
                <m:e>
                  <m:r>
                    <w:rPr>
                      <w:rFonts w:ascii="Cambria Math" w:hAnsi="Cambria Math"/>
                    </w:rPr>
                    <m:t>β</m:t>
                  </m:r>
                </m:e>
                <m:sub>
                  <m:r>
                    <w:rPr>
                      <w:rFonts w:ascii="Cambria Math" w:hAnsi="Cambria Math"/>
                    </w:rPr>
                    <m:t>tot</m:t>
                  </m:r>
                </m:sub>
              </m:sSub>
              <m:acc>
                <m:accPr>
                  <m:ctrlPr>
                    <w:rPr>
                      <w:rFonts w:ascii="Cambria Math" w:hAnsi="Cambria Math"/>
                      <w:i/>
                    </w:rPr>
                  </m:ctrlPr>
                </m:accPr>
                <m:e>
                  <m:r>
                    <w:rPr>
                      <w:rFonts w:ascii="Cambria Math" w:hAnsi="Cambria Math"/>
                    </w:rPr>
                    <m:t>Dosage</m:t>
                  </m:r>
                </m:e>
              </m:acc>
            </m:e>
            <m:sub>
              <m:r>
                <w:rPr>
                  <w:rFonts w:ascii="Cambria Math" w:hAnsi="Cambria Math"/>
                </w:rPr>
                <m:t xml:space="preserve">icgs </m:t>
              </m:r>
            </m:sub>
          </m:sSub>
          <m:r>
            <w:rPr>
              <w:rFonts w:ascii="Cambria Math" w:hAnsi="Cambria Math"/>
            </w:rPr>
            <m:t xml:space="preserve">+ </m:t>
          </m:r>
          <m:sSubSup>
            <m:sSubSupPr>
              <m:ctrlPr>
                <w:rPr>
                  <w:rFonts w:ascii="Cambria Math" w:hAnsi="Cambria Math"/>
                  <w:i/>
                </w:rPr>
              </m:ctrlPr>
            </m:sSubSupPr>
            <m:e>
              <m:sSub>
                <m:sSubPr>
                  <m:ctrlPr>
                    <w:rPr>
                      <w:rFonts w:ascii="Cambria Math" w:hAnsi="Cambria Math"/>
                      <w:i/>
                    </w:rPr>
                  </m:ctrlPr>
                </m:sSubPr>
                <m:e>
                  <m:r>
                    <w:rPr>
                      <w:rFonts w:ascii="Cambria Math" w:hAnsi="Cambria Math"/>
                    </w:rPr>
                    <m:t>γ</m:t>
                  </m:r>
                </m:e>
                <m:sub>
                  <m:r>
                    <w:rPr>
                      <w:rFonts w:ascii="Cambria Math" w:hAnsi="Cambria Math"/>
                    </w:rPr>
                    <m:t>1</m:t>
                  </m:r>
                </m:sub>
              </m:sSub>
              <m:r>
                <w:rPr>
                  <w:rFonts w:ascii="Cambria Math" w:hAnsi="Cambria Math"/>
                </w:rPr>
                <m:t>Y</m:t>
              </m:r>
            </m:e>
            <m:sub>
              <m:r>
                <w:rPr>
                  <w:rFonts w:ascii="Cambria Math" w:hAnsi="Cambria Math"/>
                </w:rPr>
                <m:t>icgs</m:t>
              </m:r>
            </m:sub>
            <m:sup>
              <m:r>
                <w:rPr>
                  <w:rFonts w:ascii="Cambria Math" w:hAnsi="Cambria Math"/>
                </w:rPr>
                <m:t>BL</m:t>
              </m:r>
            </m:sup>
          </m:sSubSup>
          <m:r>
            <w:rPr>
              <w:rFonts w:ascii="Cambria Math" w:hAnsi="Cambria Math"/>
            </w:rPr>
            <m:t xml:space="preserve">+ </m:t>
          </m:r>
          <m:sSubSup>
            <m:sSubSupPr>
              <m:ctrlPr>
                <w:rPr>
                  <w:rFonts w:ascii="Cambria Math" w:hAnsi="Cambria Math"/>
                  <w:i/>
                </w:rPr>
              </m:ctrlPr>
            </m:sSubSupPr>
            <m:e>
              <m:sSub>
                <m:sSubPr>
                  <m:ctrlPr>
                    <w:rPr>
                      <w:rFonts w:ascii="Cambria Math" w:hAnsi="Cambria Math"/>
                      <w:i/>
                    </w:rPr>
                  </m:ctrlPr>
                </m:sSubPr>
                <m:e>
                  <m:r>
                    <w:rPr>
                      <w:rFonts w:ascii="Cambria Math" w:hAnsi="Cambria Math"/>
                    </w:rPr>
                    <m:t>γ</m:t>
                  </m:r>
                </m:e>
                <m:sub>
                  <m:r>
                    <w:rPr>
                      <w:rFonts w:ascii="Cambria Math" w:hAnsi="Cambria Math"/>
                    </w:rPr>
                    <m:t>2</m:t>
                  </m:r>
                </m:sub>
              </m:sSub>
              <m:r>
                <w:rPr>
                  <w:rFonts w:ascii="Cambria Math" w:hAnsi="Cambria Math"/>
                </w:rPr>
                <m:t>E</m:t>
              </m:r>
            </m:e>
            <m:sub>
              <m:r>
                <w:rPr>
                  <w:rFonts w:ascii="Cambria Math" w:hAnsi="Cambria Math"/>
                </w:rPr>
                <m:t>icgs</m:t>
              </m:r>
            </m:sub>
            <m:sup>
              <m:r>
                <w:rPr>
                  <w:rFonts w:ascii="Cambria Math" w:hAnsi="Cambria Math"/>
                </w:rPr>
                <m:t>BL</m:t>
              </m:r>
            </m:sup>
          </m:sSubSup>
          <m:r>
            <w:rPr>
              <w:rFonts w:ascii="Cambria Math" w:hAnsi="Cambria Math"/>
            </w:rPr>
            <m:t xml:space="preserve">+ </m:t>
          </m:r>
          <m:r>
            <m:rPr>
              <m:sty m:val="p"/>
            </m:rPr>
            <w:rPr>
              <w:rFonts w:ascii="Cambria Math" w:hAnsi="Cambria Math"/>
            </w:rPr>
            <w:sym w:font="Symbol" w:char="F0A6"/>
          </m:r>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icgs</m:t>
              </m:r>
            </m:sub>
          </m:sSub>
          <m: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 xml:space="preserve">gs </m:t>
              </m:r>
            </m:sub>
          </m:sSub>
          <m:r>
            <w:rPr>
              <w:rFonts w:ascii="Cambria Math" w:hAnsi="Cambria Math"/>
            </w:rPr>
            <m:t xml:space="preserve"> + </m:t>
          </m:r>
          <m:sSub>
            <m:sSubPr>
              <m:ctrlPr>
                <w:rPr>
                  <w:rFonts w:ascii="Cambria Math" w:hAnsi="Cambria Math"/>
                  <w:i/>
                </w:rPr>
              </m:ctrlPr>
            </m:sSubPr>
            <m:e>
              <m:r>
                <w:rPr>
                  <w:rFonts w:ascii="Cambria Math" w:hAnsi="Cambria Math"/>
                </w:rPr>
                <m:t>ε</m:t>
              </m:r>
            </m:e>
            <m:sub>
              <m:r>
                <w:rPr>
                  <w:rFonts w:ascii="Cambria Math" w:hAnsi="Cambria Math"/>
                </w:rPr>
                <m:t>icgs</m:t>
              </m:r>
            </m:sub>
          </m:sSub>
        </m:oMath>
      </m:oMathPara>
    </w:p>
    <w:p w14:paraId="16A5846E" w14:textId="3BC1602F" w:rsidR="00E671E9" w:rsidRPr="006F41A3" w:rsidRDefault="00E671E9" w:rsidP="009E4AF3">
      <w:pPr>
        <w:pStyle w:val="NormalWeb"/>
      </w:pPr>
      <w:r w:rsidRPr="006F41A3">
        <w:t xml:space="preserve">where </w:t>
      </w:r>
      <m:oMath>
        <m:r>
          <w:rPr>
            <w:rFonts w:ascii="Cambria Math" w:hAnsi="Cambria Math"/>
          </w:rPr>
          <m:t>g</m:t>
        </m:r>
        <m:d>
          <m:dPr>
            <m:ctrlPr>
              <w:rPr>
                <w:rFonts w:ascii="Cambria Math" w:hAnsi="Cambria Math"/>
                <w:i/>
              </w:rPr>
            </m:ctrlPr>
          </m:dPr>
          <m:e>
            <m:sSubSup>
              <m:sSubSupPr>
                <m:ctrlPr>
                  <w:rPr>
                    <w:rFonts w:ascii="Cambria Math" w:hAnsi="Cambria Math"/>
                  </w:rPr>
                </m:ctrlPr>
              </m:sSubSupPr>
              <m:e>
                <m:r>
                  <w:rPr>
                    <w:rFonts w:ascii="Cambria Math" w:hAnsi="Cambria Math"/>
                  </w:rPr>
                  <m:t>X</m:t>
                </m:r>
              </m:e>
              <m:sub>
                <m:r>
                  <w:rPr>
                    <w:rFonts w:ascii="Cambria Math" w:hAnsi="Cambria Math"/>
                  </w:rPr>
                  <m:t>icgs</m:t>
                </m:r>
              </m:sub>
              <m:sup/>
            </m:sSubSup>
          </m:e>
        </m:d>
      </m:oMath>
      <w:r w:rsidRPr="006F41A3">
        <w:t xml:space="preserve"> denotes a set of covariate adjustment procedure applied only to baseline covariates. Treatment assignment and school × grade fixed effects are always included. This specification does not change the estimand and is used to assess robustness and potential precision gains.</w:t>
      </w:r>
    </w:p>
    <w:p w14:paraId="5B4B227F" w14:textId="77777777" w:rsidR="00E671E9" w:rsidRPr="006F41A3" w:rsidRDefault="00E671E9" w:rsidP="00E671E9">
      <w:pPr>
        <w:pStyle w:val="Heading3"/>
        <w:rPr>
          <w:rFonts w:ascii="Times New Roman" w:hAnsi="Times New Roman" w:cs="Times New Roman"/>
          <w:lang w:eastAsia="en-GB"/>
        </w:rPr>
      </w:pPr>
      <w:r w:rsidRPr="006F41A3">
        <w:rPr>
          <w:rFonts w:ascii="Times New Roman" w:hAnsi="Times New Roman" w:cs="Times New Roman"/>
          <w:lang w:eastAsia="en-GB"/>
        </w:rPr>
        <w:t>Reporting and interpretation</w:t>
      </w:r>
    </w:p>
    <w:p w14:paraId="6C774065" w14:textId="56A4B1BE" w:rsidR="00E671E9" w:rsidRDefault="00673FBE" w:rsidP="00E671E9">
      <w:pPr>
        <w:spacing w:before="100" w:beforeAutospacing="1" w:after="100" w:afterAutospacing="1"/>
        <w:rPr>
          <w:rFonts w:ascii="Times New Roman" w:eastAsia="Times New Roman" w:hAnsi="Times New Roman" w:cs="Times New Roman"/>
          <w:kern w:val="0"/>
          <w:lang w:eastAsia="en-GB"/>
          <w14:ligatures w14:val="none"/>
        </w:rPr>
      </w:pPr>
      <w:r w:rsidRPr="006F41A3">
        <w:rPr>
          <w:rFonts w:ascii="Times New Roman" w:eastAsia="Times New Roman" w:hAnsi="Times New Roman" w:cs="Times New Roman"/>
          <w:kern w:val="0"/>
          <w:lang w:eastAsia="en-GB"/>
          <w14:ligatures w14:val="none"/>
        </w:rPr>
        <w:t>TOT results are reported for the eligible observed sample and interpreted as local effects for compliers.</w:t>
      </w:r>
      <w:r w:rsidRPr="006F41A3">
        <w:rPr>
          <w:rFonts w:ascii="Times New Roman" w:hAnsi="Times New Roman" w:cs="Times New Roman"/>
        </w:rPr>
        <w:t xml:space="preserve"> </w:t>
      </w:r>
      <w:r w:rsidR="00E671E9" w:rsidRPr="00E671E9">
        <w:rPr>
          <w:rFonts w:ascii="Times New Roman" w:eastAsia="Times New Roman" w:hAnsi="Times New Roman" w:cs="Times New Roman"/>
          <w:kern w:val="0"/>
          <w:lang w:eastAsia="en-GB"/>
          <w14:ligatures w14:val="none"/>
        </w:rPr>
        <w:t xml:space="preserve">For each specification we report </w:t>
      </w:r>
      <m:oMath>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tot</m:t>
            </m:r>
          </m:sub>
        </m:sSub>
      </m:oMath>
      <w:r w:rsidR="00E671E9" w:rsidRPr="006F41A3">
        <w:rPr>
          <w:rFonts w:ascii="Times New Roman" w:eastAsia="Times New Roman" w:hAnsi="Times New Roman" w:cs="Times New Roman"/>
          <w:kern w:val="0"/>
          <w:lang w:eastAsia="en-GB"/>
          <w14:ligatures w14:val="none"/>
        </w:rPr>
        <w:t xml:space="preserve"> </w:t>
      </w:r>
      <w:r w:rsidR="00E671E9" w:rsidRPr="00E671E9">
        <w:rPr>
          <w:rFonts w:ascii="Times New Roman" w:eastAsia="Times New Roman" w:hAnsi="Times New Roman" w:cs="Times New Roman"/>
          <w:kern w:val="0"/>
          <w:lang w:eastAsia="en-GB"/>
          <w14:ligatures w14:val="none"/>
        </w:rPr>
        <w:t xml:space="preserve">(interpreted as the effect on endline mathematics achievement per additional hour of Gemini exposure for compliers), 95 percent confidence intervals, and p-values. We also report the first-stage coefficient </w:t>
      </w:r>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κ</m:t>
            </m:r>
          </m:e>
          <m:sub>
            <m:r>
              <w:rPr>
                <w:rFonts w:ascii="Cambria Math" w:eastAsia="Times New Roman" w:hAnsi="Cambria Math" w:cs="Times New Roman"/>
                <w:kern w:val="0"/>
                <w:lang w:eastAsia="en-GB"/>
                <w14:ligatures w14:val="none"/>
              </w:rPr>
              <m:t>1</m:t>
            </m:r>
          </m:sub>
        </m:sSub>
      </m:oMath>
      <w:r w:rsidR="00E671E9" w:rsidRPr="00E671E9">
        <w:rPr>
          <w:rFonts w:ascii="Times New Roman" w:eastAsia="Times New Roman" w:hAnsi="Times New Roman" w:cs="Times New Roman"/>
          <w:kern w:val="0"/>
          <w:lang w:eastAsia="en-GB"/>
          <w14:ligatures w14:val="none"/>
        </w:rPr>
        <w:t xml:space="preserve">and first-stage F-statistic. </w:t>
      </w:r>
    </w:p>
    <w:p w14:paraId="623A4CAD" w14:textId="0B085551" w:rsidR="00A32D55" w:rsidRPr="00A32D55" w:rsidRDefault="00A32D55" w:rsidP="002740EB">
      <w:pPr>
        <w:pStyle w:val="Heading2"/>
      </w:pPr>
      <w:r w:rsidRPr="00A32D55">
        <w:rPr>
          <w:rStyle w:val="Strong"/>
          <w:b w:val="0"/>
          <w:bCs w:val="0"/>
        </w:rPr>
        <w:t>Mathematics subdomain effects (secondary/exploratory analysis)</w:t>
      </w:r>
    </w:p>
    <w:p w14:paraId="719C6BE6" w14:textId="77777777" w:rsidR="00A32D55" w:rsidRDefault="00A32D55" w:rsidP="00A32D55">
      <w:pPr>
        <w:pStyle w:val="NormalWeb"/>
      </w:pPr>
      <w:r>
        <w:t>As a secondary analysis, we will estimate treatment effects on mathematics subdomains to assess whether programme impacts are concentrated in specific skill areas. The subdomains considered are: (</w:t>
      </w:r>
      <w:proofErr w:type="spellStart"/>
      <w:r>
        <w:t>i</w:t>
      </w:r>
      <w:proofErr w:type="spellEnd"/>
      <w:r>
        <w:t xml:space="preserve">) Numbers and numeration, (ii) Everyday arithmetic, (iii) Geometry and measurement, (iv) Algebra, and (v) Statistics and probability. For each subdomain, Oxford </w:t>
      </w:r>
      <w:proofErr w:type="spellStart"/>
      <w:r>
        <w:t>MeasurEd</w:t>
      </w:r>
      <w:proofErr w:type="spellEnd"/>
      <w:r>
        <w:t xml:space="preserve"> will construct a subdomain score by aggregating performance on the set of questions mapped to that subdomain in the assessment design, following the same scoring framework used for the overall mathematics outcome.</w:t>
      </w:r>
    </w:p>
    <w:p w14:paraId="18E45BB4" w14:textId="77777777" w:rsidR="00A32D55" w:rsidRDefault="00A32D55" w:rsidP="00A32D55">
      <w:pPr>
        <w:pStyle w:val="NormalWeb"/>
      </w:pPr>
      <w:r>
        <w:t>For each subdomain, we will report impacts using both (</w:t>
      </w:r>
      <w:proofErr w:type="spellStart"/>
      <w:r>
        <w:t>i</w:t>
      </w:r>
      <w:proofErr w:type="spellEnd"/>
      <w:r>
        <w:t>) a design-based endline-only specification with school × grade fixed effects, estimated on the full endline sample, and (ii) an ANCOVA specification that conditions on baseline achievement, estimated on the subset of students with baseline and endline data. Where relevant, we will additionally report corresponding dosage-based (TOT) estimates using the analogous instrumental-variables specifications. Standard errors will be clustered at the classroom level in all models.</w:t>
      </w:r>
    </w:p>
    <w:p w14:paraId="7D3793A5" w14:textId="6D522CD0" w:rsidR="00A32D55" w:rsidRPr="00E671E9" w:rsidRDefault="00A32D55" w:rsidP="00A32D55">
      <w:pPr>
        <w:pStyle w:val="NormalWeb"/>
      </w:pPr>
      <w:r>
        <w:t>These subdomain analyses are exploratory and are intended to provide insight into the mechanisms through which Gemini Guided Learning may affect learning outcomes.</w:t>
      </w:r>
    </w:p>
    <w:p w14:paraId="07090485" w14:textId="77777777" w:rsidR="00673FBE" w:rsidRPr="006F41A3" w:rsidRDefault="00673FBE" w:rsidP="002740EB">
      <w:pPr>
        <w:pStyle w:val="Heading2"/>
      </w:pPr>
      <w:r w:rsidRPr="006F41A3">
        <w:t>Missing baseline and endline data</w:t>
      </w:r>
    </w:p>
    <w:p w14:paraId="7FFF1E41" w14:textId="6CDEF2D8" w:rsidR="00673FBE" w:rsidRPr="006F41A3" w:rsidRDefault="00673FBE" w:rsidP="00673FBE">
      <w:pPr>
        <w:pStyle w:val="NormalWeb"/>
      </w:pPr>
      <w:r w:rsidRPr="006F41A3">
        <w:t xml:space="preserve">The three ITT and TOT specifications differ in their use of baseline data. The design-based endline-only specification (Specification 1) includes all students with observed endline </w:t>
      </w:r>
      <w:r w:rsidRPr="006F41A3">
        <w:lastRenderedPageBreak/>
        <w:t xml:space="preserve">outcomes, irrespective of baseline data availability. The ANCOVA specifications (Specifications 2 and 3) condition on baseline achievement measures and are therefore estimated on the subset of students with both baseline and endline test scores. </w:t>
      </w:r>
    </w:p>
    <w:p w14:paraId="7938AFCD" w14:textId="77777777" w:rsidR="00673FBE" w:rsidRPr="006F41A3" w:rsidRDefault="00673FBE" w:rsidP="00673FBE">
      <w:pPr>
        <w:pStyle w:val="NormalWeb"/>
      </w:pPr>
      <w:r w:rsidRPr="006F41A3">
        <w:t>Missing endline outcomes, including those arising from non-consent or dropout, are addressed separately as described in the attrition and sensitivity analysis section.</w:t>
      </w:r>
    </w:p>
    <w:p w14:paraId="56E753C3" w14:textId="0B2215CC" w:rsidR="00A17A58" w:rsidRDefault="000D79FA" w:rsidP="00673FBE">
      <w:pPr>
        <w:pStyle w:val="NormalWeb"/>
      </w:pPr>
      <w:r>
        <w:t>Missing values in baseline covariates are handled using a missing-indicator approach, whereby covariates are filled with reference values and indicators for missingness are included. Covariates with very high levels of missingness are excluded, as they contribute limited information even with missingness indicators. Results are reported alongside complete-case estimates as a robustness check.</w:t>
      </w:r>
    </w:p>
    <w:p w14:paraId="0E32876D" w14:textId="238C1B8B" w:rsidR="00673FBE" w:rsidRPr="006F41A3" w:rsidRDefault="00673FBE" w:rsidP="002740EB">
      <w:pPr>
        <w:pStyle w:val="Heading2"/>
      </w:pPr>
      <w:r w:rsidRPr="006F41A3">
        <w:t xml:space="preserve">Robustness </w:t>
      </w:r>
    </w:p>
    <w:p w14:paraId="458221AE" w14:textId="19F6B6CC" w:rsidR="00673FBE" w:rsidRPr="006F41A3" w:rsidRDefault="00673FBE" w:rsidP="00673FBE">
      <w:pPr>
        <w:pStyle w:val="Heading3"/>
        <w:rPr>
          <w:rFonts w:ascii="Times New Roman" w:hAnsi="Times New Roman" w:cs="Times New Roman"/>
        </w:rPr>
      </w:pPr>
      <w:r w:rsidRPr="006F41A3">
        <w:rPr>
          <w:rFonts w:ascii="Times New Roman" w:hAnsi="Times New Roman" w:cs="Times New Roman"/>
        </w:rPr>
        <w:t>Difference</w:t>
      </w:r>
      <w:r w:rsidR="006769CF" w:rsidRPr="006F41A3">
        <w:rPr>
          <w:rFonts w:ascii="Times New Roman" w:hAnsi="Times New Roman" w:cs="Times New Roman"/>
        </w:rPr>
        <w:t>-</w:t>
      </w:r>
      <w:r w:rsidRPr="006F41A3">
        <w:rPr>
          <w:rFonts w:ascii="Times New Roman" w:hAnsi="Times New Roman" w:cs="Times New Roman"/>
        </w:rPr>
        <w:t>in</w:t>
      </w:r>
      <w:r w:rsidR="006769CF" w:rsidRPr="006F41A3">
        <w:rPr>
          <w:rFonts w:ascii="Times New Roman" w:hAnsi="Times New Roman" w:cs="Times New Roman"/>
        </w:rPr>
        <w:t>-</w:t>
      </w:r>
      <w:r w:rsidRPr="006F41A3">
        <w:rPr>
          <w:rFonts w:ascii="Times New Roman" w:hAnsi="Times New Roman" w:cs="Times New Roman"/>
        </w:rPr>
        <w:t>Difference</w:t>
      </w:r>
    </w:p>
    <w:p w14:paraId="438220E3" w14:textId="591DA538" w:rsidR="00673FBE" w:rsidRPr="006F41A3" w:rsidRDefault="00673FBE" w:rsidP="00673FBE">
      <w:pPr>
        <w:pStyle w:val="NormalWeb"/>
      </w:pPr>
      <w:r w:rsidRPr="006F41A3">
        <w:t xml:space="preserve">As an additional robustness check, we estimate the ITT and TOT effect using a gain-score (difference-in-differences) specification that regresses the change in mathematics achievement between baseline and endline on classroom assignment and school × grade fixed effects, with standard errors clustered at the classroom level. </w:t>
      </w:r>
      <w:r w:rsidR="00E35AB0">
        <w:t>Difference-in-differences has historically been widely used in education project evaluations when baseline data are available. However, in randomized experiments with noisy baseline test scores, gain-score specifications are generally less statistically efficient than ANCOVA, particularly when baseline–endline autocorrelations are moderate or low (McKenzie, 2012). We therefore treat the gain-score specification as a robustness check to the primary ANCOVA results, rather than as a preferred estimator.</w:t>
      </w:r>
    </w:p>
    <w:p w14:paraId="72347875" w14:textId="77777777" w:rsidR="00673FBE" w:rsidRPr="006F41A3" w:rsidRDefault="00673FBE" w:rsidP="00673FBE">
      <w:pPr>
        <w:pStyle w:val="Heading3"/>
        <w:rPr>
          <w:rFonts w:ascii="Times New Roman" w:hAnsi="Times New Roman" w:cs="Times New Roman"/>
          <w:lang w:eastAsia="en-GB"/>
        </w:rPr>
      </w:pPr>
      <w:r w:rsidRPr="006F41A3">
        <w:rPr>
          <w:rFonts w:ascii="Times New Roman" w:hAnsi="Times New Roman" w:cs="Times New Roman"/>
          <w:lang w:eastAsia="en-GB"/>
        </w:rPr>
        <w:t>Classroom-level dosage TOT (robustness)</w:t>
      </w:r>
    </w:p>
    <w:p w14:paraId="61FE1218" w14:textId="5F6CA753" w:rsidR="00673FBE" w:rsidRPr="00222552" w:rsidRDefault="00673FBE" w:rsidP="00673FBE">
      <w:pPr>
        <w:spacing w:before="100" w:beforeAutospacing="1" w:after="100" w:afterAutospacing="1"/>
        <w:rPr>
          <w:rFonts w:ascii="Times New Roman" w:eastAsia="Times New Roman" w:hAnsi="Times New Roman" w:cs="Times New Roman"/>
          <w:kern w:val="0"/>
          <w:lang w:eastAsia="en-GB"/>
          <w14:ligatures w14:val="none"/>
        </w:rPr>
      </w:pPr>
      <w:r w:rsidRPr="00222552">
        <w:rPr>
          <w:rFonts w:ascii="Times New Roman" w:eastAsia="Times New Roman" w:hAnsi="Times New Roman" w:cs="Times New Roman"/>
          <w:kern w:val="0"/>
          <w:lang w:eastAsia="en-GB"/>
          <w14:ligatures w14:val="none"/>
        </w:rPr>
        <w:t xml:space="preserve">If student-level dosage is missing for a substantial share of students or if the first stage is weak, we will additionally estimate a classroom-level dosage TOT. Classroom dosage is defined as the share of planned Gemini-supported lessons that were delivered in the classroom during the intervention period (or, if unavailable, the classroom mean of student dosage). Classroom dosage is instrumented by classroom assignment </w:t>
      </w:r>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D</m:t>
            </m:r>
          </m:e>
          <m:sub>
            <m:r>
              <w:rPr>
                <w:rFonts w:ascii="Cambria Math" w:eastAsia="Times New Roman" w:hAnsi="Cambria Math" w:cs="Times New Roman"/>
                <w:kern w:val="0"/>
                <w:lang w:eastAsia="en-GB"/>
                <w14:ligatures w14:val="none"/>
              </w:rPr>
              <m:t>cgs</m:t>
            </m:r>
          </m:sub>
        </m:sSub>
      </m:oMath>
      <w:r w:rsidRPr="00222552">
        <w:rPr>
          <w:rFonts w:ascii="Times New Roman" w:eastAsia="Times New Roman" w:hAnsi="Times New Roman" w:cs="Times New Roman"/>
          <w:kern w:val="0"/>
          <w:lang w:eastAsia="en-GB"/>
          <w14:ligatures w14:val="none"/>
        </w:rPr>
        <w:t>, and inference is clustered at the classroom level.</w:t>
      </w:r>
    </w:p>
    <w:p w14:paraId="54EA334F" w14:textId="35E5BE5D" w:rsidR="00673FBE" w:rsidRPr="006F41A3" w:rsidRDefault="00D13675" w:rsidP="00673FBE">
      <w:pPr>
        <w:pStyle w:val="NormalWeb"/>
      </w:pPr>
      <w:r w:rsidRPr="006F41A3">
        <w:t>In some robustness checks, we additionally adjust for baseline classroom mean achievement</w:t>
      </w:r>
      <w:r w:rsidR="006F41A3" w:rsidRPr="006F41A3">
        <w:t>.</w:t>
      </w:r>
    </w:p>
    <w:p w14:paraId="4E0E8F9D" w14:textId="77777777" w:rsidR="00FC652F" w:rsidRPr="006F41A3" w:rsidRDefault="00D13675" w:rsidP="009E4AF3">
      <w:pPr>
        <w:pStyle w:val="NormalWeb"/>
        <w:rPr>
          <w:rStyle w:val="Heading2Char"/>
        </w:rPr>
      </w:pPr>
      <w:r w:rsidRPr="006F41A3">
        <w:rPr>
          <w:rStyle w:val="Heading2Char"/>
        </w:rPr>
        <w:t>Attrition and balance.</w:t>
      </w:r>
    </w:p>
    <w:p w14:paraId="55AB5D8F" w14:textId="77777777" w:rsidR="00FC652F" w:rsidRPr="006F41A3" w:rsidRDefault="00FC652F" w:rsidP="00FC652F">
      <w:pPr>
        <w:pStyle w:val="NormalWeb"/>
      </w:pPr>
      <w:r w:rsidRPr="006F41A3">
        <w:t>Student mobility and dropout are common in the study context. Some students enrolled at the start of term may leave school shortly after baseline, and additional students may join classes later in the term. We will document this mobility using a CONSORT-style flow diagram that distinguishes (</w:t>
      </w:r>
      <w:proofErr w:type="spellStart"/>
      <w:r w:rsidRPr="006F41A3">
        <w:t>i</w:t>
      </w:r>
      <w:proofErr w:type="spellEnd"/>
      <w:r w:rsidRPr="006F41A3">
        <w:t>) students enrolled and assessed at baseline, (ii) students assessed at endline, and (iii) students observed at endline but not baseline (late entrants or baseline missing). We will report these counts by treatment arm and by school × grade stratum.</w:t>
      </w:r>
    </w:p>
    <w:p w14:paraId="2A312A91" w14:textId="77777777" w:rsidR="00FC652F" w:rsidRPr="006F41A3" w:rsidRDefault="00FC652F" w:rsidP="00FC652F">
      <w:pPr>
        <w:pStyle w:val="NormalWeb"/>
      </w:pPr>
      <w:r w:rsidRPr="006F41A3">
        <w:lastRenderedPageBreak/>
        <w:t>We will report baseline balance tables by treatment arm for baseline test scores among students observed at baseline. We will report endline follow-up rates by arm and test whether endline observation is predicted by treatment assignment and baseline covariates. Because students without baseline scores also lack baseline survey information, imputation or reweighting based on baseline characteristics is not feasible for a large share of the sample.</w:t>
      </w:r>
    </w:p>
    <w:p w14:paraId="3B3ABA91" w14:textId="1D5ED3D0" w:rsidR="00FC652F" w:rsidRPr="006F41A3" w:rsidRDefault="00FC652F" w:rsidP="00FC652F">
      <w:pPr>
        <w:pStyle w:val="NormalWeb"/>
      </w:pPr>
      <w:r w:rsidRPr="006F41A3">
        <w:t xml:space="preserve">If differential attrition between treatment and control exceeds 10 percentage points, we will report Lee bounds </w:t>
      </w:r>
      <w:r w:rsidR="005D35A9">
        <w:t xml:space="preserve">(Lee, 2009) </w:t>
      </w:r>
      <w:r w:rsidRPr="006F41A3">
        <w:t>as a sensitivity analysis to assess the robustness of ITT estimates to differential attrition.</w:t>
      </w:r>
    </w:p>
    <w:p w14:paraId="5078DC45" w14:textId="77777777" w:rsidR="00FC652F" w:rsidRPr="006F41A3" w:rsidRDefault="00FC652F" w:rsidP="002740EB">
      <w:pPr>
        <w:pStyle w:val="Heading2"/>
      </w:pPr>
      <w:r w:rsidRPr="006F41A3">
        <w:t>Heterogeneity Analyses</w:t>
      </w:r>
    </w:p>
    <w:p w14:paraId="47A7260C" w14:textId="77777777" w:rsidR="00FC652F" w:rsidRPr="006F41A3" w:rsidRDefault="00FC652F" w:rsidP="00FC652F">
      <w:pPr>
        <w:pStyle w:val="NormalWeb"/>
      </w:pPr>
      <w:r w:rsidRPr="006F41A3">
        <w:t xml:space="preserve">We will examine whether treatment effects differ systematically across pre-specified subgroups defined using baseline (pre-treatment) characteristics. All heterogeneity analyses are secondary and exploratory: they do not change the primary </w:t>
      </w:r>
      <w:proofErr w:type="spellStart"/>
      <w:r w:rsidRPr="006F41A3">
        <w:t>estimand</w:t>
      </w:r>
      <w:proofErr w:type="spellEnd"/>
      <w:r w:rsidRPr="006F41A3">
        <w:t xml:space="preserve"> and are used to understand for whom the intervention is most effective. Heterogeneity will be assessed by interacting the treatment assignment indicator with each subgroup indicator, while maintaining school × grade fixed effects and clustering standard errors at the classroom level. We will report subgroup-specific treatment effects and the corresponding 95 percent confidence intervals.</w:t>
      </w:r>
    </w:p>
    <w:p w14:paraId="1E7AC922" w14:textId="77777777" w:rsidR="00FC652F" w:rsidRPr="006F41A3" w:rsidRDefault="00FC652F" w:rsidP="00FC652F">
      <w:pPr>
        <w:pStyle w:val="Heading3"/>
        <w:rPr>
          <w:rFonts w:ascii="Times New Roman" w:hAnsi="Times New Roman" w:cs="Times New Roman"/>
        </w:rPr>
      </w:pPr>
      <w:r w:rsidRPr="006F41A3">
        <w:rPr>
          <w:rFonts w:ascii="Times New Roman" w:hAnsi="Times New Roman" w:cs="Times New Roman"/>
        </w:rPr>
        <w:t>English comprehension heterogeneity.</w:t>
      </w:r>
    </w:p>
    <w:p w14:paraId="726B722C" w14:textId="7F81E972" w:rsidR="00FC652F" w:rsidRPr="006F41A3" w:rsidRDefault="00FC652F" w:rsidP="00FC652F">
      <w:pPr>
        <w:pStyle w:val="NormalWeb"/>
      </w:pPr>
      <w:r w:rsidRPr="006F41A3">
        <w:t xml:space="preserve">We test whether impacts differ by baseline English comprehension, motivated by the hypothesis that students with lower language proficiency may face greater barriers to benefiting from text-based explanations. We define a binary indicator </w:t>
      </w:r>
      <m:oMath>
        <m:r>
          <w:rPr>
            <w:rFonts w:ascii="Cambria Math" w:hAnsi="Cambria Math"/>
          </w:rPr>
          <m:t>Low</m:t>
        </m:r>
        <m:sSub>
          <m:sSubPr>
            <m:ctrlPr>
              <w:rPr>
                <w:rFonts w:ascii="Cambria Math" w:hAnsi="Cambria Math"/>
              </w:rPr>
            </m:ctrlPr>
          </m:sSubPr>
          <m:e>
            <m:r>
              <w:rPr>
                <w:rFonts w:ascii="Cambria Math" w:hAnsi="Cambria Math"/>
              </w:rPr>
              <m:t>E</m:t>
            </m:r>
          </m:e>
          <m:sub>
            <m:r>
              <w:rPr>
                <w:rFonts w:ascii="Cambria Math" w:hAnsi="Cambria Math"/>
              </w:rPr>
              <m:t>icgs</m:t>
            </m:r>
          </m:sub>
        </m:sSub>
      </m:oMath>
      <w:r w:rsidR="006F41A3" w:rsidRPr="006F41A3">
        <w:t xml:space="preserve"> is </w:t>
      </w:r>
      <w:r w:rsidRPr="006F41A3">
        <w:t xml:space="preserve">equal to 1 if a student’s baseline English comprehension score is below the </w:t>
      </w:r>
      <w:r w:rsidR="006769CF" w:rsidRPr="006F41A3">
        <w:t>benchmark</w:t>
      </w:r>
      <w:r w:rsidRPr="006F41A3">
        <w:t xml:space="preserve"> within their grade (JSS1 or JSS2), and 0 otherwise. </w:t>
      </w:r>
      <w:r w:rsidR="00F92114" w:rsidRPr="006F41A3">
        <w:t xml:space="preserve">The binary indicator will be based on benchmark defined by Oxford </w:t>
      </w:r>
      <w:proofErr w:type="spellStart"/>
      <w:r w:rsidR="00F92114" w:rsidRPr="006F41A3">
        <w:t>MeasurEd</w:t>
      </w:r>
      <w:proofErr w:type="spellEnd"/>
      <w:r w:rsidR="00F92114" w:rsidRPr="006F41A3">
        <w:t>.</w:t>
      </w:r>
      <w:r w:rsidR="006F41A3" w:rsidRPr="006F41A3">
        <w:t xml:space="preserve"> </w:t>
      </w:r>
      <w:r w:rsidRPr="006F41A3">
        <w:t>The ITT heterogeneity model is:</w:t>
      </w:r>
    </w:p>
    <w:p w14:paraId="1F07FDB1" w14:textId="77777777" w:rsidR="00FC652F" w:rsidRPr="006F41A3" w:rsidRDefault="00000000" w:rsidP="00FC652F">
      <w:pPr>
        <w:rPr>
          <w:rFonts w:ascii="Times New Roman" w:hAnsi="Times New Roman" w:cs="Times New Roman"/>
        </w:rPr>
      </w:pPr>
      <m:oMathPara>
        <m:oMath>
          <m:sSubSup>
            <m:sSubSupPr>
              <m:ctrlPr>
                <w:rPr>
                  <w:rFonts w:ascii="Cambria Math" w:hAnsi="Cambria Math" w:cs="Times New Roman"/>
                </w:rPr>
              </m:ctrlPr>
            </m:sSubSupPr>
            <m:e>
              <m:r>
                <w:rPr>
                  <w:rFonts w:ascii="Cambria Math" w:hAnsi="Cambria Math" w:cs="Times New Roman"/>
                </w:rPr>
                <m:t>Y</m:t>
              </m:r>
            </m:e>
            <m:sub>
              <m:r>
                <w:rPr>
                  <w:rFonts w:ascii="Cambria Math" w:hAnsi="Cambria Math" w:cs="Times New Roman"/>
                </w:rPr>
                <m:t>icgs</m:t>
              </m:r>
            </m:sub>
            <m:sup>
              <m:r>
                <w:rPr>
                  <w:rFonts w:ascii="Cambria Math" w:hAnsi="Cambria Math" w:cs="Times New Roman"/>
                </w:rPr>
                <m:t>EL</m:t>
              </m:r>
            </m:sup>
          </m:sSubSup>
          <m:r>
            <w:rPr>
              <w:rFonts w:ascii="Cambria Math" w:hAnsi="Cambria Math" w:cs="Times New Roman"/>
            </w:rPr>
            <m:t>=α+β</m:t>
          </m:r>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cgs</m:t>
              </m:r>
            </m:sub>
          </m:sSub>
          <m:r>
            <w:rPr>
              <w:rFonts w:ascii="Cambria Math" w:hAnsi="Cambria Math" w:cs="Times New Roman"/>
            </w:rPr>
            <m:t>+ϕ</m:t>
          </m:r>
          <m:d>
            <m:dPr>
              <m:sepChr m:val="×"/>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cgs</m:t>
                  </m:r>
                </m:sub>
              </m:sSub>
            </m:e>
            <m:e>
              <m:r>
                <w:rPr>
                  <w:rFonts w:ascii="Cambria Math" w:hAnsi="Cambria Math" w:cs="Times New Roman"/>
                </w:rPr>
                <m:t>Low</m:t>
              </m:r>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icgs</m:t>
                  </m:r>
                </m:sub>
              </m:sSub>
            </m:e>
          </m:d>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γ</m:t>
              </m:r>
            </m:e>
            <m:sub>
              <m:r>
                <w:rPr>
                  <w:rFonts w:ascii="Cambria Math" w:hAnsi="Cambria Math" w:cs="Times New Roman"/>
                </w:rPr>
                <m:t>1</m:t>
              </m:r>
            </m:sub>
          </m:sSub>
          <m:sSubSup>
            <m:sSubSupPr>
              <m:ctrlPr>
                <w:rPr>
                  <w:rFonts w:ascii="Cambria Math" w:hAnsi="Cambria Math" w:cs="Times New Roman"/>
                </w:rPr>
              </m:ctrlPr>
            </m:sSubSupPr>
            <m:e>
              <m:r>
                <w:rPr>
                  <w:rFonts w:ascii="Cambria Math" w:hAnsi="Cambria Math" w:cs="Times New Roman"/>
                </w:rPr>
                <m:t>Y</m:t>
              </m:r>
            </m:e>
            <m:sub>
              <m:r>
                <w:rPr>
                  <w:rFonts w:ascii="Cambria Math" w:hAnsi="Cambria Math" w:cs="Times New Roman"/>
                </w:rPr>
                <m:t>icgs</m:t>
              </m:r>
            </m:sub>
            <m:sup>
              <m:r>
                <w:rPr>
                  <w:rFonts w:ascii="Cambria Math" w:hAnsi="Cambria Math" w:cs="Times New Roman"/>
                </w:rPr>
                <m:t>BL</m:t>
              </m:r>
            </m:sup>
          </m:sSub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γ</m:t>
              </m:r>
            </m:e>
            <m:sub>
              <m:r>
                <w:rPr>
                  <w:rFonts w:ascii="Cambria Math" w:hAnsi="Cambria Math" w:cs="Times New Roman"/>
                </w:rPr>
                <m:t>2</m:t>
              </m:r>
            </m:sub>
          </m:sSub>
          <m:sSubSup>
            <m:sSubSupPr>
              <m:ctrlPr>
                <w:rPr>
                  <w:rFonts w:ascii="Cambria Math" w:hAnsi="Cambria Math" w:cs="Times New Roman"/>
                </w:rPr>
              </m:ctrlPr>
            </m:sSubSupPr>
            <m:e>
              <m:r>
                <w:rPr>
                  <w:rFonts w:ascii="Cambria Math" w:hAnsi="Cambria Math" w:cs="Times New Roman"/>
                </w:rPr>
                <m:t>E</m:t>
              </m:r>
            </m:e>
            <m:sub>
              <m:r>
                <w:rPr>
                  <w:rFonts w:ascii="Cambria Math" w:hAnsi="Cambria Math" w:cs="Times New Roman"/>
                </w:rPr>
                <m:t>icgs</m:t>
              </m:r>
            </m:sub>
            <m:sup>
              <m:r>
                <w:rPr>
                  <w:rFonts w:ascii="Cambria Math" w:hAnsi="Cambria Math" w:cs="Times New Roman"/>
                </w:rPr>
                <m:t>BL</m:t>
              </m:r>
            </m:sup>
          </m:sSub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gs</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ε</m:t>
              </m:r>
            </m:e>
            <m:sub>
              <m:r>
                <w:rPr>
                  <w:rFonts w:ascii="Cambria Math" w:hAnsi="Cambria Math" w:cs="Times New Roman"/>
                </w:rPr>
                <m:t>icgs</m:t>
              </m:r>
            </m:sub>
          </m:sSub>
          <m:r>
            <m:rPr>
              <m:sty m:val="p"/>
            </m:rPr>
            <w:rPr>
              <w:rFonts w:ascii="Times New Roman" w:hAnsi="Times New Roman" w:cs="Times New Roman"/>
            </w:rPr>
            <w:br/>
          </m:r>
        </m:oMath>
      </m:oMathPara>
    </w:p>
    <w:p w14:paraId="109C44F2" w14:textId="7DDD8739" w:rsidR="00FC652F" w:rsidRPr="006F41A3" w:rsidRDefault="00FC652F" w:rsidP="00FC652F">
      <w:pPr>
        <w:pStyle w:val="NormalWeb"/>
      </w:pPr>
      <w:r w:rsidRPr="006F41A3">
        <w:t xml:space="preserve">where </w:t>
      </w:r>
      <m:oMath>
        <m:r>
          <w:rPr>
            <w:rFonts w:ascii="Cambria Math" w:hAnsi="Cambria Math"/>
          </w:rPr>
          <m:t>β</m:t>
        </m:r>
      </m:oMath>
      <w:r w:rsidRPr="006F41A3">
        <w:t xml:space="preserve">is the ITT effect for students at or above the grade-specific median of baseline English comprehension and </w:t>
      </w:r>
      <m:oMath>
        <m:r>
          <w:rPr>
            <w:rFonts w:ascii="Cambria Math" w:hAnsi="Cambria Math"/>
          </w:rPr>
          <m:t>β+ϕ</m:t>
        </m:r>
      </m:oMath>
      <w:r w:rsidRPr="006F41A3">
        <w:t xml:space="preserve">is the ITT effect for students below that median. The interaction coefficient </w:t>
      </w:r>
      <m:oMath>
        <m:r>
          <w:rPr>
            <w:rFonts w:ascii="Cambria Math" w:hAnsi="Cambria Math"/>
          </w:rPr>
          <m:t>ϕ</m:t>
        </m:r>
      </m:oMath>
      <w:r w:rsidR="00EC36B9">
        <w:t xml:space="preserve"> </w:t>
      </w:r>
      <w:r w:rsidRPr="006F41A3">
        <w:t>captures the difference in effects between the two groups.</w:t>
      </w:r>
    </w:p>
    <w:p w14:paraId="23EBD71E" w14:textId="77777777" w:rsidR="00F92114" w:rsidRPr="006F41A3" w:rsidRDefault="00F92114" w:rsidP="00F92114">
      <w:pPr>
        <w:pStyle w:val="Heading3"/>
        <w:rPr>
          <w:rFonts w:ascii="Times New Roman" w:hAnsi="Times New Roman" w:cs="Times New Roman"/>
        </w:rPr>
      </w:pPr>
      <w:r w:rsidRPr="006F41A3">
        <w:rPr>
          <w:rFonts w:ascii="Times New Roman" w:hAnsi="Times New Roman" w:cs="Times New Roman"/>
        </w:rPr>
        <w:t xml:space="preserve">Grade heterogeneity. </w:t>
      </w:r>
    </w:p>
    <w:p w14:paraId="04B55879" w14:textId="4EA4D0D2" w:rsidR="00F92114" w:rsidRPr="006F41A3" w:rsidRDefault="00F92114" w:rsidP="00F92114">
      <w:pPr>
        <w:pStyle w:val="NormalWeb"/>
      </w:pPr>
      <w:r w:rsidRPr="006F41A3">
        <w:t xml:space="preserve">We also test whether impacts differ by grade level (JSS1 versus JSS2). Because randomisation is stratified by school × grade and all main models include school × grade fixed effects, grade-specific impacts will be estimated by running the primary ITT specification separately for JSS1 and JSS2 and reporting the two estimates side by side. This avoids relying on interactions that are collinear with the fixed </w:t>
      </w:r>
      <w:proofErr w:type="gramStart"/>
      <w:r w:rsidRPr="006F41A3">
        <w:t>effects</w:t>
      </w:r>
      <w:proofErr w:type="gramEnd"/>
      <w:r w:rsidRPr="006F41A3">
        <w:t xml:space="preserve"> structure.</w:t>
      </w:r>
    </w:p>
    <w:p w14:paraId="60C9E904" w14:textId="5C4542CB" w:rsidR="00F92114" w:rsidRPr="006F41A3" w:rsidRDefault="00F92114" w:rsidP="00F92114">
      <w:pPr>
        <w:pStyle w:val="Heading3"/>
        <w:rPr>
          <w:rFonts w:ascii="Times New Roman" w:hAnsi="Times New Roman" w:cs="Times New Roman"/>
        </w:rPr>
      </w:pPr>
      <w:r w:rsidRPr="006F41A3">
        <w:rPr>
          <w:rFonts w:ascii="Times New Roman" w:hAnsi="Times New Roman" w:cs="Times New Roman"/>
        </w:rPr>
        <w:t xml:space="preserve">Dosage </w:t>
      </w:r>
      <w:r w:rsidR="006F41A3" w:rsidRPr="006F41A3">
        <w:rPr>
          <w:rFonts w:ascii="Times New Roman" w:hAnsi="Times New Roman" w:cs="Times New Roman"/>
        </w:rPr>
        <w:t>heterogeneity</w:t>
      </w:r>
    </w:p>
    <w:p w14:paraId="3C0FC843" w14:textId="68203B03" w:rsidR="00F92114" w:rsidRPr="006F41A3" w:rsidRDefault="00F92114" w:rsidP="00F92114">
      <w:pPr>
        <w:pStyle w:val="NormalWeb"/>
      </w:pPr>
      <w:r w:rsidRPr="006F41A3">
        <w:t xml:space="preserve">As an exploratory extension, we will examine whether dosage effects differ by baseline English comprehension using an IV interaction specification. Specifically, we will interact </w:t>
      </w:r>
      <w:r w:rsidRPr="006F41A3">
        <w:lastRenderedPageBreak/>
        <w:t xml:space="preserve">student dosage with </w:t>
      </w:r>
      <m:oMath>
        <m:r>
          <w:rPr>
            <w:rFonts w:ascii="Cambria Math" w:hAnsi="Cambria Math"/>
          </w:rPr>
          <m:t>Low</m:t>
        </m:r>
        <m:sSub>
          <m:sSubPr>
            <m:ctrlPr>
              <w:rPr>
                <w:rFonts w:ascii="Cambria Math" w:hAnsi="Cambria Math"/>
              </w:rPr>
            </m:ctrlPr>
          </m:sSubPr>
          <m:e>
            <m:r>
              <w:rPr>
                <w:rFonts w:ascii="Cambria Math" w:hAnsi="Cambria Math"/>
              </w:rPr>
              <m:t>E</m:t>
            </m:r>
          </m:e>
          <m:sub>
            <m:r>
              <w:rPr>
                <w:rFonts w:ascii="Cambria Math" w:hAnsi="Cambria Math"/>
              </w:rPr>
              <m:t>icgs</m:t>
            </m:r>
          </m:sub>
        </m:sSub>
      </m:oMath>
      <w:r w:rsidR="006F41A3" w:rsidRPr="006F41A3">
        <w:t xml:space="preserve"> </w:t>
      </w:r>
      <w:r w:rsidRPr="006F41A3">
        <w:t>in the second stage and instrument both dosage and the interaction using classroom assignment and the assignment–by–</w:t>
      </w:r>
      <m:oMath>
        <m:r>
          <w:rPr>
            <w:rFonts w:ascii="Cambria Math" w:hAnsi="Cambria Math"/>
          </w:rPr>
          <m:t>Low</m:t>
        </m:r>
        <m:sSub>
          <m:sSubPr>
            <m:ctrlPr>
              <w:rPr>
                <w:rFonts w:ascii="Cambria Math" w:hAnsi="Cambria Math"/>
              </w:rPr>
            </m:ctrlPr>
          </m:sSubPr>
          <m:e>
            <m:r>
              <w:rPr>
                <w:rFonts w:ascii="Cambria Math" w:hAnsi="Cambria Math"/>
              </w:rPr>
              <m:t>E</m:t>
            </m:r>
          </m:e>
          <m:sub>
            <m:r>
              <w:rPr>
                <w:rFonts w:ascii="Cambria Math" w:hAnsi="Cambria Math"/>
              </w:rPr>
              <m:t>icgs</m:t>
            </m:r>
          </m:sub>
        </m:sSub>
      </m:oMath>
      <w:r w:rsidRPr="006F41A3">
        <w:t xml:space="preserve"> interaction. These results will be interpreted cautiously given additional assumptions and reduced first-stage strength.</w:t>
      </w:r>
    </w:p>
    <w:p w14:paraId="356F93DE" w14:textId="77777777" w:rsidR="00F92114" w:rsidRPr="006F41A3" w:rsidRDefault="00F92114" w:rsidP="00F92114">
      <w:pPr>
        <w:pStyle w:val="Heading3"/>
        <w:rPr>
          <w:rFonts w:ascii="Times New Roman" w:hAnsi="Times New Roman" w:cs="Times New Roman"/>
        </w:rPr>
      </w:pPr>
      <w:r w:rsidRPr="006F41A3">
        <w:rPr>
          <w:rFonts w:ascii="Times New Roman" w:hAnsi="Times New Roman" w:cs="Times New Roman"/>
        </w:rPr>
        <w:t xml:space="preserve">Gender heterogeneity. </w:t>
      </w:r>
    </w:p>
    <w:p w14:paraId="65811330" w14:textId="4A443344" w:rsidR="00F92114" w:rsidRPr="006F41A3" w:rsidRDefault="00F92114" w:rsidP="00F92114">
      <w:pPr>
        <w:pStyle w:val="NormalWeb"/>
      </w:pPr>
      <w:r w:rsidRPr="006F41A3">
        <w:t>We test whether impacts differ by gender by interacting treatment assignment with an indicator for being female. We estimate the primary ANCOVA specification augmented with the interaction term and report subgroup-specific ITT effects and 95 percent confidence intervals.</w:t>
      </w:r>
    </w:p>
    <w:p w14:paraId="1E37ADE5" w14:textId="77777777" w:rsidR="00F92114" w:rsidRPr="006F41A3" w:rsidRDefault="00F92114" w:rsidP="00F92114">
      <w:pPr>
        <w:pStyle w:val="Heading3"/>
        <w:rPr>
          <w:rFonts w:ascii="Times New Roman" w:hAnsi="Times New Roman" w:cs="Times New Roman"/>
        </w:rPr>
      </w:pPr>
      <w:r w:rsidRPr="006F41A3">
        <w:rPr>
          <w:rFonts w:ascii="Times New Roman" w:hAnsi="Times New Roman" w:cs="Times New Roman"/>
        </w:rPr>
        <w:t xml:space="preserve">Age heterogeneity. </w:t>
      </w:r>
    </w:p>
    <w:p w14:paraId="23C9F606" w14:textId="147D1913" w:rsidR="00F92114" w:rsidRPr="006F41A3" w:rsidRDefault="00F92114" w:rsidP="00F92114">
      <w:pPr>
        <w:pStyle w:val="NormalWeb"/>
      </w:pPr>
      <w:r w:rsidRPr="006F41A3">
        <w:t>Given substantial age dispersion within grade in the study context, we test whether impacts differ by student age. To avoid conflating age with grade level, we define an “older” indicator equal to 1 if a student’s age is above the median within their grade (JSS1 or JSS2) at baseline. We estimate the primary ANCOVA specification augmented with the treatment-by-older interaction and report subgroup-specific effects.</w:t>
      </w:r>
    </w:p>
    <w:p w14:paraId="11099907" w14:textId="559CF9BA" w:rsidR="005648CD" w:rsidRDefault="005C7428" w:rsidP="005648CD">
      <w:pPr>
        <w:pStyle w:val="Heading2"/>
      </w:pPr>
      <w:r w:rsidRPr="005648CD">
        <w:t>Power and minimum detectable effect size</w:t>
      </w:r>
    </w:p>
    <w:p w14:paraId="05AD28AC" w14:textId="034F5993" w:rsidR="00E671E9" w:rsidRDefault="005C7428" w:rsidP="009E4AF3">
      <w:pPr>
        <w:pStyle w:val="NormalWeb"/>
      </w:pPr>
      <w:r w:rsidRPr="006F41A3">
        <w:t xml:space="preserve">The study was designed as a two-arm cluster randomised controlled trial with randomisation at the classroom level and analysis at the student level. Power calculations assume two-sided testing with α = 0.05 and power = 0.80, equal allocation across arms, 24 classrooms in treatment and 24 classrooms in control, and an average of </w:t>
      </w:r>
      <w:r w:rsidR="00EC36B9">
        <w:t>30</w:t>
      </w:r>
      <w:r w:rsidRPr="006F41A3">
        <w:t xml:space="preserve"> students per classroom at endline (600 students per arm). </w:t>
      </w:r>
    </w:p>
    <w:p w14:paraId="35CB60FF" w14:textId="624B6FFD" w:rsidR="00EC36B9" w:rsidRPr="006F41A3" w:rsidRDefault="00EC36B9" w:rsidP="009E4AF3">
      <w:pPr>
        <w:pStyle w:val="NormalWeb"/>
        <w:rPr>
          <w:rFonts w:eastAsiaTheme="majorEastAsia"/>
          <w:i/>
          <w:iCs/>
          <w:color w:val="0F4761" w:themeColor="accent1" w:themeShade="BF"/>
          <w:kern w:val="2"/>
          <w14:ligatures w14:val="standardContextual"/>
        </w:rPr>
      </w:pPr>
      <w:r>
        <w:rPr>
          <w:color w:val="000000"/>
        </w:rPr>
        <w:t>Intraclass correlation coefficients (ICCs) were estimated using baseline test scores (rescaled with IRT). An unconditional classroom-level ICC of 0.35 was obtained from a random-intercept model with no covariates. When conditioning on school-by-grade fixed effects, the residual within-block ICC dropped to approximately 0.07, indicating that the blocking variables explain the majority of between-classroom variance. Power calculations were therefore conducted using the conditional ICC, with gains from blocking incorporated via the assumed proportion of cluster-level variance explained</w:t>
      </w:r>
    </w:p>
    <w:p w14:paraId="74F3D476" w14:textId="7130CFBE" w:rsidR="00EC36B9" w:rsidRPr="00EC36B9" w:rsidRDefault="00EC36B9" w:rsidP="00EC36B9">
      <w:pPr>
        <w:rPr>
          <w:rFonts w:ascii="Times New Roman" w:eastAsia="Times New Roman" w:hAnsi="Times New Roman" w:cs="Times New Roman"/>
          <w:kern w:val="0"/>
          <w:lang w:eastAsia="en-GB"/>
          <w14:ligatures w14:val="none"/>
        </w:rPr>
      </w:pPr>
      <w:r w:rsidRPr="00EC36B9">
        <w:rPr>
          <w:rFonts w:ascii="Times New Roman" w:eastAsia="Times New Roman" w:hAnsi="Times New Roman" w:cs="Times New Roman"/>
          <w:color w:val="000000"/>
          <w:kern w:val="0"/>
          <w:lang w:eastAsia="en-GB"/>
          <w14:ligatures w14:val="none"/>
        </w:rPr>
        <w:t>Based on the previous parameters, baseline mathematics test, the minimum detectable effect size (MDES) for the primary endline mathematics outcome is 0.257 standard deviations. These power calculations are conservative in the sense that they are based on an endline-only two-sample comparison under clustering; the primary ANCOVA specification includes baseline achievement covariates and is expected to improve precision relative to this benchmark.</w:t>
      </w:r>
    </w:p>
    <w:p w14:paraId="492AA415" w14:textId="77777777" w:rsidR="00EC36B9" w:rsidRPr="00EC36B9" w:rsidRDefault="00EC36B9" w:rsidP="00EC36B9">
      <w:pPr>
        <w:rPr>
          <w:rFonts w:ascii="Times New Roman" w:eastAsia="Times New Roman" w:hAnsi="Times New Roman" w:cs="Times New Roman"/>
          <w:kern w:val="0"/>
          <w:lang w:eastAsia="en-GB"/>
          <w14:ligatures w14:val="none"/>
        </w:rPr>
      </w:pPr>
    </w:p>
    <w:p w14:paraId="32449DA5" w14:textId="77777777" w:rsidR="002740EB" w:rsidRDefault="002740EB">
      <w:pPr>
        <w:rPr>
          <w:rFonts w:ascii="Times New Roman" w:eastAsiaTheme="majorEastAsia" w:hAnsi="Times New Roman" w:cs="Times New Roman"/>
          <w:color w:val="0F4761" w:themeColor="accent1" w:themeShade="BF"/>
          <w:sz w:val="32"/>
          <w:szCs w:val="32"/>
          <w:lang w:eastAsia="en-GB"/>
        </w:rPr>
      </w:pPr>
      <w:r>
        <w:br w:type="page"/>
      </w:r>
    </w:p>
    <w:p w14:paraId="498B7244" w14:textId="46C5EDE7" w:rsidR="00163B88" w:rsidRPr="006F41A3" w:rsidRDefault="006F41A3" w:rsidP="005648CD">
      <w:pPr>
        <w:pStyle w:val="Heading2"/>
        <w:numPr>
          <w:ilvl w:val="0"/>
          <w:numId w:val="0"/>
        </w:numPr>
      </w:pPr>
      <w:r>
        <w:lastRenderedPageBreak/>
        <w:t>References</w:t>
      </w:r>
    </w:p>
    <w:p w14:paraId="2F670C33" w14:textId="77777777" w:rsidR="00194696" w:rsidRPr="006F41A3" w:rsidRDefault="00194696" w:rsidP="00163B88">
      <w:pPr>
        <w:rPr>
          <w:rFonts w:ascii="Times New Roman" w:hAnsi="Times New Roman" w:cs="Times New Roman"/>
        </w:rPr>
      </w:pPr>
    </w:p>
    <w:p w14:paraId="46577E06" w14:textId="29C735A3" w:rsidR="005D35A9" w:rsidRPr="005D35A9" w:rsidRDefault="005D35A9" w:rsidP="005D35A9">
      <w:pPr>
        <w:pStyle w:val="NormalWeb"/>
      </w:pPr>
      <w:r w:rsidRPr="005D35A9">
        <w:t xml:space="preserve">Abadie, A., Athey, S., Imbens, G., &amp; Wooldridge, J. (2023). </w:t>
      </w:r>
      <w:r w:rsidRPr="005D35A9">
        <w:rPr>
          <w:i/>
          <w:iCs/>
        </w:rPr>
        <w:t>When should you adjust standard errors for clustering?</w:t>
      </w:r>
      <w:r w:rsidRPr="005D35A9">
        <w:t xml:space="preserve"> Quarterly Journal of Economics, 138(1), 1–59.</w:t>
      </w:r>
    </w:p>
    <w:p w14:paraId="40F14D2F" w14:textId="258A7B88" w:rsidR="006F41A3" w:rsidRPr="005D35A9" w:rsidRDefault="005D35A9" w:rsidP="005D35A9">
      <w:pPr>
        <w:pStyle w:val="NormalWeb"/>
      </w:pPr>
      <w:r w:rsidRPr="005D35A9">
        <w:t xml:space="preserve">Imbens, G. W., &amp; Angrist, J. D. (1994). </w:t>
      </w:r>
      <w:r w:rsidRPr="005D35A9">
        <w:rPr>
          <w:i/>
          <w:iCs/>
        </w:rPr>
        <w:t>Identification and estimation of local average treatment effects</w:t>
      </w:r>
      <w:r w:rsidRPr="005D35A9">
        <w:t xml:space="preserve">. </w:t>
      </w:r>
      <w:proofErr w:type="spellStart"/>
      <w:r w:rsidRPr="005D35A9">
        <w:t>Econometrica</w:t>
      </w:r>
      <w:proofErr w:type="spellEnd"/>
      <w:r w:rsidRPr="005D35A9">
        <w:t>, 62(2), 467–475.</w:t>
      </w:r>
    </w:p>
    <w:p w14:paraId="7C2E4490" w14:textId="13B74C67" w:rsidR="006F41A3" w:rsidRPr="005D35A9" w:rsidRDefault="006F41A3" w:rsidP="00163B88">
      <w:pPr>
        <w:rPr>
          <w:rFonts w:ascii="Times New Roman" w:hAnsi="Times New Roman" w:cs="Times New Roman"/>
        </w:rPr>
      </w:pPr>
      <w:r w:rsidRPr="005D35A9">
        <w:rPr>
          <w:rStyle w:val="Strong"/>
          <w:rFonts w:ascii="Times New Roman" w:hAnsi="Times New Roman" w:cs="Times New Roman"/>
          <w:b w:val="0"/>
          <w:bCs w:val="0"/>
        </w:rPr>
        <w:t>McKenzie, D. (2012).</w:t>
      </w:r>
      <w:r w:rsidRPr="005D35A9">
        <w:rPr>
          <w:rFonts w:ascii="Times New Roman" w:hAnsi="Times New Roman" w:cs="Times New Roman"/>
        </w:rPr>
        <w:t xml:space="preserve"> </w:t>
      </w:r>
      <w:r w:rsidRPr="005D35A9">
        <w:rPr>
          <w:rStyle w:val="Emphasis"/>
          <w:rFonts w:ascii="Times New Roman" w:hAnsi="Times New Roman" w:cs="Times New Roman"/>
        </w:rPr>
        <w:t>Beyond baseline and follow-up: The case for more T in experiments.</w:t>
      </w:r>
      <w:r w:rsidRPr="005D35A9">
        <w:rPr>
          <w:rFonts w:ascii="Times New Roman" w:hAnsi="Times New Roman" w:cs="Times New Roman"/>
        </w:rPr>
        <w:t xml:space="preserve"> </w:t>
      </w:r>
      <w:r w:rsidRPr="005D35A9">
        <w:rPr>
          <w:rStyle w:val="Strong"/>
          <w:rFonts w:ascii="Times New Roman" w:hAnsi="Times New Roman" w:cs="Times New Roman"/>
          <w:b w:val="0"/>
          <w:bCs w:val="0"/>
        </w:rPr>
        <w:t>Journal of Development Economics</w:t>
      </w:r>
      <w:r w:rsidRPr="005D35A9">
        <w:rPr>
          <w:rFonts w:ascii="Times New Roman" w:hAnsi="Times New Roman" w:cs="Times New Roman"/>
        </w:rPr>
        <w:t>, 99(2), 210–221.</w:t>
      </w:r>
      <w:r w:rsidRPr="005D35A9">
        <w:rPr>
          <w:rFonts w:ascii="Times New Roman" w:hAnsi="Times New Roman" w:cs="Times New Roman"/>
        </w:rPr>
        <w:br/>
      </w:r>
      <w:hyperlink r:id="rId8" w:history="1">
        <w:r w:rsidRPr="005D35A9">
          <w:rPr>
            <w:rStyle w:val="Hyperlink"/>
            <w:rFonts w:ascii="Times New Roman" w:hAnsi="Times New Roman" w:cs="Times New Roman"/>
          </w:rPr>
          <w:t>https://doi.org/10.1016/j.jdeveco.2012.01.002</w:t>
        </w:r>
      </w:hyperlink>
    </w:p>
    <w:p w14:paraId="720D3E56" w14:textId="77777777" w:rsidR="006F41A3" w:rsidRPr="005D35A9" w:rsidRDefault="006F41A3" w:rsidP="00163B88">
      <w:pPr>
        <w:rPr>
          <w:rFonts w:ascii="Times New Roman" w:hAnsi="Times New Roman" w:cs="Times New Roman"/>
        </w:rPr>
      </w:pPr>
    </w:p>
    <w:p w14:paraId="0290DC1E" w14:textId="26EA99C9" w:rsidR="006F41A3" w:rsidRPr="005D35A9" w:rsidRDefault="006F41A3" w:rsidP="00163B88">
      <w:pPr>
        <w:rPr>
          <w:rFonts w:ascii="Times New Roman" w:hAnsi="Times New Roman" w:cs="Times New Roman"/>
        </w:rPr>
      </w:pPr>
      <w:r w:rsidRPr="005D35A9">
        <w:rPr>
          <w:rStyle w:val="Strong"/>
          <w:rFonts w:ascii="Times New Roman" w:hAnsi="Times New Roman" w:cs="Times New Roman"/>
          <w:b w:val="0"/>
          <w:bCs w:val="0"/>
        </w:rPr>
        <w:t>Lee, D. S. (2009).</w:t>
      </w:r>
      <w:r w:rsidRPr="005D35A9">
        <w:rPr>
          <w:rFonts w:ascii="Times New Roman" w:hAnsi="Times New Roman" w:cs="Times New Roman"/>
        </w:rPr>
        <w:t xml:space="preserve"> </w:t>
      </w:r>
      <w:r w:rsidRPr="005D35A9">
        <w:rPr>
          <w:rStyle w:val="Emphasis"/>
          <w:rFonts w:ascii="Times New Roman" w:hAnsi="Times New Roman" w:cs="Times New Roman"/>
        </w:rPr>
        <w:t>Training, wages, and sample selection: Estimating sharp bounds on treatment effects</w:t>
      </w:r>
      <w:r w:rsidRPr="005D35A9">
        <w:rPr>
          <w:rFonts w:ascii="Times New Roman" w:hAnsi="Times New Roman" w:cs="Times New Roman"/>
        </w:rPr>
        <w:t xml:space="preserve">. </w:t>
      </w:r>
      <w:r w:rsidRPr="005D35A9">
        <w:rPr>
          <w:rStyle w:val="Strong"/>
          <w:rFonts w:ascii="Times New Roman" w:hAnsi="Times New Roman" w:cs="Times New Roman"/>
          <w:b w:val="0"/>
          <w:bCs w:val="0"/>
        </w:rPr>
        <w:t>Review of Economic Studies</w:t>
      </w:r>
      <w:r w:rsidRPr="005D35A9">
        <w:rPr>
          <w:rFonts w:ascii="Times New Roman" w:hAnsi="Times New Roman" w:cs="Times New Roman"/>
          <w:b/>
          <w:bCs/>
        </w:rPr>
        <w:t>,</w:t>
      </w:r>
      <w:r w:rsidRPr="005D35A9">
        <w:rPr>
          <w:rFonts w:ascii="Times New Roman" w:hAnsi="Times New Roman" w:cs="Times New Roman"/>
        </w:rPr>
        <w:t xml:space="preserve"> 76(3), 1071–1102.</w:t>
      </w:r>
      <w:r w:rsidRPr="005D35A9">
        <w:rPr>
          <w:rFonts w:ascii="Times New Roman" w:hAnsi="Times New Roman" w:cs="Times New Roman"/>
        </w:rPr>
        <w:br/>
      </w:r>
      <w:hyperlink r:id="rId9" w:history="1">
        <w:r w:rsidRPr="005D35A9">
          <w:rPr>
            <w:rStyle w:val="Hyperlink"/>
            <w:rFonts w:ascii="Times New Roman" w:hAnsi="Times New Roman" w:cs="Times New Roman"/>
          </w:rPr>
          <w:t>https://doi.org/10.1111/j.1467-937X.2009.00536.x</w:t>
        </w:r>
      </w:hyperlink>
    </w:p>
    <w:p w14:paraId="664FCC36" w14:textId="77777777" w:rsidR="006F41A3" w:rsidRDefault="006F41A3" w:rsidP="00163B88">
      <w:pPr>
        <w:rPr>
          <w:rFonts w:ascii="Times New Roman" w:hAnsi="Times New Roman" w:cs="Times New Roman"/>
        </w:rPr>
      </w:pPr>
    </w:p>
    <w:p w14:paraId="514D9BBD" w14:textId="53EE8116" w:rsidR="002740EB" w:rsidRPr="00EC36B9" w:rsidRDefault="002740EB" w:rsidP="00163B88">
      <w:pPr>
        <w:rPr>
          <w:rStyle w:val="Strong"/>
          <w:rFonts w:ascii="Times New Roman" w:hAnsi="Times New Roman" w:cs="Times New Roman"/>
          <w:b w:val="0"/>
          <w:bCs w:val="0"/>
        </w:rPr>
      </w:pPr>
      <w:proofErr w:type="spellStart"/>
      <w:r w:rsidRPr="00EC36B9">
        <w:rPr>
          <w:rStyle w:val="Strong"/>
          <w:rFonts w:ascii="Times New Roman" w:hAnsi="Times New Roman" w:cs="Times New Roman"/>
          <w:b w:val="0"/>
          <w:bCs w:val="0"/>
        </w:rPr>
        <w:t>Spybrook</w:t>
      </w:r>
      <w:proofErr w:type="spellEnd"/>
      <w:r w:rsidRPr="00EC36B9">
        <w:rPr>
          <w:rStyle w:val="Strong"/>
          <w:rFonts w:ascii="Times New Roman" w:hAnsi="Times New Roman" w:cs="Times New Roman"/>
          <w:b w:val="0"/>
          <w:bCs w:val="0"/>
        </w:rPr>
        <w:t xml:space="preserve">, J., Bloom, H., Congdon, R., Hill, C., Martinez, A., &amp; Raudenbush, S. (2011). </w:t>
      </w:r>
      <w:r w:rsidRPr="00EC36B9">
        <w:rPr>
          <w:rStyle w:val="Strong"/>
          <w:rFonts w:ascii="Times New Roman" w:hAnsi="Times New Roman" w:cs="Times New Roman"/>
          <w:b w:val="0"/>
          <w:bCs w:val="0"/>
          <w:i/>
          <w:iCs/>
        </w:rPr>
        <w:t>Optimal Design Plus Empirical Evidence: Documentation for the “Optimal Design” Software</w:t>
      </w:r>
      <w:r w:rsidRPr="00EC36B9">
        <w:rPr>
          <w:rStyle w:val="Strong"/>
          <w:rFonts w:ascii="Times New Roman" w:hAnsi="Times New Roman" w:cs="Times New Roman"/>
          <w:b w:val="0"/>
          <w:bCs w:val="0"/>
        </w:rPr>
        <w:t>. MDRC.</w:t>
      </w:r>
    </w:p>
    <w:p w14:paraId="766CD7CF" w14:textId="77777777" w:rsidR="005D35A9" w:rsidRDefault="005D35A9" w:rsidP="00163B88">
      <w:pPr>
        <w:rPr>
          <w:rFonts w:ascii="Times New Roman" w:hAnsi="Times New Roman" w:cs="Times New Roman"/>
        </w:rPr>
      </w:pPr>
    </w:p>
    <w:p w14:paraId="0B14748D" w14:textId="77777777" w:rsidR="005D35A9" w:rsidRDefault="005D35A9" w:rsidP="00163B88">
      <w:pPr>
        <w:rPr>
          <w:rFonts w:ascii="Times New Roman" w:hAnsi="Times New Roman" w:cs="Times New Roman"/>
        </w:rPr>
      </w:pPr>
    </w:p>
    <w:p w14:paraId="7F1079B1" w14:textId="1AE2EAEA" w:rsidR="005D35A9" w:rsidRPr="006F41A3" w:rsidRDefault="005D35A9" w:rsidP="00163B88">
      <w:pPr>
        <w:rPr>
          <w:rFonts w:ascii="Times New Roman" w:hAnsi="Times New Roman" w:cs="Times New Roman"/>
        </w:rPr>
      </w:pPr>
    </w:p>
    <w:sectPr w:rsidR="005D35A9" w:rsidRPr="006F41A3">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78552" w14:textId="77777777" w:rsidR="00E638B5" w:rsidRDefault="00E638B5" w:rsidP="00880A38">
      <w:r>
        <w:separator/>
      </w:r>
    </w:p>
  </w:endnote>
  <w:endnote w:type="continuationSeparator" w:id="0">
    <w:p w14:paraId="5D116707" w14:textId="77777777" w:rsidR="00E638B5" w:rsidRDefault="00E638B5" w:rsidP="00880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2FF" w:usb1="420024FF"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D675290" w14:paraId="38A490F6" w14:textId="77777777" w:rsidTr="3D675290">
      <w:trPr>
        <w:trHeight w:val="300"/>
      </w:trPr>
      <w:tc>
        <w:tcPr>
          <w:tcW w:w="3005" w:type="dxa"/>
        </w:tcPr>
        <w:p w14:paraId="46DAEBBF" w14:textId="03217823" w:rsidR="3D675290" w:rsidRDefault="3D675290" w:rsidP="3D675290">
          <w:pPr>
            <w:pStyle w:val="Header"/>
            <w:ind w:left="-115"/>
          </w:pPr>
        </w:p>
      </w:tc>
      <w:tc>
        <w:tcPr>
          <w:tcW w:w="3005" w:type="dxa"/>
        </w:tcPr>
        <w:p w14:paraId="0DF0748B" w14:textId="2DDF85F2" w:rsidR="3D675290" w:rsidRDefault="3D675290" w:rsidP="3D675290">
          <w:pPr>
            <w:pStyle w:val="Header"/>
            <w:jc w:val="center"/>
          </w:pPr>
        </w:p>
      </w:tc>
      <w:tc>
        <w:tcPr>
          <w:tcW w:w="3005" w:type="dxa"/>
        </w:tcPr>
        <w:p w14:paraId="3DD9A4B4" w14:textId="2E10F6D2" w:rsidR="3D675290" w:rsidRDefault="3D675290" w:rsidP="3D675290">
          <w:pPr>
            <w:pStyle w:val="Header"/>
            <w:ind w:right="-115"/>
            <w:jc w:val="right"/>
          </w:pPr>
        </w:p>
      </w:tc>
    </w:tr>
  </w:tbl>
  <w:p w14:paraId="3B581818" w14:textId="4CB8F0E9" w:rsidR="3D675290" w:rsidRDefault="3D675290" w:rsidP="3D675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D9770" w14:textId="77777777" w:rsidR="00E638B5" w:rsidRDefault="00E638B5" w:rsidP="00880A38">
      <w:r>
        <w:separator/>
      </w:r>
    </w:p>
  </w:footnote>
  <w:footnote w:type="continuationSeparator" w:id="0">
    <w:p w14:paraId="7780E292" w14:textId="77777777" w:rsidR="00E638B5" w:rsidRDefault="00E638B5" w:rsidP="00880A38">
      <w:r>
        <w:continuationSeparator/>
      </w:r>
    </w:p>
  </w:footnote>
  <w:footnote w:id="1">
    <w:p w14:paraId="28565F39" w14:textId="77777777" w:rsidR="006F41A3" w:rsidRPr="006F41A3" w:rsidRDefault="006F41A3" w:rsidP="006F41A3">
      <w:pPr>
        <w:pStyle w:val="NormalWeb"/>
      </w:pPr>
      <w:r>
        <w:rPr>
          <w:rStyle w:val="FootnoteReference"/>
        </w:rPr>
        <w:footnoteRef/>
      </w:r>
      <w:r>
        <w:t xml:space="preserve"> Baseline English comprehension is included solely as a precision covariate and for heterogeneity analysis; it is not an outcome of interest.</w:t>
      </w:r>
    </w:p>
    <w:p w14:paraId="2AF45A96" w14:textId="148FC455" w:rsidR="006F41A3" w:rsidRDefault="006F41A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4A302" w14:textId="42E9D3F6" w:rsidR="3D675290" w:rsidRPr="00491D6C" w:rsidRDefault="00CD534E" w:rsidP="00491D6C">
    <w:pPr>
      <w:tabs>
        <w:tab w:val="left" w:pos="3113"/>
        <w:tab w:val="left" w:pos="6118"/>
      </w:tabs>
      <w:ind w:right="-115"/>
      <w:jc w:val="right"/>
      <w:rPr>
        <w:lang w:val="en-US"/>
      </w:rPr>
    </w:pPr>
    <w:r w:rsidRPr="00CD534E">
      <w:rPr>
        <w:noProof/>
        <w:lang w:val="en-US"/>
      </w:rPr>
      <w:drawing>
        <wp:inline distT="0" distB="0" distL="0" distR="0" wp14:anchorId="1F754CD3" wp14:editId="28F18D7B">
          <wp:extent cx="1135380" cy="409069"/>
          <wp:effectExtent l="0" t="0" r="7620" b="0"/>
          <wp:docPr id="1042302388"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02388" name="Picture 1" descr="A black and white logo&#10;&#10;AI-generated content may be incorrect."/>
                  <pic:cNvPicPr/>
                </pic:nvPicPr>
                <pic:blipFill>
                  <a:blip r:embed="rId1"/>
                  <a:stretch>
                    <a:fillRect/>
                  </a:stretch>
                </pic:blipFill>
                <pic:spPr>
                  <a:xfrm>
                    <a:off x="0" y="0"/>
                    <a:ext cx="1162852" cy="4189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539"/>
    <w:multiLevelType w:val="multilevel"/>
    <w:tmpl w:val="2930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68E82"/>
    <w:multiLevelType w:val="hybridMultilevel"/>
    <w:tmpl w:val="FFFFFFFF"/>
    <w:lvl w:ilvl="0" w:tplc="C8D2B248">
      <w:start w:val="1"/>
      <w:numFmt w:val="bullet"/>
      <w:lvlText w:val=""/>
      <w:lvlJc w:val="left"/>
      <w:pPr>
        <w:ind w:left="720" w:hanging="360"/>
      </w:pPr>
      <w:rPr>
        <w:rFonts w:ascii="Symbol" w:hAnsi="Symbol" w:hint="default"/>
      </w:rPr>
    </w:lvl>
    <w:lvl w:ilvl="1" w:tplc="F280B4B0">
      <w:start w:val="1"/>
      <w:numFmt w:val="bullet"/>
      <w:lvlText w:val="o"/>
      <w:lvlJc w:val="left"/>
      <w:pPr>
        <w:ind w:left="1440" w:hanging="360"/>
      </w:pPr>
      <w:rPr>
        <w:rFonts w:ascii="Courier New" w:hAnsi="Courier New" w:hint="default"/>
      </w:rPr>
    </w:lvl>
    <w:lvl w:ilvl="2" w:tplc="533A700E">
      <w:start w:val="1"/>
      <w:numFmt w:val="bullet"/>
      <w:lvlText w:val=""/>
      <w:lvlJc w:val="left"/>
      <w:pPr>
        <w:ind w:left="2160" w:hanging="360"/>
      </w:pPr>
      <w:rPr>
        <w:rFonts w:ascii="Wingdings" w:hAnsi="Wingdings" w:hint="default"/>
      </w:rPr>
    </w:lvl>
    <w:lvl w:ilvl="3" w:tplc="5B1E0AEC">
      <w:start w:val="1"/>
      <w:numFmt w:val="bullet"/>
      <w:lvlText w:val=""/>
      <w:lvlJc w:val="left"/>
      <w:pPr>
        <w:ind w:left="2880" w:hanging="360"/>
      </w:pPr>
      <w:rPr>
        <w:rFonts w:ascii="Symbol" w:hAnsi="Symbol" w:hint="default"/>
      </w:rPr>
    </w:lvl>
    <w:lvl w:ilvl="4" w:tplc="6DE0A4E2">
      <w:start w:val="1"/>
      <w:numFmt w:val="bullet"/>
      <w:lvlText w:val="o"/>
      <w:lvlJc w:val="left"/>
      <w:pPr>
        <w:ind w:left="3600" w:hanging="360"/>
      </w:pPr>
      <w:rPr>
        <w:rFonts w:ascii="Courier New" w:hAnsi="Courier New" w:hint="default"/>
      </w:rPr>
    </w:lvl>
    <w:lvl w:ilvl="5" w:tplc="E278B430">
      <w:start w:val="1"/>
      <w:numFmt w:val="bullet"/>
      <w:lvlText w:val=""/>
      <w:lvlJc w:val="left"/>
      <w:pPr>
        <w:ind w:left="4320" w:hanging="360"/>
      </w:pPr>
      <w:rPr>
        <w:rFonts w:ascii="Wingdings" w:hAnsi="Wingdings" w:hint="default"/>
      </w:rPr>
    </w:lvl>
    <w:lvl w:ilvl="6" w:tplc="0814523C">
      <w:start w:val="1"/>
      <w:numFmt w:val="bullet"/>
      <w:lvlText w:val=""/>
      <w:lvlJc w:val="left"/>
      <w:pPr>
        <w:ind w:left="5040" w:hanging="360"/>
      </w:pPr>
      <w:rPr>
        <w:rFonts w:ascii="Symbol" w:hAnsi="Symbol" w:hint="default"/>
      </w:rPr>
    </w:lvl>
    <w:lvl w:ilvl="7" w:tplc="58DEB658">
      <w:start w:val="1"/>
      <w:numFmt w:val="bullet"/>
      <w:lvlText w:val="o"/>
      <w:lvlJc w:val="left"/>
      <w:pPr>
        <w:ind w:left="5760" w:hanging="360"/>
      </w:pPr>
      <w:rPr>
        <w:rFonts w:ascii="Courier New" w:hAnsi="Courier New" w:hint="default"/>
      </w:rPr>
    </w:lvl>
    <w:lvl w:ilvl="8" w:tplc="C57CDEEE">
      <w:start w:val="1"/>
      <w:numFmt w:val="bullet"/>
      <w:lvlText w:val=""/>
      <w:lvlJc w:val="left"/>
      <w:pPr>
        <w:ind w:left="6480" w:hanging="360"/>
      </w:pPr>
      <w:rPr>
        <w:rFonts w:ascii="Wingdings" w:hAnsi="Wingdings" w:hint="default"/>
      </w:rPr>
    </w:lvl>
  </w:abstractNum>
  <w:abstractNum w:abstractNumId="2" w15:restartNumberingAfterBreak="0">
    <w:nsid w:val="03882DED"/>
    <w:multiLevelType w:val="hybridMultilevel"/>
    <w:tmpl w:val="2DC2B1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76B55C7"/>
    <w:multiLevelType w:val="multilevel"/>
    <w:tmpl w:val="521EAA9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2654E"/>
    <w:multiLevelType w:val="hybridMultilevel"/>
    <w:tmpl w:val="FFFFFFFF"/>
    <w:lvl w:ilvl="0" w:tplc="05E22088">
      <w:start w:val="1"/>
      <w:numFmt w:val="bullet"/>
      <w:lvlText w:val=""/>
      <w:lvlJc w:val="left"/>
      <w:pPr>
        <w:ind w:left="720" w:hanging="360"/>
      </w:pPr>
      <w:rPr>
        <w:rFonts w:ascii="Symbol" w:hAnsi="Symbol" w:hint="default"/>
      </w:rPr>
    </w:lvl>
    <w:lvl w:ilvl="1" w:tplc="433232E4">
      <w:start w:val="1"/>
      <w:numFmt w:val="bullet"/>
      <w:lvlText w:val="o"/>
      <w:lvlJc w:val="left"/>
      <w:pPr>
        <w:ind w:left="1440" w:hanging="360"/>
      </w:pPr>
      <w:rPr>
        <w:rFonts w:ascii="Courier New" w:hAnsi="Courier New" w:hint="default"/>
      </w:rPr>
    </w:lvl>
    <w:lvl w:ilvl="2" w:tplc="9BFC80B8">
      <w:start w:val="1"/>
      <w:numFmt w:val="bullet"/>
      <w:lvlText w:val=""/>
      <w:lvlJc w:val="left"/>
      <w:pPr>
        <w:ind w:left="2160" w:hanging="360"/>
      </w:pPr>
      <w:rPr>
        <w:rFonts w:ascii="Wingdings" w:hAnsi="Wingdings" w:hint="default"/>
      </w:rPr>
    </w:lvl>
    <w:lvl w:ilvl="3" w:tplc="8C5AE556">
      <w:start w:val="1"/>
      <w:numFmt w:val="bullet"/>
      <w:lvlText w:val=""/>
      <w:lvlJc w:val="left"/>
      <w:pPr>
        <w:ind w:left="2880" w:hanging="360"/>
      </w:pPr>
      <w:rPr>
        <w:rFonts w:ascii="Symbol" w:hAnsi="Symbol" w:hint="default"/>
      </w:rPr>
    </w:lvl>
    <w:lvl w:ilvl="4" w:tplc="8FA678EC">
      <w:start w:val="1"/>
      <w:numFmt w:val="bullet"/>
      <w:lvlText w:val="o"/>
      <w:lvlJc w:val="left"/>
      <w:pPr>
        <w:ind w:left="3600" w:hanging="360"/>
      </w:pPr>
      <w:rPr>
        <w:rFonts w:ascii="Courier New" w:hAnsi="Courier New" w:hint="default"/>
      </w:rPr>
    </w:lvl>
    <w:lvl w:ilvl="5" w:tplc="5F9AFA64">
      <w:start w:val="1"/>
      <w:numFmt w:val="bullet"/>
      <w:lvlText w:val=""/>
      <w:lvlJc w:val="left"/>
      <w:pPr>
        <w:ind w:left="4320" w:hanging="360"/>
      </w:pPr>
      <w:rPr>
        <w:rFonts w:ascii="Wingdings" w:hAnsi="Wingdings" w:hint="default"/>
      </w:rPr>
    </w:lvl>
    <w:lvl w:ilvl="6" w:tplc="8C6EBE22">
      <w:start w:val="1"/>
      <w:numFmt w:val="bullet"/>
      <w:lvlText w:val=""/>
      <w:lvlJc w:val="left"/>
      <w:pPr>
        <w:ind w:left="5040" w:hanging="360"/>
      </w:pPr>
      <w:rPr>
        <w:rFonts w:ascii="Symbol" w:hAnsi="Symbol" w:hint="default"/>
      </w:rPr>
    </w:lvl>
    <w:lvl w:ilvl="7" w:tplc="904AD408">
      <w:start w:val="1"/>
      <w:numFmt w:val="bullet"/>
      <w:lvlText w:val="o"/>
      <w:lvlJc w:val="left"/>
      <w:pPr>
        <w:ind w:left="5760" w:hanging="360"/>
      </w:pPr>
      <w:rPr>
        <w:rFonts w:ascii="Courier New" w:hAnsi="Courier New" w:hint="default"/>
      </w:rPr>
    </w:lvl>
    <w:lvl w:ilvl="8" w:tplc="C17EAF90">
      <w:start w:val="1"/>
      <w:numFmt w:val="bullet"/>
      <w:lvlText w:val=""/>
      <w:lvlJc w:val="left"/>
      <w:pPr>
        <w:ind w:left="6480" w:hanging="360"/>
      </w:pPr>
      <w:rPr>
        <w:rFonts w:ascii="Wingdings" w:hAnsi="Wingdings" w:hint="default"/>
      </w:rPr>
    </w:lvl>
  </w:abstractNum>
  <w:abstractNum w:abstractNumId="5" w15:restartNumberingAfterBreak="0">
    <w:nsid w:val="19D24D7C"/>
    <w:multiLevelType w:val="multilevel"/>
    <w:tmpl w:val="AE6C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71F14"/>
    <w:multiLevelType w:val="hybridMultilevel"/>
    <w:tmpl w:val="0D2EE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6B154C"/>
    <w:multiLevelType w:val="multilevel"/>
    <w:tmpl w:val="7064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044E43"/>
    <w:multiLevelType w:val="hybridMultilevel"/>
    <w:tmpl w:val="FFFFFFFF"/>
    <w:lvl w:ilvl="0" w:tplc="D34CB568">
      <w:start w:val="1"/>
      <w:numFmt w:val="bullet"/>
      <w:lvlText w:val=""/>
      <w:lvlJc w:val="left"/>
      <w:pPr>
        <w:ind w:left="720" w:hanging="360"/>
      </w:pPr>
      <w:rPr>
        <w:rFonts w:ascii="Symbol" w:hAnsi="Symbol" w:hint="default"/>
      </w:rPr>
    </w:lvl>
    <w:lvl w:ilvl="1" w:tplc="00A07880">
      <w:start w:val="1"/>
      <w:numFmt w:val="bullet"/>
      <w:lvlText w:val="o"/>
      <w:lvlJc w:val="left"/>
      <w:pPr>
        <w:ind w:left="1440" w:hanging="360"/>
      </w:pPr>
      <w:rPr>
        <w:rFonts w:ascii="Courier New" w:hAnsi="Courier New" w:hint="default"/>
      </w:rPr>
    </w:lvl>
    <w:lvl w:ilvl="2" w:tplc="2BE41272">
      <w:start w:val="1"/>
      <w:numFmt w:val="bullet"/>
      <w:lvlText w:val=""/>
      <w:lvlJc w:val="left"/>
      <w:pPr>
        <w:ind w:left="2160" w:hanging="360"/>
      </w:pPr>
      <w:rPr>
        <w:rFonts w:ascii="Wingdings" w:hAnsi="Wingdings" w:hint="default"/>
      </w:rPr>
    </w:lvl>
    <w:lvl w:ilvl="3" w:tplc="131C61F0">
      <w:start w:val="1"/>
      <w:numFmt w:val="bullet"/>
      <w:lvlText w:val=""/>
      <w:lvlJc w:val="left"/>
      <w:pPr>
        <w:ind w:left="2880" w:hanging="360"/>
      </w:pPr>
      <w:rPr>
        <w:rFonts w:ascii="Symbol" w:hAnsi="Symbol" w:hint="default"/>
      </w:rPr>
    </w:lvl>
    <w:lvl w:ilvl="4" w:tplc="C6067EFE">
      <w:start w:val="1"/>
      <w:numFmt w:val="bullet"/>
      <w:lvlText w:val="o"/>
      <w:lvlJc w:val="left"/>
      <w:pPr>
        <w:ind w:left="3600" w:hanging="360"/>
      </w:pPr>
      <w:rPr>
        <w:rFonts w:ascii="Courier New" w:hAnsi="Courier New" w:hint="default"/>
      </w:rPr>
    </w:lvl>
    <w:lvl w:ilvl="5" w:tplc="4D9CBFD0">
      <w:start w:val="1"/>
      <w:numFmt w:val="bullet"/>
      <w:lvlText w:val=""/>
      <w:lvlJc w:val="left"/>
      <w:pPr>
        <w:ind w:left="4320" w:hanging="360"/>
      </w:pPr>
      <w:rPr>
        <w:rFonts w:ascii="Wingdings" w:hAnsi="Wingdings" w:hint="default"/>
      </w:rPr>
    </w:lvl>
    <w:lvl w:ilvl="6" w:tplc="48B6C0C4">
      <w:start w:val="1"/>
      <w:numFmt w:val="bullet"/>
      <w:lvlText w:val=""/>
      <w:lvlJc w:val="left"/>
      <w:pPr>
        <w:ind w:left="5040" w:hanging="360"/>
      </w:pPr>
      <w:rPr>
        <w:rFonts w:ascii="Symbol" w:hAnsi="Symbol" w:hint="default"/>
      </w:rPr>
    </w:lvl>
    <w:lvl w:ilvl="7" w:tplc="B1301EB6">
      <w:start w:val="1"/>
      <w:numFmt w:val="bullet"/>
      <w:lvlText w:val="o"/>
      <w:lvlJc w:val="left"/>
      <w:pPr>
        <w:ind w:left="5760" w:hanging="360"/>
      </w:pPr>
      <w:rPr>
        <w:rFonts w:ascii="Courier New" w:hAnsi="Courier New" w:hint="default"/>
      </w:rPr>
    </w:lvl>
    <w:lvl w:ilvl="8" w:tplc="8BEA0174">
      <w:start w:val="1"/>
      <w:numFmt w:val="bullet"/>
      <w:lvlText w:val=""/>
      <w:lvlJc w:val="left"/>
      <w:pPr>
        <w:ind w:left="6480" w:hanging="360"/>
      </w:pPr>
      <w:rPr>
        <w:rFonts w:ascii="Wingdings" w:hAnsi="Wingdings" w:hint="default"/>
      </w:rPr>
    </w:lvl>
  </w:abstractNum>
  <w:abstractNum w:abstractNumId="9" w15:restartNumberingAfterBreak="0">
    <w:nsid w:val="4C580FA9"/>
    <w:multiLevelType w:val="hybridMultilevel"/>
    <w:tmpl w:val="1152D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0309D2"/>
    <w:multiLevelType w:val="hybridMultilevel"/>
    <w:tmpl w:val="AD9494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604252C"/>
    <w:multiLevelType w:val="hybridMultilevel"/>
    <w:tmpl w:val="F1BC6024"/>
    <w:lvl w:ilvl="0" w:tplc="903A934C">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4B3313"/>
    <w:multiLevelType w:val="hybridMultilevel"/>
    <w:tmpl w:val="389C0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F41E63"/>
    <w:multiLevelType w:val="hybridMultilevel"/>
    <w:tmpl w:val="FFFFFFFF"/>
    <w:lvl w:ilvl="0" w:tplc="201E90F4">
      <w:start w:val="1"/>
      <w:numFmt w:val="bullet"/>
      <w:lvlText w:val=""/>
      <w:lvlJc w:val="left"/>
      <w:pPr>
        <w:ind w:left="720" w:hanging="360"/>
      </w:pPr>
      <w:rPr>
        <w:rFonts w:ascii="Symbol" w:hAnsi="Symbol" w:hint="default"/>
      </w:rPr>
    </w:lvl>
    <w:lvl w:ilvl="1" w:tplc="751C4F10">
      <w:start w:val="1"/>
      <w:numFmt w:val="bullet"/>
      <w:lvlText w:val="o"/>
      <w:lvlJc w:val="left"/>
      <w:pPr>
        <w:ind w:left="1440" w:hanging="360"/>
      </w:pPr>
      <w:rPr>
        <w:rFonts w:ascii="Courier New" w:hAnsi="Courier New" w:hint="default"/>
      </w:rPr>
    </w:lvl>
    <w:lvl w:ilvl="2" w:tplc="B0C4E88A">
      <w:start w:val="1"/>
      <w:numFmt w:val="bullet"/>
      <w:lvlText w:val=""/>
      <w:lvlJc w:val="left"/>
      <w:pPr>
        <w:ind w:left="2160" w:hanging="360"/>
      </w:pPr>
      <w:rPr>
        <w:rFonts w:ascii="Wingdings" w:hAnsi="Wingdings" w:hint="default"/>
      </w:rPr>
    </w:lvl>
    <w:lvl w:ilvl="3" w:tplc="8F2061B6">
      <w:start w:val="1"/>
      <w:numFmt w:val="bullet"/>
      <w:lvlText w:val=""/>
      <w:lvlJc w:val="left"/>
      <w:pPr>
        <w:ind w:left="2880" w:hanging="360"/>
      </w:pPr>
      <w:rPr>
        <w:rFonts w:ascii="Symbol" w:hAnsi="Symbol" w:hint="default"/>
      </w:rPr>
    </w:lvl>
    <w:lvl w:ilvl="4" w:tplc="1A164492">
      <w:start w:val="1"/>
      <w:numFmt w:val="bullet"/>
      <w:lvlText w:val="o"/>
      <w:lvlJc w:val="left"/>
      <w:pPr>
        <w:ind w:left="3600" w:hanging="360"/>
      </w:pPr>
      <w:rPr>
        <w:rFonts w:ascii="Courier New" w:hAnsi="Courier New" w:hint="default"/>
      </w:rPr>
    </w:lvl>
    <w:lvl w:ilvl="5" w:tplc="1C94A71E">
      <w:start w:val="1"/>
      <w:numFmt w:val="bullet"/>
      <w:lvlText w:val=""/>
      <w:lvlJc w:val="left"/>
      <w:pPr>
        <w:ind w:left="4320" w:hanging="360"/>
      </w:pPr>
      <w:rPr>
        <w:rFonts w:ascii="Wingdings" w:hAnsi="Wingdings" w:hint="default"/>
      </w:rPr>
    </w:lvl>
    <w:lvl w:ilvl="6" w:tplc="A81497D6">
      <w:start w:val="1"/>
      <w:numFmt w:val="bullet"/>
      <w:lvlText w:val=""/>
      <w:lvlJc w:val="left"/>
      <w:pPr>
        <w:ind w:left="5040" w:hanging="360"/>
      </w:pPr>
      <w:rPr>
        <w:rFonts w:ascii="Symbol" w:hAnsi="Symbol" w:hint="default"/>
      </w:rPr>
    </w:lvl>
    <w:lvl w:ilvl="7" w:tplc="696A63EE">
      <w:start w:val="1"/>
      <w:numFmt w:val="bullet"/>
      <w:lvlText w:val="o"/>
      <w:lvlJc w:val="left"/>
      <w:pPr>
        <w:ind w:left="5760" w:hanging="360"/>
      </w:pPr>
      <w:rPr>
        <w:rFonts w:ascii="Courier New" w:hAnsi="Courier New" w:hint="default"/>
      </w:rPr>
    </w:lvl>
    <w:lvl w:ilvl="8" w:tplc="2138A6B2">
      <w:start w:val="1"/>
      <w:numFmt w:val="bullet"/>
      <w:lvlText w:val=""/>
      <w:lvlJc w:val="left"/>
      <w:pPr>
        <w:ind w:left="6480" w:hanging="360"/>
      </w:pPr>
      <w:rPr>
        <w:rFonts w:ascii="Wingdings" w:hAnsi="Wingdings" w:hint="default"/>
      </w:rPr>
    </w:lvl>
  </w:abstractNum>
  <w:abstractNum w:abstractNumId="14" w15:restartNumberingAfterBreak="0">
    <w:nsid w:val="632F53E2"/>
    <w:multiLevelType w:val="hybridMultilevel"/>
    <w:tmpl w:val="FFFFFFFF"/>
    <w:lvl w:ilvl="0" w:tplc="15CC7D82">
      <w:start w:val="1"/>
      <w:numFmt w:val="bullet"/>
      <w:lvlText w:val=""/>
      <w:lvlJc w:val="left"/>
      <w:pPr>
        <w:ind w:left="720" w:hanging="360"/>
      </w:pPr>
      <w:rPr>
        <w:rFonts w:ascii="Symbol" w:hAnsi="Symbol" w:hint="default"/>
      </w:rPr>
    </w:lvl>
    <w:lvl w:ilvl="1" w:tplc="617C5E8C">
      <w:start w:val="1"/>
      <w:numFmt w:val="bullet"/>
      <w:lvlText w:val="o"/>
      <w:lvlJc w:val="left"/>
      <w:pPr>
        <w:ind w:left="1440" w:hanging="360"/>
      </w:pPr>
      <w:rPr>
        <w:rFonts w:ascii="Courier New" w:hAnsi="Courier New" w:hint="default"/>
      </w:rPr>
    </w:lvl>
    <w:lvl w:ilvl="2" w:tplc="B166093C">
      <w:start w:val="1"/>
      <w:numFmt w:val="bullet"/>
      <w:lvlText w:val=""/>
      <w:lvlJc w:val="left"/>
      <w:pPr>
        <w:ind w:left="2160" w:hanging="360"/>
      </w:pPr>
      <w:rPr>
        <w:rFonts w:ascii="Wingdings" w:hAnsi="Wingdings" w:hint="default"/>
      </w:rPr>
    </w:lvl>
    <w:lvl w:ilvl="3" w:tplc="B1D25B5A">
      <w:start w:val="1"/>
      <w:numFmt w:val="bullet"/>
      <w:lvlText w:val=""/>
      <w:lvlJc w:val="left"/>
      <w:pPr>
        <w:ind w:left="2880" w:hanging="360"/>
      </w:pPr>
      <w:rPr>
        <w:rFonts w:ascii="Symbol" w:hAnsi="Symbol" w:hint="default"/>
      </w:rPr>
    </w:lvl>
    <w:lvl w:ilvl="4" w:tplc="1FF2EA9C">
      <w:start w:val="1"/>
      <w:numFmt w:val="bullet"/>
      <w:lvlText w:val="o"/>
      <w:lvlJc w:val="left"/>
      <w:pPr>
        <w:ind w:left="3600" w:hanging="360"/>
      </w:pPr>
      <w:rPr>
        <w:rFonts w:ascii="Courier New" w:hAnsi="Courier New" w:hint="default"/>
      </w:rPr>
    </w:lvl>
    <w:lvl w:ilvl="5" w:tplc="1E74C6E2">
      <w:start w:val="1"/>
      <w:numFmt w:val="bullet"/>
      <w:lvlText w:val=""/>
      <w:lvlJc w:val="left"/>
      <w:pPr>
        <w:ind w:left="4320" w:hanging="360"/>
      </w:pPr>
      <w:rPr>
        <w:rFonts w:ascii="Wingdings" w:hAnsi="Wingdings" w:hint="default"/>
      </w:rPr>
    </w:lvl>
    <w:lvl w:ilvl="6" w:tplc="699ABA68">
      <w:start w:val="1"/>
      <w:numFmt w:val="bullet"/>
      <w:lvlText w:val=""/>
      <w:lvlJc w:val="left"/>
      <w:pPr>
        <w:ind w:left="5040" w:hanging="360"/>
      </w:pPr>
      <w:rPr>
        <w:rFonts w:ascii="Symbol" w:hAnsi="Symbol" w:hint="default"/>
      </w:rPr>
    </w:lvl>
    <w:lvl w:ilvl="7" w:tplc="AA2E122E">
      <w:start w:val="1"/>
      <w:numFmt w:val="bullet"/>
      <w:lvlText w:val="o"/>
      <w:lvlJc w:val="left"/>
      <w:pPr>
        <w:ind w:left="5760" w:hanging="360"/>
      </w:pPr>
      <w:rPr>
        <w:rFonts w:ascii="Courier New" w:hAnsi="Courier New" w:hint="default"/>
      </w:rPr>
    </w:lvl>
    <w:lvl w:ilvl="8" w:tplc="DBD06B86">
      <w:start w:val="1"/>
      <w:numFmt w:val="bullet"/>
      <w:lvlText w:val=""/>
      <w:lvlJc w:val="left"/>
      <w:pPr>
        <w:ind w:left="6480" w:hanging="360"/>
      </w:pPr>
      <w:rPr>
        <w:rFonts w:ascii="Wingdings" w:hAnsi="Wingdings" w:hint="default"/>
      </w:rPr>
    </w:lvl>
  </w:abstractNum>
  <w:abstractNum w:abstractNumId="15" w15:restartNumberingAfterBreak="0">
    <w:nsid w:val="646D9FA2"/>
    <w:multiLevelType w:val="hybridMultilevel"/>
    <w:tmpl w:val="FFFFFFFF"/>
    <w:lvl w:ilvl="0" w:tplc="53FECFF2">
      <w:start w:val="1"/>
      <w:numFmt w:val="bullet"/>
      <w:lvlText w:val=""/>
      <w:lvlJc w:val="left"/>
      <w:pPr>
        <w:ind w:left="720" w:hanging="360"/>
      </w:pPr>
      <w:rPr>
        <w:rFonts w:ascii="Symbol" w:hAnsi="Symbol" w:hint="default"/>
      </w:rPr>
    </w:lvl>
    <w:lvl w:ilvl="1" w:tplc="2E8CFF34">
      <w:start w:val="1"/>
      <w:numFmt w:val="bullet"/>
      <w:lvlText w:val="o"/>
      <w:lvlJc w:val="left"/>
      <w:pPr>
        <w:ind w:left="1440" w:hanging="360"/>
      </w:pPr>
      <w:rPr>
        <w:rFonts w:ascii="Courier New" w:hAnsi="Courier New" w:hint="default"/>
      </w:rPr>
    </w:lvl>
    <w:lvl w:ilvl="2" w:tplc="FF4A4032">
      <w:start w:val="1"/>
      <w:numFmt w:val="bullet"/>
      <w:lvlText w:val=""/>
      <w:lvlJc w:val="left"/>
      <w:pPr>
        <w:ind w:left="2160" w:hanging="360"/>
      </w:pPr>
      <w:rPr>
        <w:rFonts w:ascii="Wingdings" w:hAnsi="Wingdings" w:hint="default"/>
      </w:rPr>
    </w:lvl>
    <w:lvl w:ilvl="3" w:tplc="2A22BF0C">
      <w:start w:val="1"/>
      <w:numFmt w:val="bullet"/>
      <w:lvlText w:val=""/>
      <w:lvlJc w:val="left"/>
      <w:pPr>
        <w:ind w:left="2880" w:hanging="360"/>
      </w:pPr>
      <w:rPr>
        <w:rFonts w:ascii="Symbol" w:hAnsi="Symbol" w:hint="default"/>
      </w:rPr>
    </w:lvl>
    <w:lvl w:ilvl="4" w:tplc="CB400804">
      <w:start w:val="1"/>
      <w:numFmt w:val="bullet"/>
      <w:lvlText w:val="o"/>
      <w:lvlJc w:val="left"/>
      <w:pPr>
        <w:ind w:left="3600" w:hanging="360"/>
      </w:pPr>
      <w:rPr>
        <w:rFonts w:ascii="Courier New" w:hAnsi="Courier New" w:hint="default"/>
      </w:rPr>
    </w:lvl>
    <w:lvl w:ilvl="5" w:tplc="BE4C171A">
      <w:start w:val="1"/>
      <w:numFmt w:val="bullet"/>
      <w:lvlText w:val=""/>
      <w:lvlJc w:val="left"/>
      <w:pPr>
        <w:ind w:left="4320" w:hanging="360"/>
      </w:pPr>
      <w:rPr>
        <w:rFonts w:ascii="Wingdings" w:hAnsi="Wingdings" w:hint="default"/>
      </w:rPr>
    </w:lvl>
    <w:lvl w:ilvl="6" w:tplc="94B43876">
      <w:start w:val="1"/>
      <w:numFmt w:val="bullet"/>
      <w:lvlText w:val=""/>
      <w:lvlJc w:val="left"/>
      <w:pPr>
        <w:ind w:left="5040" w:hanging="360"/>
      </w:pPr>
      <w:rPr>
        <w:rFonts w:ascii="Symbol" w:hAnsi="Symbol" w:hint="default"/>
      </w:rPr>
    </w:lvl>
    <w:lvl w:ilvl="7" w:tplc="60FAE0A0">
      <w:start w:val="1"/>
      <w:numFmt w:val="bullet"/>
      <w:lvlText w:val="o"/>
      <w:lvlJc w:val="left"/>
      <w:pPr>
        <w:ind w:left="5760" w:hanging="360"/>
      </w:pPr>
      <w:rPr>
        <w:rFonts w:ascii="Courier New" w:hAnsi="Courier New" w:hint="default"/>
      </w:rPr>
    </w:lvl>
    <w:lvl w:ilvl="8" w:tplc="E5F21DC2">
      <w:start w:val="1"/>
      <w:numFmt w:val="bullet"/>
      <w:lvlText w:val=""/>
      <w:lvlJc w:val="left"/>
      <w:pPr>
        <w:ind w:left="6480" w:hanging="360"/>
      </w:pPr>
      <w:rPr>
        <w:rFonts w:ascii="Wingdings" w:hAnsi="Wingdings" w:hint="default"/>
      </w:rPr>
    </w:lvl>
  </w:abstractNum>
  <w:abstractNum w:abstractNumId="16" w15:restartNumberingAfterBreak="0">
    <w:nsid w:val="77062FA6"/>
    <w:multiLevelType w:val="hybridMultilevel"/>
    <w:tmpl w:val="FFFFFFFF"/>
    <w:lvl w:ilvl="0" w:tplc="0CBCDEBC">
      <w:start w:val="1"/>
      <w:numFmt w:val="bullet"/>
      <w:lvlText w:val=""/>
      <w:lvlJc w:val="left"/>
      <w:pPr>
        <w:ind w:left="720" w:hanging="360"/>
      </w:pPr>
      <w:rPr>
        <w:rFonts w:ascii="Symbol" w:hAnsi="Symbol" w:hint="default"/>
      </w:rPr>
    </w:lvl>
    <w:lvl w:ilvl="1" w:tplc="775EE4FC">
      <w:start w:val="1"/>
      <w:numFmt w:val="bullet"/>
      <w:lvlText w:val="o"/>
      <w:lvlJc w:val="left"/>
      <w:pPr>
        <w:ind w:left="1440" w:hanging="360"/>
      </w:pPr>
      <w:rPr>
        <w:rFonts w:ascii="Courier New" w:hAnsi="Courier New" w:hint="default"/>
      </w:rPr>
    </w:lvl>
    <w:lvl w:ilvl="2" w:tplc="217280F8">
      <w:start w:val="1"/>
      <w:numFmt w:val="bullet"/>
      <w:lvlText w:val=""/>
      <w:lvlJc w:val="left"/>
      <w:pPr>
        <w:ind w:left="2160" w:hanging="360"/>
      </w:pPr>
      <w:rPr>
        <w:rFonts w:ascii="Wingdings" w:hAnsi="Wingdings" w:hint="default"/>
      </w:rPr>
    </w:lvl>
    <w:lvl w:ilvl="3" w:tplc="4EDE23AE">
      <w:start w:val="1"/>
      <w:numFmt w:val="bullet"/>
      <w:lvlText w:val=""/>
      <w:lvlJc w:val="left"/>
      <w:pPr>
        <w:ind w:left="2880" w:hanging="360"/>
      </w:pPr>
      <w:rPr>
        <w:rFonts w:ascii="Symbol" w:hAnsi="Symbol" w:hint="default"/>
      </w:rPr>
    </w:lvl>
    <w:lvl w:ilvl="4" w:tplc="4718B328">
      <w:start w:val="1"/>
      <w:numFmt w:val="bullet"/>
      <w:lvlText w:val="o"/>
      <w:lvlJc w:val="left"/>
      <w:pPr>
        <w:ind w:left="3600" w:hanging="360"/>
      </w:pPr>
      <w:rPr>
        <w:rFonts w:ascii="Courier New" w:hAnsi="Courier New" w:hint="default"/>
      </w:rPr>
    </w:lvl>
    <w:lvl w:ilvl="5" w:tplc="80B2BB7A">
      <w:start w:val="1"/>
      <w:numFmt w:val="bullet"/>
      <w:lvlText w:val=""/>
      <w:lvlJc w:val="left"/>
      <w:pPr>
        <w:ind w:left="4320" w:hanging="360"/>
      </w:pPr>
      <w:rPr>
        <w:rFonts w:ascii="Wingdings" w:hAnsi="Wingdings" w:hint="default"/>
      </w:rPr>
    </w:lvl>
    <w:lvl w:ilvl="6" w:tplc="B5CE4D70">
      <w:start w:val="1"/>
      <w:numFmt w:val="bullet"/>
      <w:lvlText w:val=""/>
      <w:lvlJc w:val="left"/>
      <w:pPr>
        <w:ind w:left="5040" w:hanging="360"/>
      </w:pPr>
      <w:rPr>
        <w:rFonts w:ascii="Symbol" w:hAnsi="Symbol" w:hint="default"/>
      </w:rPr>
    </w:lvl>
    <w:lvl w:ilvl="7" w:tplc="1A8AA376">
      <w:start w:val="1"/>
      <w:numFmt w:val="bullet"/>
      <w:lvlText w:val="o"/>
      <w:lvlJc w:val="left"/>
      <w:pPr>
        <w:ind w:left="5760" w:hanging="360"/>
      </w:pPr>
      <w:rPr>
        <w:rFonts w:ascii="Courier New" w:hAnsi="Courier New" w:hint="default"/>
      </w:rPr>
    </w:lvl>
    <w:lvl w:ilvl="8" w:tplc="7DA801F4">
      <w:start w:val="1"/>
      <w:numFmt w:val="bullet"/>
      <w:lvlText w:val=""/>
      <w:lvlJc w:val="left"/>
      <w:pPr>
        <w:ind w:left="6480" w:hanging="360"/>
      </w:pPr>
      <w:rPr>
        <w:rFonts w:ascii="Wingdings" w:hAnsi="Wingdings" w:hint="default"/>
      </w:rPr>
    </w:lvl>
  </w:abstractNum>
  <w:num w:numId="1" w16cid:durableId="1554274080">
    <w:abstractNumId w:val="13"/>
  </w:num>
  <w:num w:numId="2" w16cid:durableId="1263536391">
    <w:abstractNumId w:val="1"/>
  </w:num>
  <w:num w:numId="3" w16cid:durableId="415368491">
    <w:abstractNumId w:val="16"/>
  </w:num>
  <w:num w:numId="4" w16cid:durableId="663702131">
    <w:abstractNumId w:val="4"/>
  </w:num>
  <w:num w:numId="5" w16cid:durableId="909076372">
    <w:abstractNumId w:val="15"/>
  </w:num>
  <w:num w:numId="6" w16cid:durableId="656032145">
    <w:abstractNumId w:val="14"/>
  </w:num>
  <w:num w:numId="7" w16cid:durableId="250938229">
    <w:abstractNumId w:val="8"/>
  </w:num>
  <w:num w:numId="8" w16cid:durableId="212352749">
    <w:abstractNumId w:val="9"/>
  </w:num>
  <w:num w:numId="9" w16cid:durableId="1834182914">
    <w:abstractNumId w:val="6"/>
  </w:num>
  <w:num w:numId="10" w16cid:durableId="948313041">
    <w:abstractNumId w:val="12"/>
  </w:num>
  <w:num w:numId="11" w16cid:durableId="1405489171">
    <w:abstractNumId w:val="10"/>
  </w:num>
  <w:num w:numId="12" w16cid:durableId="180516874">
    <w:abstractNumId w:val="2"/>
  </w:num>
  <w:num w:numId="13" w16cid:durableId="957225704">
    <w:abstractNumId w:val="3"/>
  </w:num>
  <w:num w:numId="14" w16cid:durableId="2079132909">
    <w:abstractNumId w:val="7"/>
  </w:num>
  <w:num w:numId="15" w16cid:durableId="981351584">
    <w:abstractNumId w:val="0"/>
  </w:num>
  <w:num w:numId="16" w16cid:durableId="1267228637">
    <w:abstractNumId w:val="5"/>
  </w:num>
  <w:num w:numId="17" w16cid:durableId="18748813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65B"/>
    <w:rsid w:val="00000DC3"/>
    <w:rsid w:val="000011B8"/>
    <w:rsid w:val="00001747"/>
    <w:rsid w:val="0000480D"/>
    <w:rsid w:val="00005122"/>
    <w:rsid w:val="00006634"/>
    <w:rsid w:val="00010B14"/>
    <w:rsid w:val="00020BA2"/>
    <w:rsid w:val="00023B9F"/>
    <w:rsid w:val="0002449D"/>
    <w:rsid w:val="00026BEB"/>
    <w:rsid w:val="000277BA"/>
    <w:rsid w:val="00032B2F"/>
    <w:rsid w:val="000342C0"/>
    <w:rsid w:val="00037761"/>
    <w:rsid w:val="00037845"/>
    <w:rsid w:val="00040A88"/>
    <w:rsid w:val="000413BB"/>
    <w:rsid w:val="00043CFA"/>
    <w:rsid w:val="00051D4D"/>
    <w:rsid w:val="00065F86"/>
    <w:rsid w:val="00070241"/>
    <w:rsid w:val="000709E4"/>
    <w:rsid w:val="00071DA8"/>
    <w:rsid w:val="00071E9C"/>
    <w:rsid w:val="00072130"/>
    <w:rsid w:val="000725BD"/>
    <w:rsid w:val="00073D8B"/>
    <w:rsid w:val="0007430B"/>
    <w:rsid w:val="000755DB"/>
    <w:rsid w:val="000758C8"/>
    <w:rsid w:val="00076794"/>
    <w:rsid w:val="00077BF8"/>
    <w:rsid w:val="0008087F"/>
    <w:rsid w:val="00080900"/>
    <w:rsid w:val="00081D5F"/>
    <w:rsid w:val="00082D36"/>
    <w:rsid w:val="00084385"/>
    <w:rsid w:val="00087706"/>
    <w:rsid w:val="00091644"/>
    <w:rsid w:val="00091F2B"/>
    <w:rsid w:val="00093418"/>
    <w:rsid w:val="000962C3"/>
    <w:rsid w:val="000A2DC2"/>
    <w:rsid w:val="000B19A8"/>
    <w:rsid w:val="000B1B18"/>
    <w:rsid w:val="000B41C2"/>
    <w:rsid w:val="000C3016"/>
    <w:rsid w:val="000C301F"/>
    <w:rsid w:val="000C3257"/>
    <w:rsid w:val="000C3657"/>
    <w:rsid w:val="000C4E14"/>
    <w:rsid w:val="000C4EA3"/>
    <w:rsid w:val="000D0A2A"/>
    <w:rsid w:val="000D3BF2"/>
    <w:rsid w:val="000D5658"/>
    <w:rsid w:val="000D79FA"/>
    <w:rsid w:val="000D7B3B"/>
    <w:rsid w:val="000D7B5E"/>
    <w:rsid w:val="000D7CA2"/>
    <w:rsid w:val="000E3E6A"/>
    <w:rsid w:val="000F3202"/>
    <w:rsid w:val="000F42AA"/>
    <w:rsid w:val="000F4A0C"/>
    <w:rsid w:val="000F72DC"/>
    <w:rsid w:val="000F76DC"/>
    <w:rsid w:val="001024AA"/>
    <w:rsid w:val="00105580"/>
    <w:rsid w:val="00105A01"/>
    <w:rsid w:val="00105B72"/>
    <w:rsid w:val="00112FC3"/>
    <w:rsid w:val="00115E23"/>
    <w:rsid w:val="0011622A"/>
    <w:rsid w:val="001162B4"/>
    <w:rsid w:val="001179C3"/>
    <w:rsid w:val="0012110A"/>
    <w:rsid w:val="001225E1"/>
    <w:rsid w:val="001237C6"/>
    <w:rsid w:val="00132BEA"/>
    <w:rsid w:val="0013302F"/>
    <w:rsid w:val="00134BED"/>
    <w:rsid w:val="00142CC6"/>
    <w:rsid w:val="00146746"/>
    <w:rsid w:val="00147A2F"/>
    <w:rsid w:val="00147FBB"/>
    <w:rsid w:val="0015087F"/>
    <w:rsid w:val="00155D84"/>
    <w:rsid w:val="001601F3"/>
    <w:rsid w:val="001610E8"/>
    <w:rsid w:val="00161F21"/>
    <w:rsid w:val="00163562"/>
    <w:rsid w:val="00163B88"/>
    <w:rsid w:val="001670D1"/>
    <w:rsid w:val="0016792E"/>
    <w:rsid w:val="00167F0F"/>
    <w:rsid w:val="0017039A"/>
    <w:rsid w:val="0018049B"/>
    <w:rsid w:val="00181D9C"/>
    <w:rsid w:val="00182008"/>
    <w:rsid w:val="001821F5"/>
    <w:rsid w:val="001823C0"/>
    <w:rsid w:val="00182A79"/>
    <w:rsid w:val="00186475"/>
    <w:rsid w:val="001911CC"/>
    <w:rsid w:val="00191C7A"/>
    <w:rsid w:val="00192F2C"/>
    <w:rsid w:val="0019354E"/>
    <w:rsid w:val="00194696"/>
    <w:rsid w:val="001959EE"/>
    <w:rsid w:val="001A2B3B"/>
    <w:rsid w:val="001A361E"/>
    <w:rsid w:val="001A4C35"/>
    <w:rsid w:val="001B1235"/>
    <w:rsid w:val="001B4AD4"/>
    <w:rsid w:val="001B60F8"/>
    <w:rsid w:val="001B6718"/>
    <w:rsid w:val="001B6AEF"/>
    <w:rsid w:val="001B7077"/>
    <w:rsid w:val="001C1C44"/>
    <w:rsid w:val="001C4E30"/>
    <w:rsid w:val="001C618D"/>
    <w:rsid w:val="001C755D"/>
    <w:rsid w:val="001C7F1B"/>
    <w:rsid w:val="001D0C37"/>
    <w:rsid w:val="001D2056"/>
    <w:rsid w:val="001D4A2C"/>
    <w:rsid w:val="001D6A02"/>
    <w:rsid w:val="001E2485"/>
    <w:rsid w:val="001E705A"/>
    <w:rsid w:val="001F4519"/>
    <w:rsid w:val="001F6F56"/>
    <w:rsid w:val="002015A9"/>
    <w:rsid w:val="00201E3C"/>
    <w:rsid w:val="002022F8"/>
    <w:rsid w:val="00202B07"/>
    <w:rsid w:val="002039B7"/>
    <w:rsid w:val="00212CCA"/>
    <w:rsid w:val="002169C1"/>
    <w:rsid w:val="00222552"/>
    <w:rsid w:val="00223876"/>
    <w:rsid w:val="00225608"/>
    <w:rsid w:val="0022590F"/>
    <w:rsid w:val="00227475"/>
    <w:rsid w:val="00227E64"/>
    <w:rsid w:val="00231262"/>
    <w:rsid w:val="0023255E"/>
    <w:rsid w:val="00235251"/>
    <w:rsid w:val="00236D34"/>
    <w:rsid w:val="002372A6"/>
    <w:rsid w:val="00240214"/>
    <w:rsid w:val="0024180D"/>
    <w:rsid w:val="0024264D"/>
    <w:rsid w:val="0024534F"/>
    <w:rsid w:val="002460C4"/>
    <w:rsid w:val="00250298"/>
    <w:rsid w:val="00251810"/>
    <w:rsid w:val="00251962"/>
    <w:rsid w:val="0025497D"/>
    <w:rsid w:val="00257555"/>
    <w:rsid w:val="00262E69"/>
    <w:rsid w:val="0026376B"/>
    <w:rsid w:val="002667D0"/>
    <w:rsid w:val="00270A45"/>
    <w:rsid w:val="00270A92"/>
    <w:rsid w:val="00271512"/>
    <w:rsid w:val="0027403F"/>
    <w:rsid w:val="002740EB"/>
    <w:rsid w:val="002818C9"/>
    <w:rsid w:val="00282050"/>
    <w:rsid w:val="0028652B"/>
    <w:rsid w:val="0029096B"/>
    <w:rsid w:val="00293011"/>
    <w:rsid w:val="00295418"/>
    <w:rsid w:val="00297CB8"/>
    <w:rsid w:val="002A6EAE"/>
    <w:rsid w:val="002B191D"/>
    <w:rsid w:val="002B2693"/>
    <w:rsid w:val="002B34CA"/>
    <w:rsid w:val="002B482D"/>
    <w:rsid w:val="002B6FEE"/>
    <w:rsid w:val="002C0739"/>
    <w:rsid w:val="002C1FD6"/>
    <w:rsid w:val="002C4FE6"/>
    <w:rsid w:val="002C5F65"/>
    <w:rsid w:val="002C610A"/>
    <w:rsid w:val="002C6D97"/>
    <w:rsid w:val="002D1665"/>
    <w:rsid w:val="002D2BE5"/>
    <w:rsid w:val="002D3BCD"/>
    <w:rsid w:val="002D5E85"/>
    <w:rsid w:val="002D69F7"/>
    <w:rsid w:val="002E2E72"/>
    <w:rsid w:val="002E2E97"/>
    <w:rsid w:val="002E4CA7"/>
    <w:rsid w:val="002E7ADF"/>
    <w:rsid w:val="002F0495"/>
    <w:rsid w:val="002F071D"/>
    <w:rsid w:val="002F5480"/>
    <w:rsid w:val="002F6F20"/>
    <w:rsid w:val="00301A3A"/>
    <w:rsid w:val="0031275C"/>
    <w:rsid w:val="0031300A"/>
    <w:rsid w:val="0031305F"/>
    <w:rsid w:val="00314366"/>
    <w:rsid w:val="00316FA5"/>
    <w:rsid w:val="00317E1B"/>
    <w:rsid w:val="0032301A"/>
    <w:rsid w:val="0032490A"/>
    <w:rsid w:val="00330509"/>
    <w:rsid w:val="003356CC"/>
    <w:rsid w:val="00336226"/>
    <w:rsid w:val="00337023"/>
    <w:rsid w:val="0033758F"/>
    <w:rsid w:val="003500C4"/>
    <w:rsid w:val="00353770"/>
    <w:rsid w:val="00354334"/>
    <w:rsid w:val="00354C77"/>
    <w:rsid w:val="003550DA"/>
    <w:rsid w:val="00361548"/>
    <w:rsid w:val="00362EA4"/>
    <w:rsid w:val="0036500E"/>
    <w:rsid w:val="003728CC"/>
    <w:rsid w:val="00372C3B"/>
    <w:rsid w:val="00373749"/>
    <w:rsid w:val="003769CA"/>
    <w:rsid w:val="003819F7"/>
    <w:rsid w:val="003830BB"/>
    <w:rsid w:val="003833BA"/>
    <w:rsid w:val="00392F46"/>
    <w:rsid w:val="00397214"/>
    <w:rsid w:val="003A1848"/>
    <w:rsid w:val="003A1A5F"/>
    <w:rsid w:val="003A3F44"/>
    <w:rsid w:val="003B24A2"/>
    <w:rsid w:val="003B2956"/>
    <w:rsid w:val="003B4DE9"/>
    <w:rsid w:val="003B4F79"/>
    <w:rsid w:val="003B5089"/>
    <w:rsid w:val="003B53B0"/>
    <w:rsid w:val="003B6C94"/>
    <w:rsid w:val="003C003E"/>
    <w:rsid w:val="003D78F4"/>
    <w:rsid w:val="003D7991"/>
    <w:rsid w:val="003E02D5"/>
    <w:rsid w:val="003E1214"/>
    <w:rsid w:val="003E5AF0"/>
    <w:rsid w:val="003E7B8D"/>
    <w:rsid w:val="003F0515"/>
    <w:rsid w:val="003F75AD"/>
    <w:rsid w:val="00411CDA"/>
    <w:rsid w:val="00415A2C"/>
    <w:rsid w:val="00421F71"/>
    <w:rsid w:val="00425FC5"/>
    <w:rsid w:val="00426537"/>
    <w:rsid w:val="0042691A"/>
    <w:rsid w:val="00430A53"/>
    <w:rsid w:val="00432105"/>
    <w:rsid w:val="00435AA9"/>
    <w:rsid w:val="00435D95"/>
    <w:rsid w:val="00443887"/>
    <w:rsid w:val="00452841"/>
    <w:rsid w:val="004533C9"/>
    <w:rsid w:val="0045519A"/>
    <w:rsid w:val="00462ECC"/>
    <w:rsid w:val="004659D4"/>
    <w:rsid w:val="00465D52"/>
    <w:rsid w:val="004668D3"/>
    <w:rsid w:val="00471F1B"/>
    <w:rsid w:val="00472253"/>
    <w:rsid w:val="00472D7B"/>
    <w:rsid w:val="00474BC7"/>
    <w:rsid w:val="00476930"/>
    <w:rsid w:val="0048110A"/>
    <w:rsid w:val="00482307"/>
    <w:rsid w:val="00483AEF"/>
    <w:rsid w:val="004859F7"/>
    <w:rsid w:val="004867BB"/>
    <w:rsid w:val="00486B83"/>
    <w:rsid w:val="00491D6C"/>
    <w:rsid w:val="00494A62"/>
    <w:rsid w:val="00496E16"/>
    <w:rsid w:val="004A1420"/>
    <w:rsid w:val="004A2E48"/>
    <w:rsid w:val="004B217F"/>
    <w:rsid w:val="004B2F59"/>
    <w:rsid w:val="004B2FEA"/>
    <w:rsid w:val="004B463F"/>
    <w:rsid w:val="004C0EEC"/>
    <w:rsid w:val="004C3A38"/>
    <w:rsid w:val="004C5342"/>
    <w:rsid w:val="004C5915"/>
    <w:rsid w:val="004C7340"/>
    <w:rsid w:val="004D22AB"/>
    <w:rsid w:val="004D2D7E"/>
    <w:rsid w:val="004D5EE6"/>
    <w:rsid w:val="004D5F53"/>
    <w:rsid w:val="004D63F9"/>
    <w:rsid w:val="004D6E73"/>
    <w:rsid w:val="004D7E62"/>
    <w:rsid w:val="004E0AB5"/>
    <w:rsid w:val="004E45AF"/>
    <w:rsid w:val="004E512E"/>
    <w:rsid w:val="004E65E4"/>
    <w:rsid w:val="004E6CCE"/>
    <w:rsid w:val="004F0D84"/>
    <w:rsid w:val="004F2EF8"/>
    <w:rsid w:val="004F3465"/>
    <w:rsid w:val="004F3F6D"/>
    <w:rsid w:val="004F5DD2"/>
    <w:rsid w:val="004F61AB"/>
    <w:rsid w:val="004F6264"/>
    <w:rsid w:val="004F77BB"/>
    <w:rsid w:val="005003A4"/>
    <w:rsid w:val="00500B45"/>
    <w:rsid w:val="00501171"/>
    <w:rsid w:val="005022B1"/>
    <w:rsid w:val="00503F53"/>
    <w:rsid w:val="00506377"/>
    <w:rsid w:val="005069F8"/>
    <w:rsid w:val="00510C3C"/>
    <w:rsid w:val="00517792"/>
    <w:rsid w:val="00525450"/>
    <w:rsid w:val="00526976"/>
    <w:rsid w:val="00527241"/>
    <w:rsid w:val="0052771F"/>
    <w:rsid w:val="0052782B"/>
    <w:rsid w:val="00527877"/>
    <w:rsid w:val="00530620"/>
    <w:rsid w:val="005316A2"/>
    <w:rsid w:val="00540544"/>
    <w:rsid w:val="00541185"/>
    <w:rsid w:val="005422AF"/>
    <w:rsid w:val="00543595"/>
    <w:rsid w:val="00547152"/>
    <w:rsid w:val="00547328"/>
    <w:rsid w:val="005479C1"/>
    <w:rsid w:val="005510FF"/>
    <w:rsid w:val="00554029"/>
    <w:rsid w:val="00555093"/>
    <w:rsid w:val="005630B1"/>
    <w:rsid w:val="005635C2"/>
    <w:rsid w:val="00563F88"/>
    <w:rsid w:val="005648CD"/>
    <w:rsid w:val="00564B4D"/>
    <w:rsid w:val="0056563E"/>
    <w:rsid w:val="00565C98"/>
    <w:rsid w:val="00566247"/>
    <w:rsid w:val="00566873"/>
    <w:rsid w:val="00566AD8"/>
    <w:rsid w:val="00567D8D"/>
    <w:rsid w:val="00571B35"/>
    <w:rsid w:val="00575217"/>
    <w:rsid w:val="00575B3D"/>
    <w:rsid w:val="00576A5A"/>
    <w:rsid w:val="00582450"/>
    <w:rsid w:val="00582E95"/>
    <w:rsid w:val="005848D6"/>
    <w:rsid w:val="00586CDC"/>
    <w:rsid w:val="00591DD6"/>
    <w:rsid w:val="00592F58"/>
    <w:rsid w:val="005931A5"/>
    <w:rsid w:val="00594981"/>
    <w:rsid w:val="00594B07"/>
    <w:rsid w:val="0059631E"/>
    <w:rsid w:val="005A1BA8"/>
    <w:rsid w:val="005B04A3"/>
    <w:rsid w:val="005B059C"/>
    <w:rsid w:val="005B3FEF"/>
    <w:rsid w:val="005B41D2"/>
    <w:rsid w:val="005B7504"/>
    <w:rsid w:val="005C0BE4"/>
    <w:rsid w:val="005C6B11"/>
    <w:rsid w:val="005C6BE7"/>
    <w:rsid w:val="005C72D4"/>
    <w:rsid w:val="005C7428"/>
    <w:rsid w:val="005C79AD"/>
    <w:rsid w:val="005D21EC"/>
    <w:rsid w:val="005D35A9"/>
    <w:rsid w:val="005D3A57"/>
    <w:rsid w:val="005D6AB3"/>
    <w:rsid w:val="005E0992"/>
    <w:rsid w:val="005E3D27"/>
    <w:rsid w:val="005E3FF9"/>
    <w:rsid w:val="005E5CA8"/>
    <w:rsid w:val="005E65FE"/>
    <w:rsid w:val="005E77D4"/>
    <w:rsid w:val="005F1544"/>
    <w:rsid w:val="005F3676"/>
    <w:rsid w:val="005F678D"/>
    <w:rsid w:val="00600451"/>
    <w:rsid w:val="00600D04"/>
    <w:rsid w:val="00602F51"/>
    <w:rsid w:val="00606222"/>
    <w:rsid w:val="006078A8"/>
    <w:rsid w:val="006103E7"/>
    <w:rsid w:val="00615664"/>
    <w:rsid w:val="006169E0"/>
    <w:rsid w:val="0061747B"/>
    <w:rsid w:val="00620871"/>
    <w:rsid w:val="00620F73"/>
    <w:rsid w:val="006233E2"/>
    <w:rsid w:val="006263DA"/>
    <w:rsid w:val="00627C89"/>
    <w:rsid w:val="0063751C"/>
    <w:rsid w:val="00640704"/>
    <w:rsid w:val="006409D1"/>
    <w:rsid w:val="00641204"/>
    <w:rsid w:val="0065092D"/>
    <w:rsid w:val="0065381A"/>
    <w:rsid w:val="0065492B"/>
    <w:rsid w:val="00654F44"/>
    <w:rsid w:val="0066074B"/>
    <w:rsid w:val="0066161D"/>
    <w:rsid w:val="0066414E"/>
    <w:rsid w:val="00667CD4"/>
    <w:rsid w:val="00673FBE"/>
    <w:rsid w:val="0067539E"/>
    <w:rsid w:val="006757C7"/>
    <w:rsid w:val="00676671"/>
    <w:rsid w:val="006769CF"/>
    <w:rsid w:val="00677E92"/>
    <w:rsid w:val="00682A16"/>
    <w:rsid w:val="00684B27"/>
    <w:rsid w:val="00686AC2"/>
    <w:rsid w:val="00690A80"/>
    <w:rsid w:val="0069274F"/>
    <w:rsid w:val="00692793"/>
    <w:rsid w:val="006A5AA7"/>
    <w:rsid w:val="006B075A"/>
    <w:rsid w:val="006B0A05"/>
    <w:rsid w:val="006B0A10"/>
    <w:rsid w:val="006B6A90"/>
    <w:rsid w:val="006C2A55"/>
    <w:rsid w:val="006C7817"/>
    <w:rsid w:val="006D196E"/>
    <w:rsid w:val="006D335A"/>
    <w:rsid w:val="006D5224"/>
    <w:rsid w:val="006D6109"/>
    <w:rsid w:val="006E0432"/>
    <w:rsid w:val="006E25DF"/>
    <w:rsid w:val="006E292D"/>
    <w:rsid w:val="006E46C8"/>
    <w:rsid w:val="006E494D"/>
    <w:rsid w:val="006E57FA"/>
    <w:rsid w:val="006E634F"/>
    <w:rsid w:val="006F0889"/>
    <w:rsid w:val="006F107F"/>
    <w:rsid w:val="006F41A3"/>
    <w:rsid w:val="006F596F"/>
    <w:rsid w:val="006F7798"/>
    <w:rsid w:val="006F7A83"/>
    <w:rsid w:val="007026F6"/>
    <w:rsid w:val="00704587"/>
    <w:rsid w:val="00705515"/>
    <w:rsid w:val="00707B57"/>
    <w:rsid w:val="007134C8"/>
    <w:rsid w:val="00713FD1"/>
    <w:rsid w:val="00723B53"/>
    <w:rsid w:val="007262BE"/>
    <w:rsid w:val="00730216"/>
    <w:rsid w:val="0073241F"/>
    <w:rsid w:val="00732F17"/>
    <w:rsid w:val="00733D64"/>
    <w:rsid w:val="00735A90"/>
    <w:rsid w:val="007361F3"/>
    <w:rsid w:val="007364D5"/>
    <w:rsid w:val="00741B9A"/>
    <w:rsid w:val="00744961"/>
    <w:rsid w:val="00751029"/>
    <w:rsid w:val="00755AD4"/>
    <w:rsid w:val="0075656E"/>
    <w:rsid w:val="00757741"/>
    <w:rsid w:val="00764D45"/>
    <w:rsid w:val="00764F61"/>
    <w:rsid w:val="007658B5"/>
    <w:rsid w:val="00766A60"/>
    <w:rsid w:val="0077184A"/>
    <w:rsid w:val="00772EC4"/>
    <w:rsid w:val="00773657"/>
    <w:rsid w:val="007773E5"/>
    <w:rsid w:val="00780548"/>
    <w:rsid w:val="00783770"/>
    <w:rsid w:val="007850C6"/>
    <w:rsid w:val="00787711"/>
    <w:rsid w:val="007A3B42"/>
    <w:rsid w:val="007A3EB5"/>
    <w:rsid w:val="007A41D7"/>
    <w:rsid w:val="007A574C"/>
    <w:rsid w:val="007B62E8"/>
    <w:rsid w:val="007C0899"/>
    <w:rsid w:val="007C2648"/>
    <w:rsid w:val="007C37E5"/>
    <w:rsid w:val="007D1F89"/>
    <w:rsid w:val="007D236C"/>
    <w:rsid w:val="007D579D"/>
    <w:rsid w:val="007D695B"/>
    <w:rsid w:val="007E45B9"/>
    <w:rsid w:val="007E7226"/>
    <w:rsid w:val="007F4202"/>
    <w:rsid w:val="007F4BDB"/>
    <w:rsid w:val="007F727D"/>
    <w:rsid w:val="0080037E"/>
    <w:rsid w:val="00802A65"/>
    <w:rsid w:val="0080365F"/>
    <w:rsid w:val="008067F0"/>
    <w:rsid w:val="00810E1C"/>
    <w:rsid w:val="00814AF4"/>
    <w:rsid w:val="008213AE"/>
    <w:rsid w:val="0082314C"/>
    <w:rsid w:val="00826AA8"/>
    <w:rsid w:val="00837E20"/>
    <w:rsid w:val="008405D2"/>
    <w:rsid w:val="008412A0"/>
    <w:rsid w:val="00846950"/>
    <w:rsid w:val="00846F5B"/>
    <w:rsid w:val="00847B01"/>
    <w:rsid w:val="00850E28"/>
    <w:rsid w:val="00851189"/>
    <w:rsid w:val="008568CE"/>
    <w:rsid w:val="008577D3"/>
    <w:rsid w:val="00860147"/>
    <w:rsid w:val="00860DDA"/>
    <w:rsid w:val="00862A42"/>
    <w:rsid w:val="00865251"/>
    <w:rsid w:val="0086535D"/>
    <w:rsid w:val="008659DA"/>
    <w:rsid w:val="00866D22"/>
    <w:rsid w:val="0087271B"/>
    <w:rsid w:val="008751A7"/>
    <w:rsid w:val="008752D3"/>
    <w:rsid w:val="008758FA"/>
    <w:rsid w:val="008800FC"/>
    <w:rsid w:val="00880A38"/>
    <w:rsid w:val="0088212E"/>
    <w:rsid w:val="0088651B"/>
    <w:rsid w:val="0088651E"/>
    <w:rsid w:val="00886B06"/>
    <w:rsid w:val="008931D2"/>
    <w:rsid w:val="00893F2F"/>
    <w:rsid w:val="008A10DB"/>
    <w:rsid w:val="008A322B"/>
    <w:rsid w:val="008A367B"/>
    <w:rsid w:val="008A5227"/>
    <w:rsid w:val="008A6F38"/>
    <w:rsid w:val="008B4880"/>
    <w:rsid w:val="008B72F6"/>
    <w:rsid w:val="008C32ED"/>
    <w:rsid w:val="008C3477"/>
    <w:rsid w:val="008C67C9"/>
    <w:rsid w:val="008C6859"/>
    <w:rsid w:val="008D0C57"/>
    <w:rsid w:val="008D12A9"/>
    <w:rsid w:val="008D779A"/>
    <w:rsid w:val="008D78D2"/>
    <w:rsid w:val="008E1112"/>
    <w:rsid w:val="008E4473"/>
    <w:rsid w:val="008E44DE"/>
    <w:rsid w:val="008E6BFC"/>
    <w:rsid w:val="008E77E0"/>
    <w:rsid w:val="008F0C87"/>
    <w:rsid w:val="008F2101"/>
    <w:rsid w:val="008F2134"/>
    <w:rsid w:val="008F21B7"/>
    <w:rsid w:val="008F24FD"/>
    <w:rsid w:val="008F66CD"/>
    <w:rsid w:val="008F689E"/>
    <w:rsid w:val="0090317D"/>
    <w:rsid w:val="00903370"/>
    <w:rsid w:val="0090437C"/>
    <w:rsid w:val="009045A4"/>
    <w:rsid w:val="00904D15"/>
    <w:rsid w:val="00904FC7"/>
    <w:rsid w:val="00911CD2"/>
    <w:rsid w:val="00913C0B"/>
    <w:rsid w:val="00915A7F"/>
    <w:rsid w:val="00916379"/>
    <w:rsid w:val="00916FC8"/>
    <w:rsid w:val="00921A3A"/>
    <w:rsid w:val="009360E3"/>
    <w:rsid w:val="00943C02"/>
    <w:rsid w:val="00947679"/>
    <w:rsid w:val="00951A52"/>
    <w:rsid w:val="00952D2D"/>
    <w:rsid w:val="00954847"/>
    <w:rsid w:val="00960C32"/>
    <w:rsid w:val="00961972"/>
    <w:rsid w:val="0096276C"/>
    <w:rsid w:val="00963635"/>
    <w:rsid w:val="00966843"/>
    <w:rsid w:val="00967125"/>
    <w:rsid w:val="009675B0"/>
    <w:rsid w:val="009715FA"/>
    <w:rsid w:val="00980F21"/>
    <w:rsid w:val="00981659"/>
    <w:rsid w:val="0098544B"/>
    <w:rsid w:val="00987353"/>
    <w:rsid w:val="00990ECD"/>
    <w:rsid w:val="009923EC"/>
    <w:rsid w:val="009A0866"/>
    <w:rsid w:val="009B0546"/>
    <w:rsid w:val="009B4554"/>
    <w:rsid w:val="009B4F93"/>
    <w:rsid w:val="009B7E0A"/>
    <w:rsid w:val="009C265B"/>
    <w:rsid w:val="009C277E"/>
    <w:rsid w:val="009C536C"/>
    <w:rsid w:val="009C68CD"/>
    <w:rsid w:val="009D4FBD"/>
    <w:rsid w:val="009D7FBF"/>
    <w:rsid w:val="009E4AF3"/>
    <w:rsid w:val="009E59C3"/>
    <w:rsid w:val="009F2494"/>
    <w:rsid w:val="009F2AEE"/>
    <w:rsid w:val="009F2D5D"/>
    <w:rsid w:val="009F2F91"/>
    <w:rsid w:val="00A033C1"/>
    <w:rsid w:val="00A0449A"/>
    <w:rsid w:val="00A04A7F"/>
    <w:rsid w:val="00A052A2"/>
    <w:rsid w:val="00A052F5"/>
    <w:rsid w:val="00A0601E"/>
    <w:rsid w:val="00A070E3"/>
    <w:rsid w:val="00A12A42"/>
    <w:rsid w:val="00A14639"/>
    <w:rsid w:val="00A14731"/>
    <w:rsid w:val="00A14A40"/>
    <w:rsid w:val="00A15715"/>
    <w:rsid w:val="00A15E41"/>
    <w:rsid w:val="00A16D07"/>
    <w:rsid w:val="00A17A58"/>
    <w:rsid w:val="00A2105C"/>
    <w:rsid w:val="00A32D55"/>
    <w:rsid w:val="00A34F4A"/>
    <w:rsid w:val="00A356DC"/>
    <w:rsid w:val="00A35A2B"/>
    <w:rsid w:val="00A37315"/>
    <w:rsid w:val="00A405F9"/>
    <w:rsid w:val="00A406C0"/>
    <w:rsid w:val="00A41098"/>
    <w:rsid w:val="00A4312A"/>
    <w:rsid w:val="00A44261"/>
    <w:rsid w:val="00A44BAF"/>
    <w:rsid w:val="00A450BD"/>
    <w:rsid w:val="00A46B74"/>
    <w:rsid w:val="00A476CB"/>
    <w:rsid w:val="00A52DF3"/>
    <w:rsid w:val="00A6069E"/>
    <w:rsid w:val="00A62750"/>
    <w:rsid w:val="00A62C56"/>
    <w:rsid w:val="00A669A3"/>
    <w:rsid w:val="00A71AB0"/>
    <w:rsid w:val="00A7374A"/>
    <w:rsid w:val="00A74681"/>
    <w:rsid w:val="00A74CAC"/>
    <w:rsid w:val="00A765B4"/>
    <w:rsid w:val="00A77DB6"/>
    <w:rsid w:val="00A8363D"/>
    <w:rsid w:val="00A912A4"/>
    <w:rsid w:val="00A94256"/>
    <w:rsid w:val="00AA09ED"/>
    <w:rsid w:val="00AA0D0C"/>
    <w:rsid w:val="00AA1933"/>
    <w:rsid w:val="00AA5617"/>
    <w:rsid w:val="00AA60D3"/>
    <w:rsid w:val="00AB1748"/>
    <w:rsid w:val="00AB52D1"/>
    <w:rsid w:val="00AB6CAA"/>
    <w:rsid w:val="00AB7A8C"/>
    <w:rsid w:val="00AC04EC"/>
    <w:rsid w:val="00AC077B"/>
    <w:rsid w:val="00AC57D9"/>
    <w:rsid w:val="00AC5A7F"/>
    <w:rsid w:val="00AC5E63"/>
    <w:rsid w:val="00AC670D"/>
    <w:rsid w:val="00AD0CB4"/>
    <w:rsid w:val="00AD0E4C"/>
    <w:rsid w:val="00AD7EE5"/>
    <w:rsid w:val="00AE4A28"/>
    <w:rsid w:val="00AE59C2"/>
    <w:rsid w:val="00AE5DB1"/>
    <w:rsid w:val="00AE66C4"/>
    <w:rsid w:val="00AF06CC"/>
    <w:rsid w:val="00AF1A43"/>
    <w:rsid w:val="00AF2034"/>
    <w:rsid w:val="00AF46C5"/>
    <w:rsid w:val="00AF676C"/>
    <w:rsid w:val="00AF6AE1"/>
    <w:rsid w:val="00AF765B"/>
    <w:rsid w:val="00B00A2B"/>
    <w:rsid w:val="00B032AE"/>
    <w:rsid w:val="00B06EFA"/>
    <w:rsid w:val="00B1627F"/>
    <w:rsid w:val="00B16D5A"/>
    <w:rsid w:val="00B17A11"/>
    <w:rsid w:val="00B23433"/>
    <w:rsid w:val="00B23F30"/>
    <w:rsid w:val="00B279CA"/>
    <w:rsid w:val="00B30FDF"/>
    <w:rsid w:val="00B313CB"/>
    <w:rsid w:val="00B346FE"/>
    <w:rsid w:val="00B40790"/>
    <w:rsid w:val="00B4480D"/>
    <w:rsid w:val="00B45AC4"/>
    <w:rsid w:val="00B50A22"/>
    <w:rsid w:val="00B515EF"/>
    <w:rsid w:val="00B53506"/>
    <w:rsid w:val="00B53FD9"/>
    <w:rsid w:val="00B54DBF"/>
    <w:rsid w:val="00B5660B"/>
    <w:rsid w:val="00B60FAC"/>
    <w:rsid w:val="00B61AEE"/>
    <w:rsid w:val="00B61E15"/>
    <w:rsid w:val="00B656ED"/>
    <w:rsid w:val="00B7051A"/>
    <w:rsid w:val="00B70633"/>
    <w:rsid w:val="00B72D59"/>
    <w:rsid w:val="00B7326E"/>
    <w:rsid w:val="00B74179"/>
    <w:rsid w:val="00B75086"/>
    <w:rsid w:val="00B84F11"/>
    <w:rsid w:val="00B852EC"/>
    <w:rsid w:val="00B86D4A"/>
    <w:rsid w:val="00B91136"/>
    <w:rsid w:val="00B92275"/>
    <w:rsid w:val="00B96B7E"/>
    <w:rsid w:val="00B96C68"/>
    <w:rsid w:val="00B97F35"/>
    <w:rsid w:val="00BA0D84"/>
    <w:rsid w:val="00BA3153"/>
    <w:rsid w:val="00BA4CBD"/>
    <w:rsid w:val="00BA6332"/>
    <w:rsid w:val="00BA6F53"/>
    <w:rsid w:val="00BA78D3"/>
    <w:rsid w:val="00BB1708"/>
    <w:rsid w:val="00BB1DCE"/>
    <w:rsid w:val="00BB27F0"/>
    <w:rsid w:val="00BB713B"/>
    <w:rsid w:val="00BB77DA"/>
    <w:rsid w:val="00BC0B85"/>
    <w:rsid w:val="00BC30BC"/>
    <w:rsid w:val="00BC3297"/>
    <w:rsid w:val="00BC66E6"/>
    <w:rsid w:val="00BC6DD0"/>
    <w:rsid w:val="00BD09FC"/>
    <w:rsid w:val="00BD3FB7"/>
    <w:rsid w:val="00BD46D4"/>
    <w:rsid w:val="00BD7088"/>
    <w:rsid w:val="00BD739B"/>
    <w:rsid w:val="00BD7BAF"/>
    <w:rsid w:val="00BE39EA"/>
    <w:rsid w:val="00BE4CA4"/>
    <w:rsid w:val="00BE5E0E"/>
    <w:rsid w:val="00BE691F"/>
    <w:rsid w:val="00BF0138"/>
    <w:rsid w:val="00BF0E82"/>
    <w:rsid w:val="00BF146D"/>
    <w:rsid w:val="00BF303A"/>
    <w:rsid w:val="00BF79F6"/>
    <w:rsid w:val="00C0028F"/>
    <w:rsid w:val="00C00CE9"/>
    <w:rsid w:val="00C030A5"/>
    <w:rsid w:val="00C033BA"/>
    <w:rsid w:val="00C142D6"/>
    <w:rsid w:val="00C22160"/>
    <w:rsid w:val="00C23D90"/>
    <w:rsid w:val="00C2461B"/>
    <w:rsid w:val="00C31CFA"/>
    <w:rsid w:val="00C3200C"/>
    <w:rsid w:val="00C34DAE"/>
    <w:rsid w:val="00C34FF0"/>
    <w:rsid w:val="00C400B5"/>
    <w:rsid w:val="00C4706F"/>
    <w:rsid w:val="00C51147"/>
    <w:rsid w:val="00C52FA6"/>
    <w:rsid w:val="00C53D0C"/>
    <w:rsid w:val="00C6115B"/>
    <w:rsid w:val="00C710B1"/>
    <w:rsid w:val="00C731AC"/>
    <w:rsid w:val="00C73ADD"/>
    <w:rsid w:val="00C73DA3"/>
    <w:rsid w:val="00C73DF8"/>
    <w:rsid w:val="00C74EF3"/>
    <w:rsid w:val="00C75248"/>
    <w:rsid w:val="00C81E42"/>
    <w:rsid w:val="00C825BB"/>
    <w:rsid w:val="00C830AC"/>
    <w:rsid w:val="00C861A3"/>
    <w:rsid w:val="00C8656B"/>
    <w:rsid w:val="00C86607"/>
    <w:rsid w:val="00C910FF"/>
    <w:rsid w:val="00C917BF"/>
    <w:rsid w:val="00C922E0"/>
    <w:rsid w:val="00C92D09"/>
    <w:rsid w:val="00C967AD"/>
    <w:rsid w:val="00CA063B"/>
    <w:rsid w:val="00CA07F0"/>
    <w:rsid w:val="00CA1307"/>
    <w:rsid w:val="00CA4A1C"/>
    <w:rsid w:val="00CA5415"/>
    <w:rsid w:val="00CA6067"/>
    <w:rsid w:val="00CA64C3"/>
    <w:rsid w:val="00CA70B2"/>
    <w:rsid w:val="00CA7839"/>
    <w:rsid w:val="00CB21B9"/>
    <w:rsid w:val="00CB3EE3"/>
    <w:rsid w:val="00CB40EC"/>
    <w:rsid w:val="00CB46F0"/>
    <w:rsid w:val="00CB4CA2"/>
    <w:rsid w:val="00CB5939"/>
    <w:rsid w:val="00CB6EEE"/>
    <w:rsid w:val="00CC5FA5"/>
    <w:rsid w:val="00CC7BD6"/>
    <w:rsid w:val="00CC7CCC"/>
    <w:rsid w:val="00CD064E"/>
    <w:rsid w:val="00CD534E"/>
    <w:rsid w:val="00CE14D3"/>
    <w:rsid w:val="00CE2804"/>
    <w:rsid w:val="00CE49FF"/>
    <w:rsid w:val="00CE6C19"/>
    <w:rsid w:val="00CE6CE8"/>
    <w:rsid w:val="00CE7A46"/>
    <w:rsid w:val="00CF0744"/>
    <w:rsid w:val="00CF13E3"/>
    <w:rsid w:val="00CF1605"/>
    <w:rsid w:val="00D04CC5"/>
    <w:rsid w:val="00D04E02"/>
    <w:rsid w:val="00D063D8"/>
    <w:rsid w:val="00D13115"/>
    <w:rsid w:val="00D13675"/>
    <w:rsid w:val="00D17559"/>
    <w:rsid w:val="00D241BC"/>
    <w:rsid w:val="00D27C82"/>
    <w:rsid w:val="00D309FA"/>
    <w:rsid w:val="00D32F02"/>
    <w:rsid w:val="00D33F5D"/>
    <w:rsid w:val="00D35886"/>
    <w:rsid w:val="00D3697C"/>
    <w:rsid w:val="00D42D2C"/>
    <w:rsid w:val="00D44214"/>
    <w:rsid w:val="00D4632A"/>
    <w:rsid w:val="00D474C5"/>
    <w:rsid w:val="00D47B7E"/>
    <w:rsid w:val="00D54D16"/>
    <w:rsid w:val="00D63E9E"/>
    <w:rsid w:val="00D6419A"/>
    <w:rsid w:val="00D73EB8"/>
    <w:rsid w:val="00D80636"/>
    <w:rsid w:val="00D81AAC"/>
    <w:rsid w:val="00D846C2"/>
    <w:rsid w:val="00D85AE3"/>
    <w:rsid w:val="00D9317F"/>
    <w:rsid w:val="00D93FEA"/>
    <w:rsid w:val="00D94C7C"/>
    <w:rsid w:val="00DA04C3"/>
    <w:rsid w:val="00DA115C"/>
    <w:rsid w:val="00DA2FC7"/>
    <w:rsid w:val="00DA338F"/>
    <w:rsid w:val="00DA4583"/>
    <w:rsid w:val="00DA481B"/>
    <w:rsid w:val="00DB0C42"/>
    <w:rsid w:val="00DB1219"/>
    <w:rsid w:val="00DB51C0"/>
    <w:rsid w:val="00DB5224"/>
    <w:rsid w:val="00DB52D6"/>
    <w:rsid w:val="00DB63D8"/>
    <w:rsid w:val="00DC15DC"/>
    <w:rsid w:val="00DC69F6"/>
    <w:rsid w:val="00DD0F8A"/>
    <w:rsid w:val="00DD1486"/>
    <w:rsid w:val="00DD4BE3"/>
    <w:rsid w:val="00DD6ACB"/>
    <w:rsid w:val="00DE1C94"/>
    <w:rsid w:val="00DF07C9"/>
    <w:rsid w:val="00DF1F85"/>
    <w:rsid w:val="00E0114B"/>
    <w:rsid w:val="00E02A9D"/>
    <w:rsid w:val="00E13AF6"/>
    <w:rsid w:val="00E1552A"/>
    <w:rsid w:val="00E17CE6"/>
    <w:rsid w:val="00E204AE"/>
    <w:rsid w:val="00E22722"/>
    <w:rsid w:val="00E22C1D"/>
    <w:rsid w:val="00E22D36"/>
    <w:rsid w:val="00E23139"/>
    <w:rsid w:val="00E24389"/>
    <w:rsid w:val="00E26AD2"/>
    <w:rsid w:val="00E26D4E"/>
    <w:rsid w:val="00E30A57"/>
    <w:rsid w:val="00E35AB0"/>
    <w:rsid w:val="00E3641B"/>
    <w:rsid w:val="00E37A2C"/>
    <w:rsid w:val="00E40562"/>
    <w:rsid w:val="00E40A9C"/>
    <w:rsid w:val="00E41BFD"/>
    <w:rsid w:val="00E45BE3"/>
    <w:rsid w:val="00E47C2A"/>
    <w:rsid w:val="00E547AF"/>
    <w:rsid w:val="00E6164C"/>
    <w:rsid w:val="00E6187F"/>
    <w:rsid w:val="00E630B8"/>
    <w:rsid w:val="00E638B5"/>
    <w:rsid w:val="00E671E9"/>
    <w:rsid w:val="00E70D40"/>
    <w:rsid w:val="00E7285D"/>
    <w:rsid w:val="00E7484E"/>
    <w:rsid w:val="00E76A96"/>
    <w:rsid w:val="00E9459A"/>
    <w:rsid w:val="00E955E2"/>
    <w:rsid w:val="00E9629B"/>
    <w:rsid w:val="00E96BF3"/>
    <w:rsid w:val="00E97B32"/>
    <w:rsid w:val="00E97F92"/>
    <w:rsid w:val="00E97FF2"/>
    <w:rsid w:val="00EA080D"/>
    <w:rsid w:val="00EA18E9"/>
    <w:rsid w:val="00EA221D"/>
    <w:rsid w:val="00EB11EB"/>
    <w:rsid w:val="00EB1760"/>
    <w:rsid w:val="00EB2910"/>
    <w:rsid w:val="00EB3871"/>
    <w:rsid w:val="00EB41B6"/>
    <w:rsid w:val="00EB4400"/>
    <w:rsid w:val="00EC0D8B"/>
    <w:rsid w:val="00EC1FA9"/>
    <w:rsid w:val="00EC3106"/>
    <w:rsid w:val="00EC36B9"/>
    <w:rsid w:val="00EC56E8"/>
    <w:rsid w:val="00ED40FC"/>
    <w:rsid w:val="00ED5622"/>
    <w:rsid w:val="00ED6AFD"/>
    <w:rsid w:val="00EE243C"/>
    <w:rsid w:val="00EE2F51"/>
    <w:rsid w:val="00EE52A1"/>
    <w:rsid w:val="00EF2249"/>
    <w:rsid w:val="00EF4683"/>
    <w:rsid w:val="00EF6BF2"/>
    <w:rsid w:val="00F02C34"/>
    <w:rsid w:val="00F032DD"/>
    <w:rsid w:val="00F04732"/>
    <w:rsid w:val="00F11BD9"/>
    <w:rsid w:val="00F1406D"/>
    <w:rsid w:val="00F14E11"/>
    <w:rsid w:val="00F15A50"/>
    <w:rsid w:val="00F17B13"/>
    <w:rsid w:val="00F17B55"/>
    <w:rsid w:val="00F20495"/>
    <w:rsid w:val="00F208CC"/>
    <w:rsid w:val="00F21354"/>
    <w:rsid w:val="00F224FE"/>
    <w:rsid w:val="00F23040"/>
    <w:rsid w:val="00F2611F"/>
    <w:rsid w:val="00F36018"/>
    <w:rsid w:val="00F403D2"/>
    <w:rsid w:val="00F403FB"/>
    <w:rsid w:val="00F437EB"/>
    <w:rsid w:val="00F47D38"/>
    <w:rsid w:val="00F5132D"/>
    <w:rsid w:val="00F52475"/>
    <w:rsid w:val="00F52520"/>
    <w:rsid w:val="00F538E0"/>
    <w:rsid w:val="00F57D10"/>
    <w:rsid w:val="00F60902"/>
    <w:rsid w:val="00F609DA"/>
    <w:rsid w:val="00F61ABD"/>
    <w:rsid w:val="00F63950"/>
    <w:rsid w:val="00F65279"/>
    <w:rsid w:val="00F65A55"/>
    <w:rsid w:val="00F73802"/>
    <w:rsid w:val="00F73D29"/>
    <w:rsid w:val="00F865DB"/>
    <w:rsid w:val="00F9082E"/>
    <w:rsid w:val="00F92114"/>
    <w:rsid w:val="00F930EF"/>
    <w:rsid w:val="00F936F4"/>
    <w:rsid w:val="00F93C80"/>
    <w:rsid w:val="00F9429B"/>
    <w:rsid w:val="00F94C05"/>
    <w:rsid w:val="00FA33A3"/>
    <w:rsid w:val="00FA3A2B"/>
    <w:rsid w:val="00FA6834"/>
    <w:rsid w:val="00FA696F"/>
    <w:rsid w:val="00FB0D89"/>
    <w:rsid w:val="00FB1E32"/>
    <w:rsid w:val="00FB4CCC"/>
    <w:rsid w:val="00FB5238"/>
    <w:rsid w:val="00FB5DCB"/>
    <w:rsid w:val="00FB7FBC"/>
    <w:rsid w:val="00FC152D"/>
    <w:rsid w:val="00FC22BC"/>
    <w:rsid w:val="00FC3974"/>
    <w:rsid w:val="00FC5A31"/>
    <w:rsid w:val="00FC652F"/>
    <w:rsid w:val="00FC6A79"/>
    <w:rsid w:val="00FC6DC2"/>
    <w:rsid w:val="00FD1D93"/>
    <w:rsid w:val="00FD2BD2"/>
    <w:rsid w:val="00FE3027"/>
    <w:rsid w:val="00FE37B0"/>
    <w:rsid w:val="00FE556E"/>
    <w:rsid w:val="00FE5A41"/>
    <w:rsid w:val="00FE7CFC"/>
    <w:rsid w:val="00FF064D"/>
    <w:rsid w:val="00FF13D8"/>
    <w:rsid w:val="00FF2645"/>
    <w:rsid w:val="063C0D30"/>
    <w:rsid w:val="0BF75B5C"/>
    <w:rsid w:val="14BD0E42"/>
    <w:rsid w:val="14C28CCE"/>
    <w:rsid w:val="15FB1A02"/>
    <w:rsid w:val="1F7FFFDB"/>
    <w:rsid w:val="228D3BCD"/>
    <w:rsid w:val="24AF589E"/>
    <w:rsid w:val="26A3BB95"/>
    <w:rsid w:val="26F1B7A2"/>
    <w:rsid w:val="26FB73DA"/>
    <w:rsid w:val="2E0894E2"/>
    <w:rsid w:val="2E48274E"/>
    <w:rsid w:val="2F62D26C"/>
    <w:rsid w:val="2FBC64B1"/>
    <w:rsid w:val="32D30533"/>
    <w:rsid w:val="33409774"/>
    <w:rsid w:val="34DE4FF4"/>
    <w:rsid w:val="372A5511"/>
    <w:rsid w:val="3D675290"/>
    <w:rsid w:val="50358BF6"/>
    <w:rsid w:val="5227DBBC"/>
    <w:rsid w:val="65D51DBF"/>
    <w:rsid w:val="664CA6AA"/>
    <w:rsid w:val="686D8A67"/>
    <w:rsid w:val="68D46486"/>
    <w:rsid w:val="705E28A8"/>
    <w:rsid w:val="70C34D21"/>
    <w:rsid w:val="73C5D42A"/>
    <w:rsid w:val="75BEE992"/>
    <w:rsid w:val="7DF484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FFF65"/>
  <w15:chartTrackingRefBased/>
  <w15:docId w15:val="{4A48507A-8F4B-465E-8218-D88EFE03C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40EB"/>
    <w:pPr>
      <w:keepNext/>
      <w:keepLines/>
      <w:numPr>
        <w:numId w:val="17"/>
      </w:numPr>
      <w:spacing w:before="160" w:after="80"/>
      <w:outlineLvl w:val="1"/>
    </w:pPr>
    <w:rPr>
      <w:rFonts w:ascii="Times New Roman" w:eastAsiaTheme="majorEastAsia" w:hAnsi="Times New Roman" w:cs="Times New Roman"/>
      <w:color w:val="0F4761" w:themeColor="accent1" w:themeShade="BF"/>
      <w:sz w:val="32"/>
      <w:szCs w:val="32"/>
      <w:lang w:eastAsia="en-GB"/>
    </w:rPr>
  </w:style>
  <w:style w:type="paragraph" w:styleId="Heading3">
    <w:name w:val="heading 3"/>
    <w:basedOn w:val="Normal"/>
    <w:next w:val="Normal"/>
    <w:link w:val="Heading3Char"/>
    <w:uiPriority w:val="9"/>
    <w:unhideWhenUsed/>
    <w:qFormat/>
    <w:rsid w:val="009C26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26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6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6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6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6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6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6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40EB"/>
    <w:rPr>
      <w:rFonts w:ascii="Times New Roman" w:eastAsiaTheme="majorEastAsia" w:hAnsi="Times New Roman" w:cs="Times New Roman"/>
      <w:color w:val="0F4761" w:themeColor="accent1" w:themeShade="BF"/>
      <w:sz w:val="32"/>
      <w:szCs w:val="32"/>
      <w:lang w:eastAsia="en-GB"/>
    </w:rPr>
  </w:style>
  <w:style w:type="character" w:customStyle="1" w:styleId="Heading3Char">
    <w:name w:val="Heading 3 Char"/>
    <w:basedOn w:val="DefaultParagraphFont"/>
    <w:link w:val="Heading3"/>
    <w:uiPriority w:val="9"/>
    <w:rsid w:val="009C26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26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6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6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6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6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65B"/>
    <w:rPr>
      <w:rFonts w:eastAsiaTheme="majorEastAsia" w:cstheme="majorBidi"/>
      <w:color w:val="272727" w:themeColor="text1" w:themeTint="D8"/>
    </w:rPr>
  </w:style>
  <w:style w:type="paragraph" w:styleId="Title">
    <w:name w:val="Title"/>
    <w:basedOn w:val="Normal"/>
    <w:next w:val="Normal"/>
    <w:link w:val="TitleChar"/>
    <w:uiPriority w:val="10"/>
    <w:qFormat/>
    <w:rsid w:val="009C26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6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65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6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65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265B"/>
    <w:rPr>
      <w:i/>
      <w:iCs/>
      <w:color w:val="404040" w:themeColor="text1" w:themeTint="BF"/>
    </w:rPr>
  </w:style>
  <w:style w:type="paragraph" w:styleId="ListParagraph">
    <w:name w:val="List Paragraph"/>
    <w:basedOn w:val="Normal"/>
    <w:uiPriority w:val="34"/>
    <w:qFormat/>
    <w:rsid w:val="009C265B"/>
    <w:pPr>
      <w:ind w:left="720"/>
      <w:contextualSpacing/>
    </w:pPr>
  </w:style>
  <w:style w:type="character" w:styleId="IntenseEmphasis">
    <w:name w:val="Intense Emphasis"/>
    <w:basedOn w:val="DefaultParagraphFont"/>
    <w:uiPriority w:val="21"/>
    <w:qFormat/>
    <w:rsid w:val="009C265B"/>
    <w:rPr>
      <w:i/>
      <w:iCs/>
      <w:color w:val="0F4761" w:themeColor="accent1" w:themeShade="BF"/>
    </w:rPr>
  </w:style>
  <w:style w:type="paragraph" w:styleId="IntenseQuote">
    <w:name w:val="Intense Quote"/>
    <w:basedOn w:val="Normal"/>
    <w:next w:val="Normal"/>
    <w:link w:val="IntenseQuoteChar"/>
    <w:uiPriority w:val="30"/>
    <w:qFormat/>
    <w:rsid w:val="009C2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65B"/>
    <w:rPr>
      <w:i/>
      <w:iCs/>
      <w:color w:val="0F4761" w:themeColor="accent1" w:themeShade="BF"/>
    </w:rPr>
  </w:style>
  <w:style w:type="character" w:styleId="IntenseReference">
    <w:name w:val="Intense Reference"/>
    <w:basedOn w:val="DefaultParagraphFont"/>
    <w:uiPriority w:val="32"/>
    <w:qFormat/>
    <w:rsid w:val="009C265B"/>
    <w:rPr>
      <w:b/>
      <w:bCs/>
      <w:smallCaps/>
      <w:color w:val="0F4761" w:themeColor="accent1" w:themeShade="BF"/>
      <w:spacing w:val="5"/>
    </w:rPr>
  </w:style>
  <w:style w:type="character" w:styleId="Strong">
    <w:name w:val="Strong"/>
    <w:basedOn w:val="DefaultParagraphFont"/>
    <w:uiPriority w:val="22"/>
    <w:qFormat/>
    <w:rsid w:val="009C265B"/>
    <w:rPr>
      <w:b/>
      <w:bCs/>
    </w:rPr>
  </w:style>
  <w:style w:type="table" w:styleId="GridTable1Light">
    <w:name w:val="Grid Table 1 Light"/>
    <w:basedOn w:val="TableNormal"/>
    <w:uiPriority w:val="46"/>
    <w:rsid w:val="009C265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880A38"/>
    <w:rPr>
      <w:sz w:val="20"/>
      <w:szCs w:val="20"/>
    </w:rPr>
  </w:style>
  <w:style w:type="character" w:customStyle="1" w:styleId="FootnoteTextChar">
    <w:name w:val="Footnote Text Char"/>
    <w:basedOn w:val="DefaultParagraphFont"/>
    <w:link w:val="FootnoteText"/>
    <w:uiPriority w:val="99"/>
    <w:semiHidden/>
    <w:rsid w:val="00880A38"/>
    <w:rPr>
      <w:sz w:val="20"/>
      <w:szCs w:val="20"/>
    </w:rPr>
  </w:style>
  <w:style w:type="character" w:styleId="FootnoteReference">
    <w:name w:val="footnote reference"/>
    <w:basedOn w:val="DefaultParagraphFont"/>
    <w:uiPriority w:val="99"/>
    <w:semiHidden/>
    <w:unhideWhenUsed/>
    <w:rsid w:val="00880A38"/>
    <w:rPr>
      <w:vertAlign w:val="superscript"/>
    </w:rPr>
  </w:style>
  <w:style w:type="paragraph" w:styleId="Header">
    <w:name w:val="header"/>
    <w:basedOn w:val="Normal"/>
    <w:uiPriority w:val="99"/>
    <w:unhideWhenUsed/>
    <w:rsid w:val="3D675290"/>
    <w:pPr>
      <w:tabs>
        <w:tab w:val="center" w:pos="4680"/>
        <w:tab w:val="right" w:pos="9360"/>
      </w:tabs>
    </w:pPr>
  </w:style>
  <w:style w:type="paragraph" w:styleId="Footer">
    <w:name w:val="footer"/>
    <w:basedOn w:val="Normal"/>
    <w:uiPriority w:val="99"/>
    <w:unhideWhenUsed/>
    <w:rsid w:val="3D675290"/>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D2BD2"/>
    <w:rPr>
      <w:color w:val="467886" w:themeColor="hyperlink"/>
      <w:u w:val="single"/>
    </w:rPr>
  </w:style>
  <w:style w:type="character" w:styleId="UnresolvedMention">
    <w:name w:val="Unresolved Mention"/>
    <w:basedOn w:val="DefaultParagraphFont"/>
    <w:uiPriority w:val="99"/>
    <w:semiHidden/>
    <w:unhideWhenUsed/>
    <w:rsid w:val="00FD2BD2"/>
    <w:rPr>
      <w:color w:val="605E5C"/>
      <w:shd w:val="clear" w:color="auto" w:fill="E1DFDD"/>
    </w:rPr>
  </w:style>
  <w:style w:type="character" w:styleId="FollowedHyperlink">
    <w:name w:val="FollowedHyperlink"/>
    <w:basedOn w:val="DefaultParagraphFont"/>
    <w:uiPriority w:val="99"/>
    <w:semiHidden/>
    <w:unhideWhenUsed/>
    <w:rsid w:val="00AF06CC"/>
    <w:rPr>
      <w:color w:val="96607D" w:themeColor="followedHyperlink"/>
      <w:u w:val="singl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unhideWhenUsed/>
    <w:rPr>
      <w:sz w:val="16"/>
      <w:szCs w:val="16"/>
    </w:rPr>
  </w:style>
  <w:style w:type="paragraph" w:styleId="CommentSubject">
    <w:name w:val="annotation subject"/>
    <w:basedOn w:val="CommentText"/>
    <w:next w:val="CommentText"/>
    <w:link w:val="CommentSubjectChar"/>
    <w:uiPriority w:val="99"/>
    <w:semiHidden/>
    <w:unhideWhenUsed/>
    <w:rsid w:val="00AB7A8C"/>
    <w:rPr>
      <w:b/>
      <w:bCs/>
    </w:rPr>
  </w:style>
  <w:style w:type="character" w:customStyle="1" w:styleId="CommentSubjectChar">
    <w:name w:val="Comment Subject Char"/>
    <w:basedOn w:val="CommentTextChar"/>
    <w:link w:val="CommentSubject"/>
    <w:uiPriority w:val="99"/>
    <w:semiHidden/>
    <w:rsid w:val="00AB7A8C"/>
    <w:rPr>
      <w:b/>
      <w:bCs/>
      <w:sz w:val="20"/>
      <w:szCs w:val="20"/>
    </w:rPr>
  </w:style>
  <w:style w:type="table" w:styleId="PlainTable5">
    <w:name w:val="Plain Table 5"/>
    <w:basedOn w:val="TableNormal"/>
    <w:uiPriority w:val="45"/>
    <w:rsid w:val="00DD4BE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DD4BE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D4BE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DD4BE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lative">
    <w:name w:val="relative"/>
    <w:basedOn w:val="DefaultParagraphFont"/>
    <w:rsid w:val="000E3E6A"/>
  </w:style>
  <w:style w:type="paragraph" w:customStyle="1" w:styleId="not-prose">
    <w:name w:val="not-prose"/>
    <w:basedOn w:val="Normal"/>
    <w:rsid w:val="000E3E6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katex-mathml">
    <w:name w:val="katex-mathml"/>
    <w:basedOn w:val="DefaultParagraphFont"/>
    <w:rsid w:val="00271512"/>
  </w:style>
  <w:style w:type="character" w:customStyle="1" w:styleId="vlist-s">
    <w:name w:val="vlist-s"/>
    <w:basedOn w:val="DefaultParagraphFont"/>
    <w:rsid w:val="00271512"/>
  </w:style>
  <w:style w:type="character" w:styleId="Emphasis">
    <w:name w:val="Emphasis"/>
    <w:basedOn w:val="DefaultParagraphFont"/>
    <w:uiPriority w:val="20"/>
    <w:qFormat/>
    <w:rsid w:val="00194696"/>
    <w:rPr>
      <w:i/>
      <w:iCs/>
    </w:rPr>
  </w:style>
  <w:style w:type="character" w:customStyle="1" w:styleId="mord">
    <w:name w:val="mord"/>
    <w:basedOn w:val="DefaultParagraphFont"/>
    <w:rsid w:val="009E4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5693">
      <w:bodyDiv w:val="1"/>
      <w:marLeft w:val="0"/>
      <w:marRight w:val="0"/>
      <w:marTop w:val="0"/>
      <w:marBottom w:val="0"/>
      <w:divBdr>
        <w:top w:val="none" w:sz="0" w:space="0" w:color="auto"/>
        <w:left w:val="none" w:sz="0" w:space="0" w:color="auto"/>
        <w:bottom w:val="none" w:sz="0" w:space="0" w:color="auto"/>
        <w:right w:val="none" w:sz="0" w:space="0" w:color="auto"/>
      </w:divBdr>
    </w:div>
    <w:div w:id="285702295">
      <w:bodyDiv w:val="1"/>
      <w:marLeft w:val="0"/>
      <w:marRight w:val="0"/>
      <w:marTop w:val="0"/>
      <w:marBottom w:val="0"/>
      <w:divBdr>
        <w:top w:val="none" w:sz="0" w:space="0" w:color="auto"/>
        <w:left w:val="none" w:sz="0" w:space="0" w:color="auto"/>
        <w:bottom w:val="none" w:sz="0" w:space="0" w:color="auto"/>
        <w:right w:val="none" w:sz="0" w:space="0" w:color="auto"/>
      </w:divBdr>
    </w:div>
    <w:div w:id="560866440">
      <w:bodyDiv w:val="1"/>
      <w:marLeft w:val="0"/>
      <w:marRight w:val="0"/>
      <w:marTop w:val="0"/>
      <w:marBottom w:val="0"/>
      <w:divBdr>
        <w:top w:val="none" w:sz="0" w:space="0" w:color="auto"/>
        <w:left w:val="none" w:sz="0" w:space="0" w:color="auto"/>
        <w:bottom w:val="none" w:sz="0" w:space="0" w:color="auto"/>
        <w:right w:val="none" w:sz="0" w:space="0" w:color="auto"/>
      </w:divBdr>
    </w:div>
    <w:div w:id="674696439">
      <w:bodyDiv w:val="1"/>
      <w:marLeft w:val="0"/>
      <w:marRight w:val="0"/>
      <w:marTop w:val="0"/>
      <w:marBottom w:val="0"/>
      <w:divBdr>
        <w:top w:val="none" w:sz="0" w:space="0" w:color="auto"/>
        <w:left w:val="none" w:sz="0" w:space="0" w:color="auto"/>
        <w:bottom w:val="none" w:sz="0" w:space="0" w:color="auto"/>
        <w:right w:val="none" w:sz="0" w:space="0" w:color="auto"/>
      </w:divBdr>
    </w:div>
    <w:div w:id="839276413">
      <w:bodyDiv w:val="1"/>
      <w:marLeft w:val="0"/>
      <w:marRight w:val="0"/>
      <w:marTop w:val="0"/>
      <w:marBottom w:val="0"/>
      <w:divBdr>
        <w:top w:val="none" w:sz="0" w:space="0" w:color="auto"/>
        <w:left w:val="none" w:sz="0" w:space="0" w:color="auto"/>
        <w:bottom w:val="none" w:sz="0" w:space="0" w:color="auto"/>
        <w:right w:val="none" w:sz="0" w:space="0" w:color="auto"/>
      </w:divBdr>
    </w:div>
    <w:div w:id="1100249507">
      <w:bodyDiv w:val="1"/>
      <w:marLeft w:val="0"/>
      <w:marRight w:val="0"/>
      <w:marTop w:val="0"/>
      <w:marBottom w:val="0"/>
      <w:divBdr>
        <w:top w:val="none" w:sz="0" w:space="0" w:color="auto"/>
        <w:left w:val="none" w:sz="0" w:space="0" w:color="auto"/>
        <w:bottom w:val="none" w:sz="0" w:space="0" w:color="auto"/>
        <w:right w:val="none" w:sz="0" w:space="0" w:color="auto"/>
      </w:divBdr>
    </w:div>
    <w:div w:id="1239097742">
      <w:bodyDiv w:val="1"/>
      <w:marLeft w:val="0"/>
      <w:marRight w:val="0"/>
      <w:marTop w:val="0"/>
      <w:marBottom w:val="0"/>
      <w:divBdr>
        <w:top w:val="none" w:sz="0" w:space="0" w:color="auto"/>
        <w:left w:val="none" w:sz="0" w:space="0" w:color="auto"/>
        <w:bottom w:val="none" w:sz="0" w:space="0" w:color="auto"/>
        <w:right w:val="none" w:sz="0" w:space="0" w:color="auto"/>
      </w:divBdr>
    </w:div>
    <w:div w:id="1348292976">
      <w:bodyDiv w:val="1"/>
      <w:marLeft w:val="0"/>
      <w:marRight w:val="0"/>
      <w:marTop w:val="0"/>
      <w:marBottom w:val="0"/>
      <w:divBdr>
        <w:top w:val="none" w:sz="0" w:space="0" w:color="auto"/>
        <w:left w:val="none" w:sz="0" w:space="0" w:color="auto"/>
        <w:bottom w:val="none" w:sz="0" w:space="0" w:color="auto"/>
        <w:right w:val="none" w:sz="0" w:space="0" w:color="auto"/>
      </w:divBdr>
    </w:div>
    <w:div w:id="1406803058">
      <w:bodyDiv w:val="1"/>
      <w:marLeft w:val="0"/>
      <w:marRight w:val="0"/>
      <w:marTop w:val="0"/>
      <w:marBottom w:val="0"/>
      <w:divBdr>
        <w:top w:val="none" w:sz="0" w:space="0" w:color="auto"/>
        <w:left w:val="none" w:sz="0" w:space="0" w:color="auto"/>
        <w:bottom w:val="none" w:sz="0" w:space="0" w:color="auto"/>
        <w:right w:val="none" w:sz="0" w:space="0" w:color="auto"/>
      </w:divBdr>
    </w:div>
    <w:div w:id="1580140404">
      <w:bodyDiv w:val="1"/>
      <w:marLeft w:val="0"/>
      <w:marRight w:val="0"/>
      <w:marTop w:val="0"/>
      <w:marBottom w:val="0"/>
      <w:divBdr>
        <w:top w:val="none" w:sz="0" w:space="0" w:color="auto"/>
        <w:left w:val="none" w:sz="0" w:space="0" w:color="auto"/>
        <w:bottom w:val="none" w:sz="0" w:space="0" w:color="auto"/>
        <w:right w:val="none" w:sz="0" w:space="0" w:color="auto"/>
      </w:divBdr>
    </w:div>
    <w:div w:id="1656758601">
      <w:bodyDiv w:val="1"/>
      <w:marLeft w:val="0"/>
      <w:marRight w:val="0"/>
      <w:marTop w:val="0"/>
      <w:marBottom w:val="0"/>
      <w:divBdr>
        <w:top w:val="none" w:sz="0" w:space="0" w:color="auto"/>
        <w:left w:val="none" w:sz="0" w:space="0" w:color="auto"/>
        <w:bottom w:val="none" w:sz="0" w:space="0" w:color="auto"/>
        <w:right w:val="none" w:sz="0" w:space="0" w:color="auto"/>
      </w:divBdr>
    </w:div>
    <w:div w:id="1742634304">
      <w:bodyDiv w:val="1"/>
      <w:marLeft w:val="0"/>
      <w:marRight w:val="0"/>
      <w:marTop w:val="0"/>
      <w:marBottom w:val="0"/>
      <w:divBdr>
        <w:top w:val="none" w:sz="0" w:space="0" w:color="auto"/>
        <w:left w:val="none" w:sz="0" w:space="0" w:color="auto"/>
        <w:bottom w:val="none" w:sz="0" w:space="0" w:color="auto"/>
        <w:right w:val="none" w:sz="0" w:space="0" w:color="auto"/>
      </w:divBdr>
    </w:div>
    <w:div w:id="1789229863">
      <w:bodyDiv w:val="1"/>
      <w:marLeft w:val="0"/>
      <w:marRight w:val="0"/>
      <w:marTop w:val="0"/>
      <w:marBottom w:val="0"/>
      <w:divBdr>
        <w:top w:val="none" w:sz="0" w:space="0" w:color="auto"/>
        <w:left w:val="none" w:sz="0" w:space="0" w:color="auto"/>
        <w:bottom w:val="none" w:sz="0" w:space="0" w:color="auto"/>
        <w:right w:val="none" w:sz="0" w:space="0" w:color="auto"/>
      </w:divBdr>
    </w:div>
    <w:div w:id="1947931645">
      <w:bodyDiv w:val="1"/>
      <w:marLeft w:val="0"/>
      <w:marRight w:val="0"/>
      <w:marTop w:val="0"/>
      <w:marBottom w:val="0"/>
      <w:divBdr>
        <w:top w:val="none" w:sz="0" w:space="0" w:color="auto"/>
        <w:left w:val="none" w:sz="0" w:space="0" w:color="auto"/>
        <w:bottom w:val="none" w:sz="0" w:space="0" w:color="auto"/>
        <w:right w:val="none" w:sz="0" w:space="0" w:color="auto"/>
      </w:divBdr>
    </w:div>
    <w:div w:id="202797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deveco.2012.01.0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11/j.1467-937X.2009.00536.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183E1-09C7-504F-A60C-4FD467D78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12</Pages>
  <Words>3897</Words>
  <Characters>22214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Valdes Aspillaga</dc:creator>
  <cp:keywords/>
  <dc:description/>
  <cp:lastModifiedBy>Natalia Valdes Aspillaga</cp:lastModifiedBy>
  <cp:revision>12</cp:revision>
  <dcterms:created xsi:type="dcterms:W3CDTF">2025-12-23T15:25:00Z</dcterms:created>
  <dcterms:modified xsi:type="dcterms:W3CDTF">2026-01-27T09:40:00Z</dcterms:modified>
</cp:coreProperties>
</file>