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76" w:lineRule="auto"/>
        <w:ind w:left="0" w:right="0" w:firstLine="0"/>
        <w:jc w:val="both"/>
        <w:rPr/>
      </w:pPr>
      <w:bookmarkStart w:colFirst="0" w:colLast="0" w:name="_p9bv54vbzw1p" w:id="0"/>
      <w:bookmarkEnd w:id="0"/>
      <w:r w:rsidDel="00000000" w:rsidR="00000000" w:rsidRPr="00000000">
        <w:rPr>
          <w:rtl w:val="0"/>
        </w:rPr>
        <w:t xml:space="preserve">Evaluating the direct and spillover effects of a poverty-targeted sanitation subsidy program in rural Ethiopia</w:t>
      </w:r>
    </w:p>
    <w:p w:rsidR="00000000" w:rsidDel="00000000" w:rsidP="00000000" w:rsidRDefault="00000000" w:rsidRPr="00000000" w14:paraId="00000002">
      <w:pPr>
        <w:pStyle w:val="Subtitle"/>
        <w:rPr/>
      </w:pPr>
      <w:bookmarkStart w:colFirst="0" w:colLast="0" w:name="_4qo5hhivi4t1" w:id="1"/>
      <w:bookmarkEnd w:id="1"/>
      <w:r w:rsidDel="00000000" w:rsidR="00000000" w:rsidRPr="00000000">
        <w:rPr>
          <w:rtl w:val="0"/>
        </w:rPr>
        <w:t xml:space="preserve">Pre-Analysis Plan</w:t>
      </w:r>
    </w:p>
    <w:p w:rsidR="00000000" w:rsidDel="00000000" w:rsidP="00000000" w:rsidRDefault="00000000" w:rsidRPr="00000000" w14:paraId="00000003">
      <w:pPr>
        <w:spacing w:after="0" w:lineRule="auto"/>
        <w:jc w:val="right"/>
        <w:rPr>
          <w:i w:val="1"/>
          <w:iCs w:val="1"/>
        </w:rPr>
      </w:pPr>
      <w:r w:rsidDel="00000000" w:rsidR="00000000" w:rsidRPr="00000000">
        <w:rPr>
          <w:i w:val="1"/>
          <w:iCs w:val="1"/>
          <w:rtl w:val="0"/>
        </w:rPr>
        <w:t xml:space="preserve">17 February, 2026</w:t>
      </w:r>
    </w:p>
    <w:p w:rsidR="00000000" w:rsidDel="00000000" w:rsidP="00000000" w:rsidRDefault="00000000" w:rsidRPr="00000000" w14:paraId="00000004">
      <w:pPr>
        <w:pStyle w:val="Heading1"/>
        <w:rPr/>
      </w:pPr>
      <w:bookmarkStart w:colFirst="0" w:colLast="0" w:name="_9okr7xa3pjj5" w:id="2"/>
      <w:bookmarkEnd w:id="2"/>
      <w:r w:rsidDel="00000000" w:rsidR="00000000" w:rsidRPr="00000000">
        <w:rPr>
          <w:rtl w:val="0"/>
        </w:rPr>
        <w:t xml:space="preserve">Summary </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1c2f62" w:val="clear"/>
            <w:tcMar>
              <w:top w:w="100.0" w:type="dxa"/>
              <w:left w:w="100.0" w:type="dxa"/>
              <w:bottom w:w="100.0" w:type="dxa"/>
              <w:right w:w="100.0" w:type="dxa"/>
            </w:tcMar>
            <w:vAlign w:val="top"/>
          </w:tcPr>
          <w:p w:rsidR="00000000" w:rsidDel="00000000" w:rsidP="00000000" w:rsidRDefault="00000000" w:rsidRPr="00000000" w14:paraId="00000005">
            <w:pPr>
              <w:widowControl w:val="0"/>
              <w:rPr>
                <w:color w:val="ffffff"/>
              </w:rPr>
            </w:pPr>
            <w:r w:rsidDel="00000000" w:rsidR="00000000" w:rsidRPr="00000000">
              <w:rPr>
                <w:color w:val="ffffff"/>
                <w:rtl w:val="0"/>
              </w:rPr>
              <w:t xml:space="preserve">This Pre-Analysis Plan (PAP) outlines the analytical strategy for the impact evaluation of a poverty-targeted sanitation subsidy program integrated with Market-Based Sanitation (MBS) in rural Ethiopia. The initiative, a collaboration between iDE, and IDinsight, seeks to address the persistent gap in sanitation access among the poorest households, which market-based approaches often fail to reach.</w:t>
            </w:r>
          </w:p>
          <w:p w:rsidR="00000000" w:rsidDel="00000000" w:rsidP="00000000" w:rsidRDefault="00000000" w:rsidRPr="00000000" w14:paraId="00000006">
            <w:pPr>
              <w:widowControl w:val="0"/>
              <w:rPr>
                <w:color w:val="ffffff"/>
              </w:rPr>
            </w:pPr>
            <w:r w:rsidDel="00000000" w:rsidR="00000000" w:rsidRPr="00000000">
              <w:rPr>
                <w:color w:val="ffffff"/>
                <w:rtl w:val="0"/>
              </w:rPr>
              <w:t xml:space="preserve">The evaluation employs a two-arm cluster Randomized Controlled Trial (RCT) to isolate the effects of the subsidy intervention. The study compares villages receiving "Status Quo" MBS programming against villages who received MBS programming integrated with targeted financial subsidies. By analyzing outcomes for both subsidy-eligible and ineligible households, the study aims to generate rigorous evidence on whether subsidies can expand equitable access without distorting local sanitation markets. This PAP is registered before the analysis of endline data, which is being collected from mid-January 2026 to the end of February 2026. </w:t>
            </w:r>
          </w:p>
        </w:tc>
      </w:tr>
    </w:tbl>
    <w:p w:rsidR="00000000" w:rsidDel="00000000" w:rsidP="00000000" w:rsidRDefault="00000000" w:rsidRPr="00000000" w14:paraId="00000007">
      <w:pPr>
        <w:spacing w:after="0" w:before="0" w:line="276" w:lineRule="auto"/>
        <w:rPr>
          <w:rFonts w:ascii="Inter Light" w:cs="Inter Light" w:eastAsia="Inter Light" w:hAnsi="Inter Light"/>
        </w:rPr>
      </w:pPr>
      <w:r w:rsidDel="00000000" w:rsidR="00000000" w:rsidRPr="00000000">
        <w:rPr>
          <w:rtl w:val="0"/>
        </w:rPr>
      </w:r>
    </w:p>
    <w:p w:rsidR="00000000" w:rsidDel="00000000" w:rsidP="00000000" w:rsidRDefault="00000000" w:rsidRPr="00000000" w14:paraId="00000008">
      <w:pPr>
        <w:pStyle w:val="Heading1"/>
        <w:ind w:left="0" w:firstLine="0"/>
        <w:rPr/>
      </w:pPr>
      <w:r w:rsidDel="00000000" w:rsidR="00000000" w:rsidRPr="00000000">
        <w:rPr>
          <w:rtl w:val="0"/>
        </w:rPr>
        <w:t xml:space="preserve">Background</w:t>
      </w:r>
    </w:p>
    <w:p w:rsidR="00000000" w:rsidDel="00000000" w:rsidP="00000000" w:rsidRDefault="00000000" w:rsidRPr="00000000" w14:paraId="00000009">
      <w:pPr>
        <w:rPr/>
      </w:pPr>
      <w:r w:rsidDel="00000000" w:rsidR="00000000" w:rsidRPr="00000000">
        <w:rPr>
          <w:rtl w:val="0"/>
        </w:rPr>
        <w:t xml:space="preserve">This study represents a strategic research partnership between iDE and IDinsight, designed to generate rigorous evidence on the effectiveness of targeted subsidies in rural Ethiopia. The collaboration is grounded in the framework of Area-Wide Sanitation (AWS), which seeks to achieve universal, safely managed sanitation across entire administrative districts.</w:t>
      </w:r>
    </w:p>
    <w:p w:rsidR="00000000" w:rsidDel="00000000" w:rsidP="00000000" w:rsidRDefault="00000000" w:rsidRPr="00000000" w14:paraId="0000000A">
      <w:pPr>
        <w:rPr/>
      </w:pPr>
      <w:r w:rsidDel="00000000" w:rsidR="00000000" w:rsidRPr="00000000">
        <w:rPr>
          <w:rtl w:val="0"/>
        </w:rPr>
        <w:t xml:space="preserve">While market-based sanitation (MBS) has successfully expanded access for many, purely market-driven approaches often fail to reach the poorest and most vulnerable households due to significant financial barriers. Addressing this equity gap is a critical motivation for the study, as sustainable scaling of sanitation services requires financial mechanisms that can include those unable to afford the full cost of improved latrines.</w:t>
      </w:r>
    </w:p>
    <w:p w:rsidR="00000000" w:rsidDel="00000000" w:rsidP="00000000" w:rsidRDefault="00000000" w:rsidRPr="00000000" w14:paraId="0000000B">
      <w:pPr>
        <w:rPr/>
      </w:pPr>
      <w:r w:rsidDel="00000000" w:rsidR="00000000" w:rsidRPr="00000000">
        <w:rPr>
          <w:rtl w:val="0"/>
        </w:rPr>
        <w:t xml:space="preserve">To address these knowledge gaps, IDinsight is conducting an impact evaluation of a targeted subsidy scheme implemented by iDE in the Wolayita zone of the South Ethiopia Region. The study aims to estimate the direct impact of these financial incentives on latrine uptake and usage among eligible households, while also examining how such subsidies affect the broader market and non-eligible neighbors. Ultimately, the findings are intended to inform the design and implementation of future sanitation policies by governments and development partners, ensuring that efforts to scale access do not leave the most vulnerable behind.</w:t>
      </w:r>
    </w:p>
    <w:p w:rsidR="00000000" w:rsidDel="00000000" w:rsidP="00000000" w:rsidRDefault="00000000" w:rsidRPr="00000000" w14:paraId="0000000C">
      <w:pPr>
        <w:pStyle w:val="Heading1"/>
        <w:rPr/>
      </w:pPr>
      <w:bookmarkStart w:colFirst="0" w:colLast="0" w:name="_u8u7e3wcgsm2" w:id="3"/>
      <w:bookmarkEnd w:id="3"/>
      <w:r w:rsidDel="00000000" w:rsidR="00000000" w:rsidRPr="00000000">
        <w:rPr>
          <w:rtl w:val="0"/>
        </w:rPr>
        <w:t xml:space="preserve">Literature Review</w:t>
      </w: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To inform the research design, we conducted an in-depth review of the state of evidence concerning sanitation subsidy programs. Below, we present a summary of our key findings.</w:t>
      </w:r>
    </w:p>
    <w:p w:rsidR="00000000" w:rsidDel="00000000" w:rsidP="00000000" w:rsidRDefault="00000000" w:rsidRPr="00000000" w14:paraId="0000000E">
      <w:pPr>
        <w:pStyle w:val="Heading2"/>
        <w:rPr/>
      </w:pPr>
      <w:bookmarkStart w:colFirst="0" w:colLast="0" w:name="_y0emf0bdix00" w:id="4"/>
      <w:bookmarkEnd w:id="4"/>
      <w:r w:rsidDel="00000000" w:rsidR="00000000" w:rsidRPr="00000000">
        <w:rPr>
          <w:rtl w:val="0"/>
        </w:rPr>
        <w:t xml:space="preserve">Overview of Targeted Subsidies</w:t>
      </w:r>
    </w:p>
    <w:p w:rsidR="00000000" w:rsidDel="00000000" w:rsidP="00000000" w:rsidRDefault="00000000" w:rsidRPr="00000000" w14:paraId="0000000F">
      <w:pPr>
        <w:rPr/>
      </w:pPr>
      <w:r w:rsidDel="00000000" w:rsidR="00000000" w:rsidRPr="00000000">
        <w:rPr>
          <w:rtl w:val="0"/>
        </w:rPr>
        <w:t xml:space="preserve">Subsidies are among several policy measures used by governments to expand access to sanitation goods and services. In the past, direct hardware provision was a widely used form of subsidy to supply latrine hardware to poor households. Despite their initial promises, direct hardware provision schemes eventually showed several drawbacks, among which were high costs (Evans, van der Voorden, and Peal 2009; Trémolet, Kolsky, and Perez 2010), tendency to benefit more well-off households (Andres et al. 2019), and failure to foster real demand among recipients for improved sanitation (Jenkins and Sugden 2006). For these reasons, the use of direct hardware provision fell into decline throughout the mid-2000s. Instead, the sanitation community moved toward other types of programs, such as behavioral change through Community-Led Total Sanitation (CLTS). Direct hardware provision subsidies were most often blanket subsidies covering the full amount of the subsidized good, which differs from the partial subsidy approach that is used in this study (subsidizing a percentage of the cost of the latrine and requiring households to contribute monetarily and/or in kind). </w:t>
      </w:r>
    </w:p>
    <w:p w:rsidR="00000000" w:rsidDel="00000000" w:rsidP="00000000" w:rsidRDefault="00000000" w:rsidRPr="00000000" w14:paraId="00000010">
      <w:pPr>
        <w:rPr/>
      </w:pPr>
      <w:r w:rsidDel="00000000" w:rsidR="00000000" w:rsidRPr="00000000">
        <w:rPr>
          <w:rtl w:val="0"/>
        </w:rPr>
        <w:t xml:space="preserve">In recent years, the use of subsidies has undergone a resurgence within the sector. This renewed interest in subsidies has been driven in part by the recognition that large segments of the rural populations in Asia and Africa continue to face significant financial barriers to accessing sanitation services, which cannot be fully overcome through behavioral, marketing, credit, or combined interventions alone. For instance, market assessments implemented in Liberia, Western Kenya, Senegal, and India estimated that a majority of households could require some form of financial support (e.g., loans) and a sizable proportion of the poorest (11-37 percent) could require a subsidy to afford latrines (see Figure 1).</w:t>
      </w:r>
    </w:p>
    <w:p w:rsidR="00000000" w:rsidDel="00000000" w:rsidP="00000000" w:rsidRDefault="00000000" w:rsidRPr="00000000" w14:paraId="00000011">
      <w:pPr>
        <w:rPr/>
      </w:pPr>
      <w:r w:rsidDel="00000000" w:rsidR="00000000" w:rsidRPr="00000000">
        <w:rPr>
          <w:rtl w:val="0"/>
        </w:rPr>
        <w:t xml:space="preserve">As a result, implementing organizations have attempted to reintroduce subsidies while addressing the limitations of direct hardware subsidy schemes. One approach is to improve targeting—for instance, by restricting eligibility criteria to the most in-need households. Another is to integrate subsidies alongside other sanitation interventions, most notably MBS.</w:t>
      </w:r>
    </w:p>
    <w:p w:rsidR="00000000" w:rsidDel="00000000" w:rsidP="00000000" w:rsidRDefault="00000000" w:rsidRPr="00000000" w14:paraId="00000012">
      <w:pPr>
        <w:pStyle w:val="Heading2"/>
        <w:rPr/>
      </w:pPr>
      <w:bookmarkStart w:colFirst="0" w:colLast="0" w:name="_sgd7tgtxjfg5" w:id="5"/>
      <w:bookmarkEnd w:id="5"/>
      <w:r w:rsidDel="00000000" w:rsidR="00000000" w:rsidRPr="00000000">
        <w:rPr>
          <w:rtl w:val="0"/>
        </w:rPr>
        <w:t xml:space="preserve">Integration</w:t>
      </w:r>
    </w:p>
    <w:p w:rsidR="00000000" w:rsidDel="00000000" w:rsidP="00000000" w:rsidRDefault="00000000" w:rsidRPr="00000000" w14:paraId="00000013">
      <w:pPr>
        <w:rPr/>
      </w:pPr>
      <w:r w:rsidDel="00000000" w:rsidR="00000000" w:rsidRPr="00000000">
        <w:rPr>
          <w:rtl w:val="0"/>
        </w:rPr>
        <w:t xml:space="preserve">The available evidence suggests that the integration of subsidies with other types of sanitation interventions (i.e., CLTS, MBS, other behavioral change programs) has led to an increase in latrine uptake among the targeted group. However, the extent of this increase varies and is typically observed in the short term.</w:t>
      </w:r>
    </w:p>
    <w:p w:rsidR="00000000" w:rsidDel="00000000" w:rsidP="00000000" w:rsidRDefault="00000000" w:rsidRPr="00000000" w14:paraId="00000014">
      <w:pPr>
        <w:rPr/>
      </w:pPr>
      <w:r w:rsidDel="00000000" w:rsidR="00000000" w:rsidRPr="00000000">
        <w:rPr>
          <w:rtl w:val="0"/>
        </w:rPr>
        <w:t xml:space="preserve">In Bangladesh, Guiteras, Levinsohn, and Mobarak (2015) conducted a cluster RCT testing the effectiveness of subsidies for a hygienic latrine against various sanitation interventions—i.e., a Latrine Promotion Program (LPP)</w:t>
      </w:r>
      <w:r w:rsidDel="00000000" w:rsidR="00000000" w:rsidRPr="00000000">
        <w:rPr>
          <w:vertAlign w:val="superscript"/>
        </w:rPr>
        <w:footnoteReference w:customMarkFollows="0" w:id="0"/>
      </w:r>
      <w:r w:rsidDel="00000000" w:rsidR="00000000" w:rsidRPr="00000000">
        <w:rPr>
          <w:rtl w:val="0"/>
        </w:rPr>
        <w:t xml:space="preserve">  consisting of community motivation and health information campaigns (Treatment 1), subsidies vouchers for a subsidy</w:t>
      </w:r>
      <w:r w:rsidDel="00000000" w:rsidR="00000000" w:rsidRPr="00000000">
        <w:rPr>
          <w:vertAlign w:val="superscript"/>
        </w:rPr>
        <w:footnoteReference w:customMarkFollows="0" w:id="1"/>
      </w:r>
      <w:r w:rsidDel="00000000" w:rsidR="00000000" w:rsidRPr="00000000">
        <w:rPr>
          <w:rtl w:val="0"/>
        </w:rPr>
        <w:t xml:space="preserve"> in conjunction with LPP (Treatment 2), and an informational intervention that informed households about suppliers and sanitation products (Treatment 3). The authors found that at the end of the intervention, households receiving both LPP and subsidies are on average 14.3 percentage points more likely to have access to a hygienic latrine compared to the control group (Guiteras, Levinsohn, and Mobarak 2015). </w:t>
      </w:r>
    </w:p>
    <w:p w:rsidR="00000000" w:rsidDel="00000000" w:rsidP="00000000" w:rsidRDefault="00000000" w:rsidRPr="00000000" w14:paraId="00000015">
      <w:pPr>
        <w:pStyle w:val="Heading3"/>
        <w:spacing w:after="160" w:before="0" w:lineRule="auto"/>
        <w:rPr/>
      </w:pPr>
      <w:bookmarkStart w:colFirst="0" w:colLast="0" w:name="_ky96bgfirw0a" w:id="6"/>
      <w:bookmarkEnd w:id="6"/>
      <w:r w:rsidDel="00000000" w:rsidR="00000000" w:rsidRPr="00000000">
        <w:rPr>
          <w:rtl w:val="0"/>
        </w:rPr>
        <w:t xml:space="preserve">Figure 1: Customer Segmentation of Sanitation Goods, Based on Potential Ability to Pay</w:t>
      </w:r>
    </w:p>
    <w:p w:rsidR="00000000" w:rsidDel="00000000" w:rsidP="00000000" w:rsidRDefault="00000000" w:rsidRPr="00000000" w14:paraId="00000016">
      <w:pPr>
        <w:rPr>
          <w:i w:val="1"/>
          <w:iCs w:val="1"/>
          <w:sz w:val="16"/>
          <w:szCs w:val="16"/>
        </w:rPr>
      </w:pPr>
      <w:r w:rsidDel="00000000" w:rsidR="00000000" w:rsidRPr="00000000">
        <w:rPr/>
        <w:drawing>
          <wp:inline distB="114300" distT="114300" distL="114300" distR="114300">
            <wp:extent cx="5943600" cy="4394200"/>
            <wp:effectExtent b="0" l="0" r="0" t="0"/>
            <wp:docPr id="2"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943600" cy="4394200"/>
                    </a:xfrm>
                    <a:prstGeom prst="rect"/>
                    <a:ln/>
                  </pic:spPr>
                </pic:pic>
              </a:graphicData>
            </a:graphic>
          </wp:inline>
        </w:drawing>
      </w:r>
      <w:r w:rsidDel="00000000" w:rsidR="00000000" w:rsidRPr="00000000">
        <w:rPr>
          <w:i w:val="1"/>
          <w:iCs w:val="1"/>
          <w:sz w:val="16"/>
          <w:szCs w:val="16"/>
          <w:rtl w:val="0"/>
        </w:rPr>
        <w:t xml:space="preserve">Source: USAID WASHPaLS sanitation market assessments conducted in Liberia, Western Kenya, and Senegal (2021)</w:t>
      </w:r>
    </w:p>
    <w:p w:rsidR="00000000" w:rsidDel="00000000" w:rsidP="00000000" w:rsidRDefault="00000000" w:rsidRPr="00000000" w14:paraId="00000017">
      <w:pPr>
        <w:rPr/>
      </w:pPr>
      <w:r w:rsidDel="00000000" w:rsidR="00000000" w:rsidRPr="00000000">
        <w:rPr>
          <w:rtl w:val="0"/>
        </w:rPr>
        <w:t xml:space="preserve">In rural villages across six Cambodian provinces</w:t>
      </w:r>
      <w:r w:rsidDel="00000000" w:rsidR="00000000" w:rsidRPr="00000000">
        <w:rPr>
          <w:vertAlign w:val="superscript"/>
        </w:rPr>
        <w:footnoteReference w:customMarkFollows="0" w:id="2"/>
      </w:r>
      <w:r w:rsidDel="00000000" w:rsidR="00000000" w:rsidRPr="00000000">
        <w:rPr>
          <w:rtl w:val="0"/>
        </w:rPr>
        <w:t xml:space="preserve">,  Hoo et al. (2022) conducted a study in six provinces to assess the impact of combining a sanitation marketing (SanMark) program, run by iDE and WaterSHED over several years, with a poverty-targeted subsidy scheme called “Community Hygiene Output-Based Aid” (CHOBA), run by East Meets West/Thrive Networks. When implemented separately, the CHOBA subsidies were more effective than SanMark at increasing hygienic latrine coverage among ID Poor (IDP) 1 and IDP 2 households. In combination, the likelihood of new hygienic latrine purchase was higher by 26 percentage points compared to SanMark alone (Hoo et al. 2022). Furthermore, the authors found that the likelihood of the hygienic latrine being installed and functional at endline was 24 percentage points higher when CHOBA and SanMark were implemented together, compared to when only SanMark was implemented (Hoo et al. 2022).  </w:t>
      </w:r>
    </w:p>
    <w:p w:rsidR="00000000" w:rsidDel="00000000" w:rsidP="00000000" w:rsidRDefault="00000000" w:rsidRPr="00000000" w14:paraId="00000018">
      <w:pPr>
        <w:rPr/>
      </w:pPr>
      <w:r w:rsidDel="00000000" w:rsidR="00000000" w:rsidRPr="00000000">
        <w:rPr>
          <w:rtl w:val="0"/>
        </w:rPr>
        <w:t xml:space="preserve">In Laos, Cameron et al. (2021) conducted a cluster RCT to test the effectiveness of CLTS intervention integrated with three different types of monetary incentives—i.e., cash rebate for the poorest 30 percent of households who installed a latrine (Treatment 1), monetary reward to the entire village for achieving ODF (Treatment 2), and the two in combination (Treatment 3)—relative to CLTS alone (Control). Among the key results, the authors found a 16.2 percentage point increase in village-level pour-flush latrine ownership relative to the control group (Cameron et al. 2021). </w:t>
      </w:r>
    </w:p>
    <w:p w:rsidR="00000000" w:rsidDel="00000000" w:rsidP="00000000" w:rsidRDefault="00000000" w:rsidRPr="00000000" w14:paraId="00000019">
      <w:pPr>
        <w:rPr/>
      </w:pPr>
      <w:r w:rsidDel="00000000" w:rsidR="00000000" w:rsidRPr="00000000">
        <w:rPr>
          <w:rtl w:val="0"/>
        </w:rPr>
        <w:t xml:space="preserve">There is tentative evidence that combining targeted subsidies with other interventions may yield positive, if modest, spillover effects. In Cambodia, Hoo et al. (2022) observed that where CHOBA was implemented, after years of market development and in conjunction with sanitation marketing, the likelihood of latrine purchase among non-poor households was highest (at 36 percent), compared to communities in which only one of the two interventions was implemented.</w:t>
      </w:r>
    </w:p>
    <w:p w:rsidR="00000000" w:rsidDel="00000000" w:rsidP="00000000" w:rsidRDefault="00000000" w:rsidRPr="00000000" w14:paraId="0000001A">
      <w:pPr>
        <w:rPr/>
      </w:pPr>
      <w:r w:rsidDel="00000000" w:rsidR="00000000" w:rsidRPr="00000000">
        <w:rPr>
          <w:rtl w:val="0"/>
        </w:rPr>
        <w:t xml:space="preserve">In Bangladesh, Guiteras, Levinsohn, and Mobarak (2015) found slight increases in access and ownership rates among non-voucher recipient households in medium- and high-saturation neighborhoods relative to eligible households LPP-only villages. A positive effect was also observed among ineligible households in subsidy villages. While this may imply a potential positive spillover effect, a closer examination of the subsidy design casts doubt on this interpretation. Since vouchers were given to a large portion of households (i.e., those within the bottom 75 percent of the wealth distribution), and since the subsidy eligibility criteria did not screen for households lacking hygienic latrines, it is conceivable that many households receiving vouchers had already owned a functional, hygienic latrine. As such, the observed increases in access and ownership rates among non-recipient households could potentially be a result of voucher transfer or resale. It is not possible, therefore, to conclude that these findings provide definitive evidence for positive spillover effects among non-recipient households.</w:t>
      </w:r>
    </w:p>
    <w:p w:rsidR="00000000" w:rsidDel="00000000" w:rsidP="00000000" w:rsidRDefault="00000000" w:rsidRPr="00000000" w14:paraId="0000001B">
      <w:pPr>
        <w:rPr/>
      </w:pPr>
      <w:r w:rsidDel="00000000" w:rsidR="00000000" w:rsidRPr="00000000">
        <w:rPr>
          <w:rtl w:val="0"/>
        </w:rPr>
        <w:t xml:space="preserve">We cannot readily conclude from the existing evidence that combining targeted subsidies with other interventions will guarantee positive spillover effects. The spillover effects observed in both Hoo et al. (2022) and Guiteras, Levinsohn, and Mobarak (2015) have been at best modest. In fact, iDE’s study in Cambodia presents weak contradicting evidence, suggesting that when subsidies are introduced prematurely into a market, they might actually lower demand among non-poor households (iDE 2019). </w:t>
      </w:r>
    </w:p>
    <w:p w:rsidR="00000000" w:rsidDel="00000000" w:rsidP="00000000" w:rsidRDefault="00000000" w:rsidRPr="00000000" w14:paraId="0000001C">
      <w:pPr>
        <w:rPr/>
      </w:pPr>
      <w:r w:rsidDel="00000000" w:rsidR="00000000" w:rsidRPr="00000000">
        <w:rPr>
          <w:rtl w:val="0"/>
        </w:rPr>
        <w:t xml:space="preserve">Moreover, it is crucial to consider the contextual factors surrounding the maturity of sanitation markets when introducing subsidies. In many cases, subsidies were introduced after a series of sanitation behavior changes and marketing interventions had already taken place over an extended period. For instance, MBS programs are estimated to take five years or more to scale and become effective (USAID 2018). In these cases, a significant portion of the recipient communities had already made investments in basic sanitation before the subsidy programs were even implemented. As a result, a significant portion of the recipient communities had already made investments in basic sanitation. </w:t>
      </w:r>
    </w:p>
    <w:p w:rsidR="00000000" w:rsidDel="00000000" w:rsidP="00000000" w:rsidRDefault="00000000" w:rsidRPr="00000000" w14:paraId="0000001D">
      <w:pPr>
        <w:rPr/>
      </w:pPr>
      <w:r w:rsidDel="00000000" w:rsidR="00000000" w:rsidRPr="00000000">
        <w:rPr>
          <w:rtl w:val="0"/>
        </w:rPr>
        <w:t xml:space="preserve">In addition, we recognize the limitations of the existing evidence in capturing long-term uptake patterns. It is important to note that none of the studies reviewed tracked the uptake and sales of latrines beyond the subsidy period. This limitation hinders understanding of the effects of targeted subsidies on uptake among poor and non-poor households that still lacked access to basic sanitation when the subsidy programs ended (Jenkins 2023, personal communication). </w:t>
      </w:r>
    </w:p>
    <w:p w:rsidR="00000000" w:rsidDel="00000000" w:rsidP="00000000" w:rsidRDefault="00000000" w:rsidRPr="00000000" w14:paraId="0000001E">
      <w:pPr>
        <w:pStyle w:val="Heading2"/>
        <w:rPr/>
      </w:pPr>
      <w:bookmarkStart w:colFirst="0" w:colLast="0" w:name="_zcqkp84mhmlm" w:id="7"/>
      <w:bookmarkEnd w:id="7"/>
      <w:r w:rsidDel="00000000" w:rsidR="00000000" w:rsidRPr="00000000">
        <w:rPr>
          <w:rtl w:val="0"/>
        </w:rPr>
        <w:t xml:space="preserve">Timing</w:t>
      </w: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The literature suggests that there is no universal approach to timing the introduction of subsidies. Rather, implementers have often based their timing on different considerations and milestones. </w:t>
      </w:r>
    </w:p>
    <w:p w:rsidR="00000000" w:rsidDel="00000000" w:rsidP="00000000" w:rsidRDefault="00000000" w:rsidRPr="00000000" w14:paraId="00000020">
      <w:pPr>
        <w:pStyle w:val="Heading3"/>
        <w:rPr/>
      </w:pPr>
      <w:bookmarkStart w:colFirst="0" w:colLast="0" w:name="_6j4tv48hazcu" w:id="8"/>
      <w:bookmarkEnd w:id="8"/>
      <w:r w:rsidDel="00000000" w:rsidR="00000000" w:rsidRPr="00000000">
        <w:rPr>
          <w:rtl w:val="0"/>
        </w:rPr>
        <w:t xml:space="preserve">After Attainment of Open Defecation Free (ODF) Status</w:t>
      </w:r>
    </w:p>
    <w:p w:rsidR="00000000" w:rsidDel="00000000" w:rsidP="00000000" w:rsidRDefault="00000000" w:rsidRPr="00000000" w14:paraId="00000021">
      <w:pPr>
        <w:rPr/>
      </w:pPr>
      <w:r w:rsidDel="00000000" w:rsidR="00000000" w:rsidRPr="00000000">
        <w:rPr>
          <w:rtl w:val="0"/>
        </w:rPr>
        <w:t xml:space="preserve">One approach is to introduce subsidies after a community has achieved ODF status (Robinson and Gnilo 2016). Developed and implemented by UNICEF in the Philippines, this “phased” approach involves first effecting ODF outcomes without any direct financial assistance to households, but rather via behavioral change programming (i.e., CLTS) to promote acceptance of building and using latrines. Subsidies are introduced only after the community has adopted the new behavior and built simple latrines to meet ODF goals, where latrine quality can range from unimproved to basic (per the definitions provided by the Joint Monitoring Program, or JMP)</w:t>
      </w:r>
      <w:r w:rsidDel="00000000" w:rsidR="00000000" w:rsidRPr="00000000">
        <w:rPr>
          <w:vertAlign w:val="superscript"/>
        </w:rPr>
        <w:footnoteReference w:customMarkFollows="0" w:id="3"/>
      </w:r>
      <w:r w:rsidDel="00000000" w:rsidR="00000000" w:rsidRPr="00000000">
        <w:rPr>
          <w:rtl w:val="0"/>
        </w:rPr>
        <w:t xml:space="preserve">.  At this stage, households facing genuine financial constraints and unable to build hygienic and durable latrines can use the subsidies to either purchase or upgrade their latrines. </w:t>
      </w:r>
    </w:p>
    <w:p w:rsidR="00000000" w:rsidDel="00000000" w:rsidP="00000000" w:rsidRDefault="00000000" w:rsidRPr="00000000" w14:paraId="00000022">
      <w:pPr>
        <w:rPr/>
      </w:pPr>
      <w:r w:rsidDel="00000000" w:rsidR="00000000" w:rsidRPr="00000000">
        <w:rPr>
          <w:rtl w:val="0"/>
        </w:rPr>
        <w:t xml:space="preserve">This approach is believed to have several advantages. First, it assumes that by delaying the introduction of subsidies until households facing genuine financial barriers can be easily identified, subsidies can serve those who actually need them and, in theory, minimize demand distortions among the non-poor (Robinson and Gnilo 2016). Second, this approach makes use of the mere-exposure effect: households, through their experience with latrine use during CLTS, may become more willing to invest in improved sanitation afterward. Furthermore, achieving ODF status can galvanize communities, motivating households to invest in further improving their latrines, as well as contribute to additional development activities (Robinson 2023, personal communication). With widespread support in the Philippines, this strategy was adopted in the country’s Phased Approach to Total Sanitation (PhATS) program, and later in the 2017 pilot subsidy program by WaterAid in Timor-Leste (UNICEF Philippines 2015; UNICEF 2016; WaterAid 2017). A similar timing strategy was pursued in 2019 by UNICEF in Northern Ghana, in which subsidies were introduced more than one year after the community had achieved ODF via CLTS measures (Trimmer et al. 2022). </w:t>
      </w:r>
    </w:p>
    <w:p w:rsidR="00000000" w:rsidDel="00000000" w:rsidP="00000000" w:rsidRDefault="00000000" w:rsidRPr="00000000" w14:paraId="00000023">
      <w:pPr>
        <w:pStyle w:val="Heading3"/>
        <w:rPr/>
      </w:pPr>
      <w:bookmarkStart w:colFirst="0" w:colLast="0" w:name="_cd9ax4uerkr0" w:id="9"/>
      <w:bookmarkEnd w:id="9"/>
      <w:r w:rsidDel="00000000" w:rsidR="00000000" w:rsidRPr="00000000">
        <w:rPr>
          <w:rtl w:val="0"/>
        </w:rPr>
        <w:t xml:space="preserve">Based on Basic Access Coverage Level</w:t>
      </w:r>
    </w:p>
    <w:p w:rsidR="00000000" w:rsidDel="00000000" w:rsidP="00000000" w:rsidRDefault="00000000" w:rsidRPr="00000000" w14:paraId="00000024">
      <w:pPr>
        <w:rPr/>
      </w:pPr>
      <w:r w:rsidDel="00000000" w:rsidR="00000000" w:rsidRPr="00000000">
        <w:rPr>
          <w:rtl w:val="0"/>
        </w:rPr>
        <w:t xml:space="preserve">In certain cases, subsidies have been introduced in local sanitation markets that already exist or have been established through past or ongoing MBS interventions. In such settings, a question facing implementers is the threshold of basic sanitation coverage—i.e., the proportion of households owning a basic latrine in a community—at which to introduce subsidies. </w:t>
      </w:r>
    </w:p>
    <w:p w:rsidR="00000000" w:rsidDel="00000000" w:rsidP="00000000" w:rsidRDefault="00000000" w:rsidRPr="00000000" w14:paraId="00000025">
      <w:pPr>
        <w:rPr/>
      </w:pPr>
      <w:r w:rsidDel="00000000" w:rsidR="00000000" w:rsidRPr="00000000">
        <w:rPr>
          <w:rtl w:val="0"/>
        </w:rPr>
        <w:t xml:space="preserve">This question holds particular significance within the context of Ethiopia. In 2011, the FMoH formally launched a CLTS campaign, with mixed results. Many latrines built by rural households during this campaign were traditional unimproved facilities made from local materials, failing to meet the standard of improved latrines. To bridge this gap, the FMoH introduced MBS in 2013 to engage the private sector in providing durable sanitation products and services to households. The government has considered introducing poverty-targeted subsidies as a complementary measure to MBS efforts (FMoH 2022). That said, the level of coverage at which subsidies should be introduced remains an open question. </w:t>
      </w:r>
    </w:p>
    <w:p w:rsidR="00000000" w:rsidDel="00000000" w:rsidP="00000000" w:rsidRDefault="00000000" w:rsidRPr="00000000" w14:paraId="00000026">
      <w:pPr>
        <w:rPr/>
      </w:pPr>
      <w:r w:rsidDel="00000000" w:rsidR="00000000" w:rsidRPr="00000000">
        <w:rPr>
          <w:rtl w:val="0"/>
        </w:rPr>
        <w:t xml:space="preserve">On one hand, there is evidence that introducing subsidies at lower village coverage levels may leave distortionary effects on demand in that community and the local sanitation market. An RCT conducted by iDE in the Kandal Province of Cambodia between 2015 and 2016 underscores the potential risks of introducing subsidies at low village coverage levels—i.e., where few if any households have basic sanitation and are aware of or have purchased the MBS latrine product packages that will be subsidized. In this study, iDE offered IDP</w:t>
      </w:r>
      <w:r w:rsidDel="00000000" w:rsidR="00000000" w:rsidRPr="00000000">
        <w:rPr>
          <w:vertAlign w:val="superscript"/>
        </w:rPr>
        <w:footnoteReference w:customMarkFollows="0" w:id="4"/>
      </w:r>
      <w:r w:rsidDel="00000000" w:rsidR="00000000" w:rsidRPr="00000000">
        <w:rPr>
          <w:rtl w:val="0"/>
        </w:rPr>
        <w:t xml:space="preserve">  1 (the poorest) households a discount of USD 25 on a USD 56 package of latrine components, IDP 2 households a USD 12.5 discount, and non-poor households no discount. The analysis found that lower village coverage rates at baseline correlate weakly with lower sales of latrines to non-poor households (iDE 2019). This finding suggests that introducing subsidies at lower basic sanitation coverage levels, especially in contexts where many non-poor households do not have a latrine, may end up suppressing demand among these households and distorting the sanitation market.</w:t>
      </w:r>
    </w:p>
    <w:p w:rsidR="00000000" w:rsidDel="00000000" w:rsidP="00000000" w:rsidRDefault="00000000" w:rsidRPr="00000000" w14:paraId="00000027">
      <w:pPr>
        <w:rPr/>
      </w:pPr>
      <w:r w:rsidDel="00000000" w:rsidR="00000000" w:rsidRPr="00000000">
        <w:rPr>
          <w:rtl w:val="0"/>
        </w:rPr>
        <w:t xml:space="preserve">However, there is prima facie evidence that introducing subsidies at lower basic coverage rates can yield positive outcomes. The RCT conducted by Guiteras, Levinsohn, and Mobarak (2015) evaluated a program that introduced subsidies in villages with 42 percent ownership rate of a hygienic latrine, and 53 percent access rate to a hygienic latrine</w:t>
      </w:r>
      <w:r w:rsidDel="00000000" w:rsidR="00000000" w:rsidRPr="00000000">
        <w:rPr>
          <w:vertAlign w:val="superscript"/>
        </w:rPr>
        <w:footnoteReference w:customMarkFollows="0" w:id="5"/>
      </w:r>
      <w:r w:rsidDel="00000000" w:rsidR="00000000" w:rsidRPr="00000000">
        <w:rPr>
          <w:rtl w:val="0"/>
        </w:rPr>
        <w:t xml:space="preserve">.  The authors found a 14 to 15 percentage point increase in access and ownership rates among households living in villages assigned to subsidy treatment</w:t>
      </w:r>
      <w:r w:rsidDel="00000000" w:rsidR="00000000" w:rsidRPr="00000000">
        <w:rPr>
          <w:vertAlign w:val="superscript"/>
        </w:rPr>
        <w:footnoteReference w:customMarkFollows="0" w:id="6"/>
      </w:r>
      <w:r w:rsidDel="00000000" w:rsidR="00000000" w:rsidRPr="00000000">
        <w:rPr>
          <w:rtl w:val="0"/>
        </w:rPr>
        <w:t xml:space="preserve">.  At the sub-village level</w:t>
      </w:r>
      <w:r w:rsidDel="00000000" w:rsidR="00000000" w:rsidRPr="00000000">
        <w:rPr>
          <w:vertAlign w:val="superscript"/>
        </w:rPr>
        <w:footnoteReference w:customMarkFollows="0" w:id="7"/>
      </w:r>
      <w:r w:rsidDel="00000000" w:rsidR="00000000" w:rsidRPr="00000000">
        <w:rPr>
          <w:rtl w:val="0"/>
        </w:rPr>
        <w:t xml:space="preserve">,  the authors observed slight increases of 15, 23, and 22 percentage points in ownership of hygienic latrines among subsidy-recipient households in neighborhoods receiving low, medium, and high voucher saturation, respectively. Access to hygienic latrines among recipient households in these respective neighborhoods followed a similar pattern, increasing by 15, 23, and 20 percentage points (Guiteras, Levinsohn, and Mobarak 2015). </w:t>
      </w:r>
      <w:r w:rsidDel="00000000" w:rsidR="00000000" w:rsidRPr="00000000">
        <w:rPr>
          <w:rtl w:val="0"/>
        </w:rPr>
        <w:t xml:space="preserve">The limitations of this study’s findings were discussed in the previous Integration section.</w:t>
      </w:r>
      <w:r w:rsidDel="00000000" w:rsidR="00000000" w:rsidRPr="00000000">
        <w:rPr>
          <w:rtl w:val="0"/>
        </w:rPr>
      </w:r>
    </w:p>
    <w:p w:rsidR="00000000" w:rsidDel="00000000" w:rsidP="00000000" w:rsidRDefault="00000000" w:rsidRPr="00000000" w14:paraId="00000028">
      <w:pPr>
        <w:pStyle w:val="Heading1"/>
        <w:spacing w:before="0" w:line="276" w:lineRule="auto"/>
        <w:ind w:left="0" w:firstLine="0"/>
        <w:rPr/>
      </w:pPr>
      <w:r w:rsidDel="00000000" w:rsidR="00000000" w:rsidRPr="00000000">
        <w:rPr>
          <w:rtl w:val="0"/>
        </w:rPr>
        <w:t xml:space="preserve">Evaluation Overview</w:t>
      </w:r>
    </w:p>
    <w:p w:rsidR="00000000" w:rsidDel="00000000" w:rsidP="00000000" w:rsidRDefault="00000000" w:rsidRPr="00000000" w14:paraId="00000029">
      <w:pPr>
        <w:spacing w:line="276" w:lineRule="auto"/>
        <w:rPr/>
      </w:pPr>
      <w:r w:rsidDel="00000000" w:rsidR="00000000" w:rsidRPr="00000000">
        <w:rPr>
          <w:rtl w:val="0"/>
        </w:rPr>
        <w:t xml:space="preserve">This randomized controlled trial (RCT), implemented through a partnership between iDE and IDinsight, evaluates the impact of integrating poverty-targeted subsidies into Market-Based Sanitation (MBS) in Ethiopia. The study addresses a critical evidence gap regarding financial measures to expand equitable access to sanitation under an area-wide sanitation (AWS) framework. Ethical approval was obtained from the Ethiopian Society of Sociologists, Social Workers, and Anthropologists (ESSSWA, </w:t>
      </w:r>
      <w:r w:rsidDel="00000000" w:rsidR="00000000" w:rsidRPr="00000000">
        <w:rPr>
          <w:rtl w:val="0"/>
        </w:rPr>
        <w:t xml:space="preserve">Reference No. ESSSWA/L/AA/05927/202</w:t>
      </w:r>
      <w:r w:rsidDel="00000000" w:rsidR="00000000" w:rsidRPr="00000000">
        <w:rPr>
          <w:rtl w:val="0"/>
        </w:rPr>
        <w:t xml:space="preserve">6)</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2A">
      <w:pPr>
        <w:pStyle w:val="Heading2"/>
        <w:spacing w:line="276" w:lineRule="auto"/>
        <w:rPr/>
      </w:pPr>
      <w:bookmarkStart w:colFirst="0" w:colLast="0" w:name="_ta15yd4al3ei" w:id="10"/>
      <w:bookmarkEnd w:id="10"/>
      <w:r w:rsidDel="00000000" w:rsidR="00000000" w:rsidRPr="00000000">
        <w:rPr>
          <w:rtl w:val="0"/>
        </w:rPr>
        <w:t xml:space="preserve">Study Country: Ethiopia</w:t>
      </w:r>
    </w:p>
    <w:p w:rsidR="00000000" w:rsidDel="00000000" w:rsidP="00000000" w:rsidRDefault="00000000" w:rsidRPr="00000000" w14:paraId="0000002B">
      <w:pPr>
        <w:rPr/>
      </w:pPr>
      <w:r w:rsidDel="00000000" w:rsidR="00000000" w:rsidRPr="00000000">
        <w:rPr>
          <w:rtl w:val="0"/>
        </w:rPr>
        <w:t xml:space="preserve">Ethiopia was selected due to the government’s commitment to ending open defecation and the existence of the National Sanitation Subsidy Protocol . The evaluation takes place in the Wolayita Zone, where iDE integrated subsidies into an MBS program that ran from March 2024 to September 2025. This program engaged sales agents, Latrine Business Owners (LBOs), and Health Extension Workers (HEWs) to stimulate supply and demand, building on previous MBS activities in the region that sold nearly 8,000 latrine slabs between 2016 and 2021.</w:t>
      </w:r>
    </w:p>
    <w:p w:rsidR="00000000" w:rsidDel="00000000" w:rsidP="00000000" w:rsidRDefault="00000000" w:rsidRPr="00000000" w14:paraId="0000002C">
      <w:pPr>
        <w:pStyle w:val="Heading2"/>
        <w:spacing w:line="276" w:lineRule="auto"/>
        <w:rPr/>
      </w:pPr>
      <w:bookmarkStart w:colFirst="0" w:colLast="0" w:name="_uh2fj4401ik7" w:id="11"/>
      <w:bookmarkEnd w:id="11"/>
      <w:r w:rsidDel="00000000" w:rsidR="00000000" w:rsidRPr="00000000">
        <w:rPr>
          <w:rtl w:val="0"/>
        </w:rPr>
        <w:t xml:space="preserve">Decision-Relevance</w:t>
      </w:r>
    </w:p>
    <w:p w:rsidR="00000000" w:rsidDel="00000000" w:rsidP="00000000" w:rsidRDefault="00000000" w:rsidRPr="00000000" w14:paraId="0000002D">
      <w:pPr>
        <w:spacing w:line="276" w:lineRule="auto"/>
        <w:jc w:val="left"/>
        <w:rPr/>
      </w:pPr>
      <w:r w:rsidDel="00000000" w:rsidR="00000000" w:rsidRPr="00000000">
        <w:rPr>
          <w:rtl w:val="0"/>
        </w:rPr>
        <w:t xml:space="preserve">The study aims to generate decision-relevant evidence for key stakeholders:</w:t>
      </w:r>
    </w:p>
    <w:p w:rsidR="00000000" w:rsidDel="00000000" w:rsidP="00000000" w:rsidRDefault="00000000" w:rsidRPr="00000000" w14:paraId="0000002E">
      <w:pPr>
        <w:numPr>
          <w:ilvl w:val="0"/>
          <w:numId w:val="14"/>
        </w:numPr>
        <w:spacing w:after="0" w:afterAutospacing="0" w:line="276" w:lineRule="auto"/>
        <w:ind w:left="720" w:hanging="360"/>
        <w:jc w:val="left"/>
      </w:pPr>
      <w:r w:rsidDel="00000000" w:rsidR="00000000" w:rsidRPr="00000000">
        <w:rPr>
          <w:b w:val="1"/>
          <w:bCs w:val="1"/>
          <w:rtl w:val="0"/>
        </w:rPr>
        <w:t xml:space="preserve">Federal Ministry of Health (FMoH):</w:t>
      </w:r>
      <w:r w:rsidDel="00000000" w:rsidR="00000000" w:rsidRPr="00000000">
        <w:rPr>
          <w:rtl w:val="0"/>
        </w:rPr>
        <w:t xml:space="preserve"> Findings will inform the scale-up of the National Sanitation Subsidy Protocol to achieve 60% basic sanitation coverage . Specifically, the study assesses the cost-efficacy of subsidies and potential spillover effects on the local market to refine targeting and implementation strategies .</w:t>
      </w:r>
    </w:p>
    <w:p w:rsidR="00000000" w:rsidDel="00000000" w:rsidP="00000000" w:rsidRDefault="00000000" w:rsidRPr="00000000" w14:paraId="0000002F">
      <w:pPr>
        <w:numPr>
          <w:ilvl w:val="0"/>
          <w:numId w:val="14"/>
        </w:numPr>
        <w:spacing w:after="0" w:afterAutospacing="0" w:before="0" w:beforeAutospacing="0" w:line="276" w:lineRule="auto"/>
        <w:ind w:left="720" w:hanging="360"/>
        <w:jc w:val="left"/>
      </w:pPr>
      <w:r w:rsidDel="00000000" w:rsidR="00000000" w:rsidRPr="00000000">
        <w:rPr>
          <w:b w:val="1"/>
          <w:bCs w:val="1"/>
          <w:rtl w:val="0"/>
        </w:rPr>
        <w:t xml:space="preserve">iDE:</w:t>
      </w:r>
      <w:r w:rsidDel="00000000" w:rsidR="00000000" w:rsidRPr="00000000">
        <w:rPr>
          <w:rtl w:val="0"/>
        </w:rPr>
        <w:t xml:space="preserve"> Evidence will support the design of inclusive market systems intended to reach 60,000 people in the region, ensuring that the poorest households are not left out by purely market-based approaches .</w:t>
      </w:r>
    </w:p>
    <w:p w:rsidR="00000000" w:rsidDel="00000000" w:rsidP="00000000" w:rsidRDefault="00000000" w:rsidRPr="00000000" w14:paraId="00000030">
      <w:pPr>
        <w:numPr>
          <w:ilvl w:val="0"/>
          <w:numId w:val="14"/>
        </w:numPr>
        <w:spacing w:before="0" w:beforeAutospacing="0" w:line="276" w:lineRule="auto"/>
        <w:ind w:left="720" w:hanging="360"/>
        <w:jc w:val="left"/>
      </w:pPr>
      <w:r w:rsidDel="00000000" w:rsidR="00000000" w:rsidRPr="00000000">
        <w:rPr>
          <w:b w:val="1"/>
          <w:bCs w:val="1"/>
          <w:rtl w:val="0"/>
        </w:rPr>
        <w:t xml:space="preserve">Sanitation Sector:</w:t>
      </w:r>
      <w:r w:rsidDel="00000000" w:rsidR="00000000" w:rsidRPr="00000000">
        <w:rPr>
          <w:rtl w:val="0"/>
        </w:rPr>
        <w:t xml:space="preserve"> The study addresses the limited evidence base in Sub-Saharan Africa regarding the impact of subsidies on nascent markets, specifically examining spillovers and the optimal sanitation coverage thresholds for introducing subsidies .</w:t>
      </w:r>
    </w:p>
    <w:p w:rsidR="00000000" w:rsidDel="00000000" w:rsidP="00000000" w:rsidRDefault="00000000" w:rsidRPr="00000000" w14:paraId="00000031">
      <w:pPr>
        <w:pStyle w:val="Heading2"/>
        <w:spacing w:line="276" w:lineRule="auto"/>
        <w:jc w:val="left"/>
        <w:rPr/>
      </w:pPr>
      <w:bookmarkStart w:colFirst="0" w:colLast="0" w:name="_hp7qgx8qmf5d" w:id="12"/>
      <w:bookmarkEnd w:id="12"/>
      <w:r w:rsidDel="00000000" w:rsidR="00000000" w:rsidRPr="00000000">
        <w:rPr>
          <w:rtl w:val="0"/>
        </w:rPr>
        <w:t xml:space="preserve">Subsidy Intervention</w:t>
      </w:r>
    </w:p>
    <w:p w:rsidR="00000000" w:rsidDel="00000000" w:rsidP="00000000" w:rsidRDefault="00000000" w:rsidRPr="00000000" w14:paraId="00000032">
      <w:pPr>
        <w:rPr/>
      </w:pPr>
      <w:r w:rsidDel="00000000" w:rsidR="00000000" w:rsidRPr="00000000">
        <w:rPr>
          <w:rtl w:val="0"/>
        </w:rPr>
        <w:t xml:space="preserve">A subsidy in the form of a discount on the price of selected components of the latrines was offered to all households in the treatment villages that meet specific eligibility criteria. The rollout of these subsidies took place between January and February 2025. </w:t>
      </w:r>
    </w:p>
    <w:p w:rsidR="00000000" w:rsidDel="00000000" w:rsidP="00000000" w:rsidRDefault="00000000" w:rsidRPr="00000000" w14:paraId="00000033">
      <w:pPr>
        <w:rPr/>
      </w:pPr>
      <w:r w:rsidDel="00000000" w:rsidR="00000000" w:rsidRPr="00000000">
        <w:rPr>
          <w:rtl w:val="0"/>
        </w:rPr>
        <w:t xml:space="preserve">iDE’s network of sales agents offered discount prices to eligible households during iDE’s door-to-door latrine sales process. </w:t>
      </w:r>
    </w:p>
    <w:p w:rsidR="00000000" w:rsidDel="00000000" w:rsidP="00000000" w:rsidRDefault="00000000" w:rsidRPr="00000000" w14:paraId="00000034">
      <w:pPr>
        <w:pStyle w:val="Heading3"/>
        <w:rPr/>
      </w:pPr>
      <w:bookmarkStart w:colFirst="0" w:colLast="0" w:name="_xnj5pfnzn3r2" w:id="13"/>
      <w:bookmarkEnd w:id="13"/>
      <w:r w:rsidDel="00000000" w:rsidR="00000000" w:rsidRPr="00000000">
        <w:rPr>
          <w:rtl w:val="0"/>
        </w:rPr>
        <w:t xml:space="preserve">Subsidized Products</w:t>
      </w:r>
    </w:p>
    <w:p w:rsidR="00000000" w:rsidDel="00000000" w:rsidP="00000000" w:rsidRDefault="00000000" w:rsidRPr="00000000" w14:paraId="00000035">
      <w:pPr>
        <w:rPr/>
      </w:pPr>
      <w:r w:rsidDel="00000000" w:rsidR="00000000" w:rsidRPr="00000000">
        <w:rPr>
          <w:rtl w:val="0"/>
        </w:rPr>
        <w:t xml:space="preserve">iDE offered one of two subsidized latrine product options to households in villages without collapsing soils:</w:t>
      </w:r>
    </w:p>
    <w:p w:rsidR="00000000" w:rsidDel="00000000" w:rsidP="00000000" w:rsidRDefault="00000000" w:rsidRPr="00000000" w14:paraId="00000036">
      <w:pPr>
        <w:numPr>
          <w:ilvl w:val="0"/>
          <w:numId w:val="19"/>
        </w:numPr>
        <w:spacing w:after="0" w:afterAutospacing="0"/>
        <w:ind w:left="720" w:hanging="360"/>
        <w:rPr>
          <w:u w:val="none"/>
        </w:rPr>
      </w:pPr>
      <w:r w:rsidDel="00000000" w:rsidR="00000000" w:rsidRPr="00000000">
        <w:rPr>
          <w:rtl w:val="0"/>
        </w:rPr>
        <w:t xml:space="preserve">A concrete slab with lid, and</w:t>
      </w:r>
    </w:p>
    <w:p w:rsidR="00000000" w:rsidDel="00000000" w:rsidP="00000000" w:rsidRDefault="00000000" w:rsidRPr="00000000" w14:paraId="00000037">
      <w:pPr>
        <w:numPr>
          <w:ilvl w:val="0"/>
          <w:numId w:val="19"/>
        </w:numPr>
        <w:spacing w:before="0" w:beforeAutospacing="0"/>
        <w:ind w:left="720" w:hanging="360"/>
        <w:rPr>
          <w:u w:val="none"/>
        </w:rPr>
      </w:pPr>
      <w:r w:rsidDel="00000000" w:rsidR="00000000" w:rsidRPr="00000000">
        <w:rPr>
          <w:rtl w:val="0"/>
        </w:rPr>
        <w:t xml:space="preserve">A concrete slab with a Safe Toilet (“SaTo”) plastic pan. </w:t>
      </w:r>
    </w:p>
    <w:p w:rsidR="00000000" w:rsidDel="00000000" w:rsidP="00000000" w:rsidRDefault="00000000" w:rsidRPr="00000000" w14:paraId="00000038">
      <w:pPr>
        <w:rPr/>
      </w:pPr>
      <w:r w:rsidDel="00000000" w:rsidR="00000000" w:rsidRPr="00000000">
        <w:rPr>
          <w:rtl w:val="0"/>
        </w:rPr>
        <w:t xml:space="preserve">In villages with collapsing soils, pit latrines face a risk of structural failure unless the pits are reinforced with linings. In these areas, iDE included subsidized pit linings as part of the subsidy product package offered to households, resulting in two modified options:</w:t>
      </w:r>
    </w:p>
    <w:p w:rsidR="00000000" w:rsidDel="00000000" w:rsidP="00000000" w:rsidRDefault="00000000" w:rsidRPr="00000000" w14:paraId="00000039">
      <w:pPr>
        <w:numPr>
          <w:ilvl w:val="0"/>
          <w:numId w:val="18"/>
        </w:numPr>
        <w:spacing w:after="0" w:afterAutospacing="0"/>
        <w:ind w:left="720" w:hanging="360"/>
        <w:rPr>
          <w:u w:val="none"/>
        </w:rPr>
      </w:pPr>
      <w:r w:rsidDel="00000000" w:rsidR="00000000" w:rsidRPr="00000000">
        <w:rPr>
          <w:rtl w:val="0"/>
        </w:rPr>
        <w:t xml:space="preserve">A concrete slab with lid and concrete ring pit lining, and</w:t>
      </w:r>
    </w:p>
    <w:p w:rsidR="00000000" w:rsidDel="00000000" w:rsidP="00000000" w:rsidRDefault="00000000" w:rsidRPr="00000000" w14:paraId="0000003A">
      <w:pPr>
        <w:numPr>
          <w:ilvl w:val="0"/>
          <w:numId w:val="18"/>
        </w:numPr>
        <w:spacing w:before="0" w:beforeAutospacing="0"/>
        <w:ind w:left="720" w:hanging="360"/>
        <w:rPr>
          <w:u w:val="none"/>
        </w:rPr>
      </w:pPr>
      <w:r w:rsidDel="00000000" w:rsidR="00000000" w:rsidRPr="00000000">
        <w:rPr>
          <w:rtl w:val="0"/>
        </w:rPr>
        <w:t xml:space="preserve">A concrete slab with SaTo pan and concrete ring pit lining.</w:t>
      </w:r>
    </w:p>
    <w:p w:rsidR="00000000" w:rsidDel="00000000" w:rsidP="00000000" w:rsidRDefault="00000000" w:rsidRPr="00000000" w14:paraId="0000003B">
      <w:pPr>
        <w:rPr/>
      </w:pPr>
      <w:r w:rsidDel="00000000" w:rsidR="00000000" w:rsidRPr="00000000">
        <w:rPr>
          <w:rtl w:val="0"/>
        </w:rPr>
        <w:t xml:space="preserve">The lists of villages with collapsible soils were collected during household listing and were used to identify the villages where pit linings will be offered as part of the package.</w:t>
      </w:r>
    </w:p>
    <w:p w:rsidR="00000000" w:rsidDel="00000000" w:rsidP="00000000" w:rsidRDefault="00000000" w:rsidRPr="00000000" w14:paraId="0000003C">
      <w:pPr>
        <w:pStyle w:val="Heading3"/>
        <w:rPr/>
      </w:pPr>
      <w:bookmarkStart w:colFirst="0" w:colLast="0" w:name="_lxy6qabqy3k" w:id="14"/>
      <w:bookmarkEnd w:id="14"/>
      <w:r w:rsidDel="00000000" w:rsidR="00000000" w:rsidRPr="00000000">
        <w:rPr>
          <w:rtl w:val="0"/>
        </w:rPr>
        <w:t xml:space="preserve">Subsidized Amounts</w:t>
      </w:r>
    </w:p>
    <w:p w:rsidR="00000000" w:rsidDel="00000000" w:rsidP="00000000" w:rsidRDefault="00000000" w:rsidRPr="00000000" w14:paraId="0000003D">
      <w:pPr>
        <w:rPr/>
      </w:pPr>
      <w:r w:rsidDel="00000000" w:rsidR="00000000" w:rsidRPr="00000000">
        <w:rPr>
          <w:rtl w:val="0"/>
        </w:rPr>
        <w:t xml:space="preserve">Table 1 provides an overview of the product costs and expected household contributions linked to the four subsidized packages iDE offered. For the majority of subsidized households, the subsidy rate was set at around 60 percent, in compliance with the FMoH’s National Sanitation Subsidy Protocol. The subsidized amount was inclusive of the cost of the product, installation, and the cost of transportation, estimated to be Ethiopian Birr (ETB) 300.</w:t>
      </w:r>
    </w:p>
    <w:p w:rsidR="00000000" w:rsidDel="00000000" w:rsidP="00000000" w:rsidRDefault="00000000" w:rsidRPr="00000000" w14:paraId="0000003E">
      <w:pPr>
        <w:rPr/>
      </w:pPr>
      <w:r w:rsidDel="00000000" w:rsidR="00000000" w:rsidRPr="00000000">
        <w:rPr>
          <w:rtl w:val="0"/>
        </w:rPr>
      </w:r>
    </w:p>
    <w:tbl>
      <w:tblPr>
        <w:tblStyle w:val="Table2"/>
        <w:tblW w:w="93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15.856777493606"/>
        <w:gridCol w:w="2884.6035805626598"/>
        <w:gridCol w:w="3112.020460358056"/>
        <w:gridCol w:w="1747.5191815856779"/>
        <w:tblGridChange w:id="0">
          <w:tblGrid>
            <w:gridCol w:w="1615.856777493606"/>
            <w:gridCol w:w="2884.6035805626598"/>
            <w:gridCol w:w="3112.020460358056"/>
            <w:gridCol w:w="1747.5191815856779"/>
          </w:tblGrid>
        </w:tblGridChange>
      </w:tblGrid>
      <w:tr>
        <w:trPr>
          <w:cantSplit w:val="0"/>
          <w:trHeight w:val="390" w:hRule="atLeast"/>
          <w:tblHeader w:val="0"/>
        </w:trPr>
        <w:tc>
          <w:tcPr>
            <w:gridSpan w:val="4"/>
            <w:tcBorders>
              <w:top w:color="000000" w:space="0" w:sz="6" w:val="single"/>
              <w:left w:color="ffffff" w:space="0" w:sz="6" w:val="single"/>
              <w:bottom w:color="000000" w:space="0" w:sz="6" w:val="single"/>
              <w:right w:color="ffffff" w:space="0" w:sz="6" w:val="single"/>
            </w:tcBorders>
            <w:shd w:fill="1c2f62" w:val="clear"/>
            <w:tcMar>
              <w:top w:w="0.0" w:type="dxa"/>
              <w:left w:w="80.0" w:type="dxa"/>
              <w:bottom w:w="0.0" w:type="dxa"/>
              <w:right w:w="80.0" w:type="dxa"/>
            </w:tcMar>
            <w:vAlign w:val="top"/>
          </w:tcPr>
          <w:p w:rsidR="00000000" w:rsidDel="00000000" w:rsidP="00000000" w:rsidRDefault="00000000" w:rsidRPr="00000000" w14:paraId="0000003F">
            <w:pPr>
              <w:spacing w:after="160" w:before="0" w:lineRule="auto"/>
              <w:rPr>
                <w:b w:val="1"/>
                <w:bCs w:val="1"/>
                <w:color w:val="ffffff"/>
                <w:sz w:val="18"/>
                <w:szCs w:val="18"/>
              </w:rPr>
            </w:pPr>
            <w:r w:rsidDel="00000000" w:rsidR="00000000" w:rsidRPr="00000000">
              <w:rPr>
                <w:b w:val="1"/>
                <w:bCs w:val="1"/>
                <w:color w:val="ffffff"/>
                <w:sz w:val="18"/>
                <w:szCs w:val="18"/>
                <w:rtl w:val="0"/>
              </w:rPr>
              <w:t xml:space="preserve">TABLE 1: PRODUCT AND HOUSEHOLD CONTRIBUTION AMOUNTS FOR SUBSIDIZED PACKAGES</w:t>
            </w:r>
            <w:r w:rsidDel="00000000" w:rsidR="00000000" w:rsidRPr="00000000">
              <w:rPr>
                <w:b w:val="1"/>
                <w:bCs w:val="1"/>
                <w:color w:val="ffffff"/>
                <w:sz w:val="18"/>
                <w:szCs w:val="18"/>
                <w:vertAlign w:val="superscript"/>
              </w:rPr>
              <w:footnoteReference w:customMarkFollows="0" w:id="8"/>
            </w:r>
            <w:r w:rsidDel="00000000" w:rsidR="00000000" w:rsidRPr="00000000">
              <w:rPr>
                <w:rtl w:val="0"/>
              </w:rPr>
            </w:r>
          </w:p>
        </w:tc>
      </w:tr>
      <w:tr>
        <w:trPr>
          <w:cantSplit w:val="0"/>
          <w:trHeight w:val="810" w:hRule="atLeast"/>
          <w:tblHeader w:val="0"/>
        </w:trPr>
        <w:tc>
          <w:tcPr>
            <w:tcBorders>
              <w:top w:color="000000" w:space="0" w:sz="0" w:val="nil"/>
              <w:left w:color="ffffff" w:space="0" w:sz="6" w:val="single"/>
              <w:bottom w:color="000000" w:space="0" w:sz="6" w:val="single"/>
              <w:right w:color="000000" w:space="0" w:sz="6" w:val="single"/>
            </w:tcBorders>
            <w:shd w:fill="1c2f62" w:val="clear"/>
            <w:tcMar>
              <w:top w:w="0.0" w:type="dxa"/>
              <w:left w:w="80.0" w:type="dxa"/>
              <w:bottom w:w="0.0" w:type="dxa"/>
              <w:right w:w="80.0" w:type="dxa"/>
            </w:tcMar>
            <w:vAlign w:val="top"/>
          </w:tcPr>
          <w:p w:rsidR="00000000" w:rsidDel="00000000" w:rsidP="00000000" w:rsidRDefault="00000000" w:rsidRPr="00000000" w14:paraId="00000043">
            <w:pPr>
              <w:spacing w:after="160" w:before="0" w:lineRule="auto"/>
              <w:jc w:val="center"/>
              <w:rPr>
                <w:b w:val="1"/>
                <w:bCs w:val="1"/>
                <w:color w:val="ffffff"/>
                <w:sz w:val="18"/>
                <w:szCs w:val="18"/>
              </w:rPr>
            </w:pPr>
            <w:r w:rsidDel="00000000" w:rsidR="00000000" w:rsidRPr="00000000">
              <w:rPr>
                <w:b w:val="1"/>
                <w:bCs w:val="1"/>
                <w:color w:val="ffffff"/>
                <w:sz w:val="18"/>
                <w:szCs w:val="18"/>
                <w:rtl w:val="0"/>
              </w:rPr>
              <w:t xml:space="preserve">PRODUCT NAME</w:t>
            </w:r>
          </w:p>
        </w:tc>
        <w:tc>
          <w:tcPr>
            <w:tcBorders>
              <w:top w:color="000000" w:space="0" w:sz="0" w:val="nil"/>
              <w:left w:color="000000" w:space="0" w:sz="0" w:val="nil"/>
              <w:bottom w:color="000000" w:space="0" w:sz="6" w:val="single"/>
              <w:right w:color="000000" w:space="0" w:sz="6" w:val="single"/>
            </w:tcBorders>
            <w:shd w:fill="1c2f62" w:val="clear"/>
            <w:tcMar>
              <w:top w:w="0.0" w:type="dxa"/>
              <w:left w:w="80.0" w:type="dxa"/>
              <w:bottom w:w="0.0" w:type="dxa"/>
              <w:right w:w="80.0" w:type="dxa"/>
            </w:tcMar>
            <w:vAlign w:val="top"/>
          </w:tcPr>
          <w:p w:rsidR="00000000" w:rsidDel="00000000" w:rsidP="00000000" w:rsidRDefault="00000000" w:rsidRPr="00000000" w14:paraId="00000044">
            <w:pPr>
              <w:spacing w:after="160" w:before="0" w:lineRule="auto"/>
              <w:jc w:val="center"/>
              <w:rPr>
                <w:b w:val="1"/>
                <w:bCs w:val="1"/>
                <w:color w:val="ffffff"/>
                <w:sz w:val="18"/>
                <w:szCs w:val="18"/>
              </w:rPr>
            </w:pPr>
            <w:r w:rsidDel="00000000" w:rsidR="00000000" w:rsidRPr="00000000">
              <w:rPr>
                <w:b w:val="1"/>
                <w:bCs w:val="1"/>
                <w:color w:val="ffffff"/>
                <w:sz w:val="18"/>
                <w:szCs w:val="18"/>
                <w:rtl w:val="0"/>
              </w:rPr>
              <w:t xml:space="preserve">TOTAL PRODUCT AMOUNT (INCLUDING INSTALLATION AND TRANSPORT)</w:t>
            </w:r>
          </w:p>
        </w:tc>
        <w:tc>
          <w:tcPr>
            <w:tcBorders>
              <w:top w:color="000000" w:space="0" w:sz="0" w:val="nil"/>
              <w:left w:color="000000" w:space="0" w:sz="0" w:val="nil"/>
              <w:bottom w:color="000000" w:space="0" w:sz="6" w:val="single"/>
              <w:right w:color="000000" w:space="0" w:sz="6" w:val="single"/>
            </w:tcBorders>
            <w:shd w:fill="1c2f62" w:val="clear"/>
            <w:tcMar>
              <w:top w:w="0.0" w:type="dxa"/>
              <w:left w:w="80.0" w:type="dxa"/>
              <w:bottom w:w="0.0" w:type="dxa"/>
              <w:right w:w="80.0" w:type="dxa"/>
            </w:tcMar>
            <w:vAlign w:val="top"/>
          </w:tcPr>
          <w:p w:rsidR="00000000" w:rsidDel="00000000" w:rsidP="00000000" w:rsidRDefault="00000000" w:rsidRPr="00000000" w14:paraId="00000045">
            <w:pPr>
              <w:spacing w:after="160" w:before="0" w:lineRule="auto"/>
              <w:jc w:val="center"/>
              <w:rPr>
                <w:b w:val="1"/>
                <w:bCs w:val="1"/>
                <w:color w:val="ffffff"/>
                <w:sz w:val="18"/>
                <w:szCs w:val="18"/>
                <w:vertAlign w:val="superscript"/>
              </w:rPr>
            </w:pPr>
            <w:r w:rsidDel="00000000" w:rsidR="00000000" w:rsidRPr="00000000">
              <w:rPr>
                <w:b w:val="1"/>
                <w:bCs w:val="1"/>
                <w:color w:val="ffffff"/>
                <w:sz w:val="18"/>
                <w:szCs w:val="18"/>
                <w:rtl w:val="0"/>
              </w:rPr>
              <w:t xml:space="preserve">HOUSEHOLD CONTRIBUTION AMOUNT</w:t>
            </w:r>
            <w:r w:rsidDel="00000000" w:rsidR="00000000" w:rsidRPr="00000000">
              <w:rPr>
                <w:b w:val="1"/>
                <w:bCs w:val="1"/>
                <w:color w:val="ffffff"/>
                <w:sz w:val="18"/>
                <w:szCs w:val="18"/>
                <w:vertAlign w:val="superscript"/>
              </w:rPr>
              <w:footnoteReference w:customMarkFollows="0" w:id="9"/>
            </w:r>
            <w:r w:rsidDel="00000000" w:rsidR="00000000" w:rsidRPr="00000000">
              <w:rPr>
                <w:rtl w:val="0"/>
              </w:rPr>
            </w:r>
          </w:p>
        </w:tc>
        <w:tc>
          <w:tcPr>
            <w:tcBorders>
              <w:top w:color="000000" w:space="0" w:sz="0" w:val="nil"/>
              <w:left w:color="000000" w:space="0" w:sz="0" w:val="nil"/>
              <w:bottom w:color="000000" w:space="0" w:sz="6" w:val="single"/>
              <w:right w:color="ffffff" w:space="0" w:sz="6" w:val="single"/>
            </w:tcBorders>
            <w:shd w:fill="1c2f62" w:val="clear"/>
            <w:tcMar>
              <w:top w:w="0.0" w:type="dxa"/>
              <w:left w:w="80.0" w:type="dxa"/>
              <w:bottom w:w="0.0" w:type="dxa"/>
              <w:right w:w="80.0" w:type="dxa"/>
            </w:tcMar>
            <w:vAlign w:val="top"/>
          </w:tcPr>
          <w:p w:rsidR="00000000" w:rsidDel="00000000" w:rsidP="00000000" w:rsidRDefault="00000000" w:rsidRPr="00000000" w14:paraId="00000046">
            <w:pPr>
              <w:spacing w:after="160" w:before="0" w:lineRule="auto"/>
              <w:jc w:val="center"/>
              <w:rPr>
                <w:b w:val="1"/>
                <w:bCs w:val="1"/>
                <w:color w:val="ffffff"/>
                <w:sz w:val="18"/>
                <w:szCs w:val="18"/>
              </w:rPr>
            </w:pPr>
            <w:r w:rsidDel="00000000" w:rsidR="00000000" w:rsidRPr="00000000">
              <w:rPr>
                <w:b w:val="1"/>
                <w:bCs w:val="1"/>
                <w:color w:val="ffffff"/>
                <w:sz w:val="18"/>
                <w:szCs w:val="18"/>
                <w:rtl w:val="0"/>
              </w:rPr>
              <w:t xml:space="preserve">HOUSEHOLD CONTRIBUTION RATE*</w:t>
            </w:r>
          </w:p>
        </w:tc>
      </w:tr>
      <w:tr>
        <w:trPr>
          <w:cantSplit w:val="0"/>
          <w:trHeight w:val="855" w:hRule="atLeast"/>
          <w:tblHeader w:val="0"/>
        </w:trPr>
        <w:tc>
          <w:tcPr>
            <w:tcBorders>
              <w:top w:color="000000" w:space="0" w:sz="0" w:val="nil"/>
              <w:left w:color="ffffff" w:space="0" w:sz="6" w:val="single"/>
              <w:bottom w:color="000000" w:space="0" w:sz="6" w:val="single"/>
              <w:right w:color="000000" w:space="0" w:sz="6" w:val="single"/>
            </w:tcBorders>
            <w:shd w:fill="auto" w:val="clear"/>
            <w:tcMar>
              <w:top w:w="0.0" w:type="dxa"/>
              <w:left w:w="80.0" w:type="dxa"/>
              <w:bottom w:w="0.0" w:type="dxa"/>
              <w:right w:w="80.0" w:type="dxa"/>
            </w:tcMar>
            <w:vAlign w:val="top"/>
          </w:tcPr>
          <w:p w:rsidR="00000000" w:rsidDel="00000000" w:rsidP="00000000" w:rsidRDefault="00000000" w:rsidRPr="00000000" w14:paraId="00000047">
            <w:pPr>
              <w:spacing w:after="40" w:before="40" w:lineRule="auto"/>
              <w:jc w:val="center"/>
              <w:rPr>
                <w:sz w:val="18"/>
                <w:szCs w:val="18"/>
              </w:rPr>
            </w:pPr>
            <w:r w:rsidDel="00000000" w:rsidR="00000000" w:rsidRPr="00000000">
              <w:rPr>
                <w:sz w:val="18"/>
                <w:szCs w:val="18"/>
                <w:rtl w:val="0"/>
              </w:rPr>
              <w:t xml:space="preserve">Concrete slab with lid</w:t>
            </w:r>
          </w:p>
        </w:tc>
        <w:tc>
          <w:tcPr>
            <w:tcBorders>
              <w:top w:color="000000" w:space="0" w:sz="0" w:val="nil"/>
              <w:left w:color="000000" w:space="0" w:sz="0" w:val="nil"/>
              <w:bottom w:color="000000" w:space="0" w:sz="6" w:val="single"/>
              <w:right w:color="000000" w:space="0" w:sz="6" w:val="single"/>
            </w:tcBorders>
            <w:shd w:fill="auto" w:val="clear"/>
            <w:tcMar>
              <w:top w:w="0.0" w:type="dxa"/>
              <w:left w:w="80.0" w:type="dxa"/>
              <w:bottom w:w="0.0" w:type="dxa"/>
              <w:right w:w="80.0" w:type="dxa"/>
            </w:tcMar>
            <w:vAlign w:val="top"/>
          </w:tcPr>
          <w:p w:rsidR="00000000" w:rsidDel="00000000" w:rsidP="00000000" w:rsidRDefault="00000000" w:rsidRPr="00000000" w14:paraId="00000048">
            <w:pPr>
              <w:numPr>
                <w:ilvl w:val="0"/>
                <w:numId w:val="16"/>
              </w:numPr>
              <w:spacing w:after="40" w:before="40" w:lineRule="auto"/>
              <w:ind w:left="720" w:hanging="360"/>
              <w:rPr>
                <w:sz w:val="18"/>
                <w:szCs w:val="18"/>
                <w:u w:val="none"/>
              </w:rPr>
            </w:pPr>
            <w:r w:rsidDel="00000000" w:rsidR="00000000" w:rsidRPr="00000000">
              <w:rPr>
                <w:sz w:val="18"/>
                <w:szCs w:val="18"/>
                <w:rtl w:val="0"/>
              </w:rPr>
              <w:t xml:space="preserve">ETB 2034 for the concrete slab with lid (USD 35.77)</w:t>
            </w:r>
          </w:p>
        </w:tc>
        <w:tc>
          <w:tcPr>
            <w:tcBorders>
              <w:top w:color="000000" w:space="0" w:sz="0" w:val="nil"/>
              <w:left w:color="000000" w:space="0" w:sz="0" w:val="nil"/>
              <w:bottom w:color="000000" w:space="0" w:sz="6" w:val="single"/>
              <w:right w:color="000000" w:space="0" w:sz="6" w:val="single"/>
            </w:tcBorders>
            <w:shd w:fill="auto" w:val="clear"/>
            <w:tcMar>
              <w:top w:w="0.0" w:type="dxa"/>
              <w:left w:w="80.0" w:type="dxa"/>
              <w:bottom w:w="0.0" w:type="dxa"/>
              <w:right w:w="80.0" w:type="dxa"/>
            </w:tcMar>
            <w:vAlign w:val="top"/>
          </w:tcPr>
          <w:p w:rsidR="00000000" w:rsidDel="00000000" w:rsidP="00000000" w:rsidRDefault="00000000" w:rsidRPr="00000000" w14:paraId="00000049">
            <w:pPr>
              <w:numPr>
                <w:ilvl w:val="0"/>
                <w:numId w:val="16"/>
              </w:numPr>
              <w:spacing w:after="0" w:afterAutospacing="0" w:before="40" w:lineRule="auto"/>
              <w:ind w:left="720" w:hanging="360"/>
              <w:rPr>
                <w:sz w:val="18"/>
                <w:szCs w:val="18"/>
                <w:u w:val="none"/>
              </w:rPr>
            </w:pPr>
            <w:r w:rsidDel="00000000" w:rsidR="00000000" w:rsidRPr="00000000">
              <w:rPr>
                <w:sz w:val="18"/>
                <w:szCs w:val="18"/>
                <w:rtl w:val="0"/>
              </w:rPr>
              <w:t xml:space="preserve">Total: ETB 1200 (USD 21.11)</w:t>
            </w:r>
          </w:p>
          <w:p w:rsidR="00000000" w:rsidDel="00000000" w:rsidP="00000000" w:rsidRDefault="00000000" w:rsidRPr="00000000" w14:paraId="0000004A">
            <w:pPr>
              <w:numPr>
                <w:ilvl w:val="0"/>
                <w:numId w:val="16"/>
              </w:numPr>
              <w:spacing w:after="0" w:afterAutospacing="0" w:before="0" w:beforeAutospacing="0" w:lineRule="auto"/>
              <w:ind w:left="720" w:hanging="360"/>
              <w:rPr>
                <w:sz w:val="18"/>
                <w:szCs w:val="18"/>
                <w:u w:val="none"/>
              </w:rPr>
            </w:pPr>
            <w:r w:rsidDel="00000000" w:rsidR="00000000" w:rsidRPr="00000000">
              <w:rPr>
                <w:sz w:val="18"/>
                <w:szCs w:val="18"/>
                <w:rtl w:val="0"/>
              </w:rPr>
              <w:t xml:space="preserve">Cash: ETB 300 (USD 5.28)</w:t>
            </w:r>
          </w:p>
          <w:p w:rsidR="00000000" w:rsidDel="00000000" w:rsidP="00000000" w:rsidRDefault="00000000" w:rsidRPr="00000000" w14:paraId="0000004B">
            <w:pPr>
              <w:numPr>
                <w:ilvl w:val="0"/>
                <w:numId w:val="16"/>
              </w:numPr>
              <w:spacing w:after="40" w:before="0" w:beforeAutospacing="0" w:lineRule="auto"/>
              <w:ind w:left="720" w:hanging="360"/>
              <w:rPr>
                <w:sz w:val="18"/>
                <w:szCs w:val="18"/>
                <w:u w:val="none"/>
              </w:rPr>
            </w:pPr>
            <w:r w:rsidDel="00000000" w:rsidR="00000000" w:rsidRPr="00000000">
              <w:rPr>
                <w:sz w:val="18"/>
                <w:szCs w:val="18"/>
                <w:rtl w:val="0"/>
              </w:rPr>
              <w:t xml:space="preserve">Pit digging: ETB 900 (USD 15.83)</w:t>
            </w:r>
          </w:p>
        </w:tc>
        <w:tc>
          <w:tcPr>
            <w:tcBorders>
              <w:top w:color="000000" w:space="0" w:sz="0" w:val="nil"/>
              <w:left w:color="000000" w:space="0" w:sz="0" w:val="nil"/>
              <w:bottom w:color="000000" w:space="0" w:sz="6" w:val="single"/>
              <w:right w:color="ffffff" w:space="0" w:sz="6" w:val="single"/>
            </w:tcBorders>
            <w:shd w:fill="auto" w:val="clear"/>
            <w:tcMar>
              <w:top w:w="0.0" w:type="dxa"/>
              <w:left w:w="80.0" w:type="dxa"/>
              <w:bottom w:w="0.0" w:type="dxa"/>
              <w:right w:w="80.0" w:type="dxa"/>
            </w:tcMar>
            <w:vAlign w:val="top"/>
          </w:tcPr>
          <w:p w:rsidR="00000000" w:rsidDel="00000000" w:rsidP="00000000" w:rsidRDefault="00000000" w:rsidRPr="00000000" w14:paraId="0000004C">
            <w:pPr>
              <w:spacing w:after="40" w:before="40" w:lineRule="auto"/>
              <w:jc w:val="center"/>
              <w:rPr>
                <w:sz w:val="18"/>
                <w:szCs w:val="18"/>
              </w:rPr>
            </w:pPr>
            <w:r w:rsidDel="00000000" w:rsidR="00000000" w:rsidRPr="00000000">
              <w:rPr>
                <w:sz w:val="18"/>
                <w:szCs w:val="18"/>
                <w:rtl w:val="0"/>
              </w:rPr>
              <w:t xml:space="preserve">40.90%</w:t>
            </w:r>
          </w:p>
        </w:tc>
      </w:tr>
      <w:tr>
        <w:trPr>
          <w:cantSplit w:val="0"/>
          <w:trHeight w:val="855" w:hRule="atLeast"/>
          <w:tblHeader w:val="0"/>
        </w:trPr>
        <w:tc>
          <w:tcPr>
            <w:tcBorders>
              <w:top w:color="000000" w:space="0" w:sz="0" w:val="nil"/>
              <w:left w:color="ffffff" w:space="0" w:sz="6" w:val="single"/>
              <w:bottom w:color="000000" w:space="0" w:sz="6" w:val="single"/>
              <w:right w:color="000000" w:space="0" w:sz="6" w:val="single"/>
            </w:tcBorders>
            <w:shd w:fill="auto" w:val="clear"/>
            <w:tcMar>
              <w:top w:w="0.0" w:type="dxa"/>
              <w:left w:w="80.0" w:type="dxa"/>
              <w:bottom w:w="0.0" w:type="dxa"/>
              <w:right w:w="80.0" w:type="dxa"/>
            </w:tcMar>
            <w:vAlign w:val="top"/>
          </w:tcPr>
          <w:p w:rsidR="00000000" w:rsidDel="00000000" w:rsidP="00000000" w:rsidRDefault="00000000" w:rsidRPr="00000000" w14:paraId="0000004D">
            <w:pPr>
              <w:spacing w:after="40" w:before="40" w:lineRule="auto"/>
              <w:jc w:val="center"/>
              <w:rPr>
                <w:sz w:val="18"/>
                <w:szCs w:val="18"/>
              </w:rPr>
            </w:pPr>
            <w:r w:rsidDel="00000000" w:rsidR="00000000" w:rsidRPr="00000000">
              <w:rPr>
                <w:sz w:val="18"/>
                <w:szCs w:val="18"/>
                <w:rtl w:val="0"/>
              </w:rPr>
              <w:t xml:space="preserve">Concrete slab with SaTo pan</w:t>
            </w:r>
          </w:p>
        </w:tc>
        <w:tc>
          <w:tcPr>
            <w:tcBorders>
              <w:top w:color="000000" w:space="0" w:sz="0" w:val="nil"/>
              <w:left w:color="000000" w:space="0" w:sz="0" w:val="nil"/>
              <w:bottom w:color="000000" w:space="0" w:sz="6" w:val="single"/>
              <w:right w:color="000000" w:space="0" w:sz="6" w:val="single"/>
            </w:tcBorders>
            <w:shd w:fill="auto" w:val="clear"/>
            <w:tcMar>
              <w:top w:w="0.0" w:type="dxa"/>
              <w:left w:w="80.0" w:type="dxa"/>
              <w:bottom w:w="0.0" w:type="dxa"/>
              <w:right w:w="80.0" w:type="dxa"/>
            </w:tcMar>
            <w:vAlign w:val="top"/>
          </w:tcPr>
          <w:p w:rsidR="00000000" w:rsidDel="00000000" w:rsidP="00000000" w:rsidRDefault="00000000" w:rsidRPr="00000000" w14:paraId="0000004E">
            <w:pPr>
              <w:numPr>
                <w:ilvl w:val="0"/>
                <w:numId w:val="9"/>
              </w:numPr>
              <w:spacing w:after="40" w:before="40" w:lineRule="auto"/>
              <w:ind w:left="720" w:hanging="360"/>
              <w:rPr>
                <w:sz w:val="18"/>
                <w:szCs w:val="18"/>
                <w:u w:val="none"/>
              </w:rPr>
            </w:pPr>
            <w:r w:rsidDel="00000000" w:rsidR="00000000" w:rsidRPr="00000000">
              <w:rPr>
                <w:sz w:val="18"/>
                <w:szCs w:val="18"/>
                <w:rtl w:val="0"/>
              </w:rPr>
              <w:t xml:space="preserve">ETB 2474 for the concrete slab with SaTo pan (USD 43.5)</w:t>
            </w:r>
          </w:p>
        </w:tc>
        <w:tc>
          <w:tcPr>
            <w:tcBorders>
              <w:top w:color="000000" w:space="0" w:sz="0" w:val="nil"/>
              <w:left w:color="000000" w:space="0" w:sz="0" w:val="nil"/>
              <w:bottom w:color="000000" w:space="0" w:sz="6" w:val="single"/>
              <w:right w:color="000000" w:space="0" w:sz="6" w:val="single"/>
            </w:tcBorders>
            <w:shd w:fill="auto" w:val="clear"/>
            <w:tcMar>
              <w:top w:w="0.0" w:type="dxa"/>
              <w:left w:w="80.0" w:type="dxa"/>
              <w:bottom w:w="0.0" w:type="dxa"/>
              <w:right w:w="80.0" w:type="dxa"/>
            </w:tcMar>
            <w:vAlign w:val="top"/>
          </w:tcPr>
          <w:p w:rsidR="00000000" w:rsidDel="00000000" w:rsidP="00000000" w:rsidRDefault="00000000" w:rsidRPr="00000000" w14:paraId="0000004F">
            <w:pPr>
              <w:numPr>
                <w:ilvl w:val="0"/>
                <w:numId w:val="9"/>
              </w:numPr>
              <w:spacing w:after="0" w:afterAutospacing="0" w:before="40" w:lineRule="auto"/>
              <w:ind w:left="720" w:hanging="360"/>
              <w:rPr>
                <w:sz w:val="18"/>
                <w:szCs w:val="18"/>
                <w:u w:val="none"/>
              </w:rPr>
            </w:pPr>
            <w:r w:rsidDel="00000000" w:rsidR="00000000" w:rsidRPr="00000000">
              <w:rPr>
                <w:sz w:val="18"/>
                <w:szCs w:val="18"/>
                <w:rtl w:val="0"/>
              </w:rPr>
              <w:t xml:space="preserve">Total: ETB 1200 (USD 21.11)</w:t>
            </w:r>
          </w:p>
          <w:p w:rsidR="00000000" w:rsidDel="00000000" w:rsidP="00000000" w:rsidRDefault="00000000" w:rsidRPr="00000000" w14:paraId="00000050">
            <w:pPr>
              <w:numPr>
                <w:ilvl w:val="0"/>
                <w:numId w:val="9"/>
              </w:numPr>
              <w:spacing w:after="0" w:afterAutospacing="0" w:before="0" w:beforeAutospacing="0" w:lineRule="auto"/>
              <w:ind w:left="720" w:hanging="360"/>
              <w:rPr>
                <w:sz w:val="18"/>
                <w:szCs w:val="18"/>
                <w:u w:val="none"/>
              </w:rPr>
            </w:pPr>
            <w:r w:rsidDel="00000000" w:rsidR="00000000" w:rsidRPr="00000000">
              <w:rPr>
                <w:sz w:val="18"/>
                <w:szCs w:val="18"/>
                <w:rtl w:val="0"/>
              </w:rPr>
              <w:t xml:space="preserve">Cash: ETB 300 (USD 5.28)</w:t>
            </w:r>
          </w:p>
          <w:p w:rsidR="00000000" w:rsidDel="00000000" w:rsidP="00000000" w:rsidRDefault="00000000" w:rsidRPr="00000000" w14:paraId="00000051">
            <w:pPr>
              <w:numPr>
                <w:ilvl w:val="0"/>
                <w:numId w:val="9"/>
              </w:numPr>
              <w:spacing w:after="40" w:before="0" w:beforeAutospacing="0" w:lineRule="auto"/>
              <w:ind w:left="720" w:hanging="360"/>
              <w:rPr>
                <w:sz w:val="18"/>
                <w:szCs w:val="18"/>
                <w:u w:val="none"/>
              </w:rPr>
            </w:pPr>
            <w:r w:rsidDel="00000000" w:rsidR="00000000" w:rsidRPr="00000000">
              <w:rPr>
                <w:sz w:val="18"/>
                <w:szCs w:val="18"/>
                <w:rtl w:val="0"/>
              </w:rPr>
              <w:t xml:space="preserve">Pit digging: ETB 900 (USD 15.83)</w:t>
            </w:r>
          </w:p>
        </w:tc>
        <w:tc>
          <w:tcPr>
            <w:tcBorders>
              <w:top w:color="000000" w:space="0" w:sz="0" w:val="nil"/>
              <w:left w:color="000000" w:space="0" w:sz="0" w:val="nil"/>
              <w:bottom w:color="000000" w:space="0" w:sz="6" w:val="single"/>
              <w:right w:color="ffffff" w:space="0" w:sz="6" w:val="single"/>
            </w:tcBorders>
            <w:shd w:fill="auto" w:val="clear"/>
            <w:tcMar>
              <w:top w:w="0.0" w:type="dxa"/>
              <w:left w:w="80.0" w:type="dxa"/>
              <w:bottom w:w="0.0" w:type="dxa"/>
              <w:right w:w="80.0" w:type="dxa"/>
            </w:tcMar>
            <w:vAlign w:val="top"/>
          </w:tcPr>
          <w:p w:rsidR="00000000" w:rsidDel="00000000" w:rsidP="00000000" w:rsidRDefault="00000000" w:rsidRPr="00000000" w14:paraId="00000052">
            <w:pPr>
              <w:spacing w:after="40" w:before="40" w:lineRule="auto"/>
              <w:jc w:val="center"/>
              <w:rPr>
                <w:sz w:val="18"/>
                <w:szCs w:val="18"/>
              </w:rPr>
            </w:pPr>
            <w:r w:rsidDel="00000000" w:rsidR="00000000" w:rsidRPr="00000000">
              <w:rPr>
                <w:sz w:val="18"/>
                <w:szCs w:val="18"/>
                <w:rtl w:val="0"/>
              </w:rPr>
              <w:t xml:space="preserve">35.56%</w:t>
            </w:r>
          </w:p>
        </w:tc>
      </w:tr>
      <w:tr>
        <w:trPr>
          <w:cantSplit w:val="0"/>
          <w:trHeight w:val="1275" w:hRule="atLeast"/>
          <w:tblHeader w:val="0"/>
        </w:trPr>
        <w:tc>
          <w:tcPr>
            <w:tcBorders>
              <w:top w:color="000000" w:space="0" w:sz="0" w:val="nil"/>
              <w:left w:color="ffffff" w:space="0" w:sz="6" w:val="single"/>
              <w:bottom w:color="000000" w:space="0" w:sz="6" w:val="single"/>
              <w:right w:color="000000" w:space="0" w:sz="6" w:val="single"/>
            </w:tcBorders>
            <w:shd w:fill="auto" w:val="clear"/>
            <w:tcMar>
              <w:top w:w="0.0" w:type="dxa"/>
              <w:left w:w="80.0" w:type="dxa"/>
              <w:bottom w:w="0.0" w:type="dxa"/>
              <w:right w:w="80.0" w:type="dxa"/>
            </w:tcMar>
            <w:vAlign w:val="top"/>
          </w:tcPr>
          <w:p w:rsidR="00000000" w:rsidDel="00000000" w:rsidP="00000000" w:rsidRDefault="00000000" w:rsidRPr="00000000" w14:paraId="00000053">
            <w:pPr>
              <w:spacing w:after="40" w:before="40" w:lineRule="auto"/>
              <w:jc w:val="center"/>
              <w:rPr>
                <w:sz w:val="18"/>
                <w:szCs w:val="18"/>
              </w:rPr>
            </w:pPr>
            <w:r w:rsidDel="00000000" w:rsidR="00000000" w:rsidRPr="00000000">
              <w:rPr>
                <w:sz w:val="18"/>
                <w:szCs w:val="18"/>
                <w:rtl w:val="0"/>
              </w:rPr>
              <w:t xml:space="preserve">Concrete slab with lid and concrete ring pit lining</w:t>
            </w:r>
          </w:p>
        </w:tc>
        <w:tc>
          <w:tcPr>
            <w:tcBorders>
              <w:top w:color="000000" w:space="0" w:sz="0" w:val="nil"/>
              <w:left w:color="000000" w:space="0" w:sz="0" w:val="nil"/>
              <w:bottom w:color="000000" w:space="0" w:sz="6" w:val="single"/>
              <w:right w:color="000000" w:space="0" w:sz="6" w:val="single"/>
            </w:tcBorders>
            <w:shd w:fill="auto" w:val="clear"/>
            <w:tcMar>
              <w:top w:w="0.0" w:type="dxa"/>
              <w:left w:w="80.0" w:type="dxa"/>
              <w:bottom w:w="0.0" w:type="dxa"/>
              <w:right w:w="80.0" w:type="dxa"/>
            </w:tcMar>
            <w:vAlign w:val="top"/>
          </w:tcPr>
          <w:p w:rsidR="00000000" w:rsidDel="00000000" w:rsidP="00000000" w:rsidRDefault="00000000" w:rsidRPr="00000000" w14:paraId="00000054">
            <w:pPr>
              <w:numPr>
                <w:ilvl w:val="0"/>
                <w:numId w:val="17"/>
              </w:numPr>
              <w:spacing w:after="0" w:afterAutospacing="0" w:before="40" w:lineRule="auto"/>
              <w:ind w:left="720" w:hanging="360"/>
              <w:rPr>
                <w:sz w:val="18"/>
                <w:szCs w:val="18"/>
                <w:u w:val="none"/>
              </w:rPr>
            </w:pPr>
            <w:r w:rsidDel="00000000" w:rsidR="00000000" w:rsidRPr="00000000">
              <w:rPr>
                <w:sz w:val="18"/>
                <w:szCs w:val="18"/>
                <w:rtl w:val="0"/>
              </w:rPr>
              <w:t xml:space="preserve">ETB 2034 (USD 35.77 for the concrete slab with lid</w:t>
            </w:r>
          </w:p>
          <w:p w:rsidR="00000000" w:rsidDel="00000000" w:rsidP="00000000" w:rsidRDefault="00000000" w:rsidRPr="00000000" w14:paraId="00000055">
            <w:pPr>
              <w:numPr>
                <w:ilvl w:val="0"/>
                <w:numId w:val="17"/>
              </w:numPr>
              <w:spacing w:after="0" w:afterAutospacing="0" w:before="0" w:beforeAutospacing="0" w:lineRule="auto"/>
              <w:ind w:left="720" w:hanging="360"/>
              <w:rPr>
                <w:sz w:val="18"/>
                <w:szCs w:val="18"/>
                <w:u w:val="none"/>
              </w:rPr>
            </w:pPr>
            <w:r w:rsidDel="00000000" w:rsidR="00000000" w:rsidRPr="00000000">
              <w:rPr>
                <w:sz w:val="18"/>
                <w:szCs w:val="18"/>
                <w:rtl w:val="0"/>
              </w:rPr>
              <w:t xml:space="preserve">ETB 4158 (USD 73.11) for the concrete ring pit lining</w:t>
            </w:r>
          </w:p>
          <w:p w:rsidR="00000000" w:rsidDel="00000000" w:rsidP="00000000" w:rsidRDefault="00000000" w:rsidRPr="00000000" w14:paraId="00000056">
            <w:pPr>
              <w:numPr>
                <w:ilvl w:val="0"/>
                <w:numId w:val="17"/>
              </w:numPr>
              <w:spacing w:after="40" w:before="0" w:beforeAutospacing="0" w:lineRule="auto"/>
              <w:ind w:left="720" w:hanging="360"/>
              <w:rPr>
                <w:sz w:val="18"/>
                <w:szCs w:val="18"/>
                <w:u w:val="none"/>
              </w:rPr>
            </w:pPr>
            <w:r w:rsidDel="00000000" w:rsidR="00000000" w:rsidRPr="00000000">
              <w:rPr>
                <w:sz w:val="18"/>
                <w:szCs w:val="18"/>
                <w:rtl w:val="0"/>
              </w:rPr>
              <w:t xml:space="preserve">Total: ETB 6192, or (USD 108.88)</w:t>
            </w:r>
          </w:p>
        </w:tc>
        <w:tc>
          <w:tcPr>
            <w:tcBorders>
              <w:top w:color="000000" w:space="0" w:sz="0" w:val="nil"/>
              <w:left w:color="000000" w:space="0" w:sz="0" w:val="nil"/>
              <w:bottom w:color="000000" w:space="0" w:sz="6" w:val="single"/>
              <w:right w:color="000000" w:space="0" w:sz="6" w:val="single"/>
            </w:tcBorders>
            <w:shd w:fill="auto" w:val="clear"/>
            <w:tcMar>
              <w:top w:w="0.0" w:type="dxa"/>
              <w:left w:w="80.0" w:type="dxa"/>
              <w:bottom w:w="0.0" w:type="dxa"/>
              <w:right w:w="80.0" w:type="dxa"/>
            </w:tcMar>
            <w:vAlign w:val="top"/>
          </w:tcPr>
          <w:p w:rsidR="00000000" w:rsidDel="00000000" w:rsidP="00000000" w:rsidRDefault="00000000" w:rsidRPr="00000000" w14:paraId="00000057">
            <w:pPr>
              <w:numPr>
                <w:ilvl w:val="0"/>
                <w:numId w:val="17"/>
              </w:numPr>
              <w:spacing w:after="0" w:afterAutospacing="0" w:before="40" w:lineRule="auto"/>
              <w:ind w:left="720" w:hanging="360"/>
              <w:rPr>
                <w:sz w:val="18"/>
                <w:szCs w:val="18"/>
                <w:u w:val="none"/>
              </w:rPr>
            </w:pPr>
            <w:r w:rsidDel="00000000" w:rsidR="00000000" w:rsidRPr="00000000">
              <w:rPr>
                <w:sz w:val="18"/>
                <w:szCs w:val="18"/>
                <w:rtl w:val="0"/>
              </w:rPr>
              <w:t xml:space="preserve">Total: 1800 (USD 31.65)</w:t>
            </w:r>
          </w:p>
          <w:p w:rsidR="00000000" w:rsidDel="00000000" w:rsidP="00000000" w:rsidRDefault="00000000" w:rsidRPr="00000000" w14:paraId="00000058">
            <w:pPr>
              <w:numPr>
                <w:ilvl w:val="0"/>
                <w:numId w:val="17"/>
              </w:numPr>
              <w:spacing w:after="0" w:afterAutospacing="0" w:before="0" w:beforeAutospacing="0" w:lineRule="auto"/>
              <w:ind w:left="720" w:hanging="360"/>
              <w:rPr>
                <w:sz w:val="18"/>
                <w:szCs w:val="18"/>
                <w:u w:val="none"/>
              </w:rPr>
            </w:pPr>
            <w:r w:rsidDel="00000000" w:rsidR="00000000" w:rsidRPr="00000000">
              <w:rPr>
                <w:sz w:val="18"/>
                <w:szCs w:val="18"/>
                <w:rtl w:val="0"/>
              </w:rPr>
              <w:t xml:space="preserve">Cash: ETB 400 (USD 7.03)</w:t>
            </w:r>
          </w:p>
          <w:p w:rsidR="00000000" w:rsidDel="00000000" w:rsidP="00000000" w:rsidRDefault="00000000" w:rsidRPr="00000000" w14:paraId="00000059">
            <w:pPr>
              <w:numPr>
                <w:ilvl w:val="0"/>
                <w:numId w:val="17"/>
              </w:numPr>
              <w:spacing w:after="0" w:afterAutospacing="0" w:before="0" w:beforeAutospacing="0" w:lineRule="auto"/>
              <w:ind w:left="720" w:hanging="360"/>
              <w:rPr>
                <w:sz w:val="18"/>
                <w:szCs w:val="18"/>
                <w:u w:val="none"/>
              </w:rPr>
            </w:pPr>
            <w:r w:rsidDel="00000000" w:rsidR="00000000" w:rsidRPr="00000000">
              <w:rPr>
                <w:sz w:val="18"/>
                <w:szCs w:val="18"/>
                <w:rtl w:val="0"/>
              </w:rPr>
              <w:t xml:space="preserve">Pit digging: ETB 1200 (USD 21.11)</w:t>
            </w:r>
          </w:p>
          <w:p w:rsidR="00000000" w:rsidDel="00000000" w:rsidP="00000000" w:rsidRDefault="00000000" w:rsidRPr="00000000" w14:paraId="0000005A">
            <w:pPr>
              <w:numPr>
                <w:ilvl w:val="0"/>
                <w:numId w:val="17"/>
              </w:numPr>
              <w:spacing w:after="40" w:before="0" w:beforeAutospacing="0" w:lineRule="auto"/>
              <w:ind w:left="720" w:hanging="360"/>
              <w:rPr>
                <w:sz w:val="18"/>
                <w:szCs w:val="18"/>
                <w:u w:val="none"/>
              </w:rPr>
            </w:pPr>
            <w:r w:rsidDel="00000000" w:rsidR="00000000" w:rsidRPr="00000000">
              <w:rPr>
                <w:sz w:val="18"/>
                <w:szCs w:val="18"/>
                <w:rtl w:val="0"/>
              </w:rPr>
              <w:t xml:space="preserve">Sand and gravel: ETB 200 (USD 3.52)</w:t>
            </w:r>
          </w:p>
        </w:tc>
        <w:tc>
          <w:tcPr>
            <w:tcBorders>
              <w:top w:color="000000" w:space="0" w:sz="0" w:val="nil"/>
              <w:left w:color="000000" w:space="0" w:sz="0" w:val="nil"/>
              <w:bottom w:color="000000" w:space="0" w:sz="6" w:val="single"/>
              <w:right w:color="ffffff" w:space="0" w:sz="6" w:val="single"/>
            </w:tcBorders>
            <w:shd w:fill="auto" w:val="clear"/>
            <w:tcMar>
              <w:top w:w="0.0" w:type="dxa"/>
              <w:left w:w="80.0" w:type="dxa"/>
              <w:bottom w:w="0.0" w:type="dxa"/>
              <w:right w:w="80.0" w:type="dxa"/>
            </w:tcMar>
            <w:vAlign w:val="top"/>
          </w:tcPr>
          <w:p w:rsidR="00000000" w:rsidDel="00000000" w:rsidP="00000000" w:rsidRDefault="00000000" w:rsidRPr="00000000" w14:paraId="0000005B">
            <w:pPr>
              <w:spacing w:after="40" w:before="40" w:lineRule="auto"/>
              <w:jc w:val="center"/>
              <w:rPr>
                <w:sz w:val="18"/>
                <w:szCs w:val="18"/>
              </w:rPr>
            </w:pPr>
            <w:r w:rsidDel="00000000" w:rsidR="00000000" w:rsidRPr="00000000">
              <w:rPr>
                <w:sz w:val="18"/>
                <w:szCs w:val="18"/>
                <w:rtl w:val="0"/>
              </w:rPr>
              <w:t xml:space="preserve">24.35%</w:t>
            </w:r>
          </w:p>
        </w:tc>
      </w:tr>
      <w:tr>
        <w:trPr>
          <w:cantSplit w:val="0"/>
          <w:trHeight w:val="1275" w:hRule="atLeast"/>
          <w:tblHeader w:val="0"/>
        </w:trPr>
        <w:tc>
          <w:tcPr>
            <w:tcBorders>
              <w:top w:color="000000" w:space="0" w:sz="0" w:val="nil"/>
              <w:left w:color="ffffff" w:space="0" w:sz="6" w:val="single"/>
              <w:bottom w:color="000000" w:space="0" w:sz="6" w:val="single"/>
              <w:right w:color="000000" w:space="0" w:sz="6" w:val="single"/>
            </w:tcBorders>
            <w:shd w:fill="auto" w:val="clear"/>
            <w:tcMar>
              <w:top w:w="0.0" w:type="dxa"/>
              <w:left w:w="80.0" w:type="dxa"/>
              <w:bottom w:w="0.0" w:type="dxa"/>
              <w:right w:w="80.0" w:type="dxa"/>
            </w:tcMar>
            <w:vAlign w:val="top"/>
          </w:tcPr>
          <w:p w:rsidR="00000000" w:rsidDel="00000000" w:rsidP="00000000" w:rsidRDefault="00000000" w:rsidRPr="00000000" w14:paraId="0000005C">
            <w:pPr>
              <w:spacing w:after="40" w:before="40" w:lineRule="auto"/>
              <w:jc w:val="center"/>
              <w:rPr>
                <w:sz w:val="18"/>
                <w:szCs w:val="18"/>
              </w:rPr>
            </w:pPr>
            <w:r w:rsidDel="00000000" w:rsidR="00000000" w:rsidRPr="00000000">
              <w:rPr>
                <w:sz w:val="18"/>
                <w:szCs w:val="18"/>
                <w:rtl w:val="0"/>
              </w:rPr>
              <w:t xml:space="preserve">Concrete slab with SaTo pan and concrete ring pit lining</w:t>
            </w:r>
          </w:p>
        </w:tc>
        <w:tc>
          <w:tcPr>
            <w:tcBorders>
              <w:top w:color="000000" w:space="0" w:sz="0" w:val="nil"/>
              <w:left w:color="000000" w:space="0" w:sz="0" w:val="nil"/>
              <w:bottom w:color="000000" w:space="0" w:sz="6" w:val="single"/>
              <w:right w:color="000000" w:space="0" w:sz="6" w:val="single"/>
            </w:tcBorders>
            <w:shd w:fill="auto" w:val="clear"/>
            <w:tcMar>
              <w:top w:w="0.0" w:type="dxa"/>
              <w:left w:w="80.0" w:type="dxa"/>
              <w:bottom w:w="0.0" w:type="dxa"/>
              <w:right w:w="80.0" w:type="dxa"/>
            </w:tcMar>
            <w:vAlign w:val="top"/>
          </w:tcPr>
          <w:p w:rsidR="00000000" w:rsidDel="00000000" w:rsidP="00000000" w:rsidRDefault="00000000" w:rsidRPr="00000000" w14:paraId="0000005D">
            <w:pPr>
              <w:numPr>
                <w:ilvl w:val="0"/>
                <w:numId w:val="10"/>
              </w:numPr>
              <w:spacing w:after="0" w:afterAutospacing="0" w:before="40" w:lineRule="auto"/>
              <w:ind w:left="720" w:hanging="360"/>
              <w:rPr>
                <w:sz w:val="18"/>
                <w:szCs w:val="18"/>
                <w:u w:val="none"/>
              </w:rPr>
            </w:pPr>
            <w:r w:rsidDel="00000000" w:rsidR="00000000" w:rsidRPr="00000000">
              <w:rPr>
                <w:sz w:val="18"/>
                <w:szCs w:val="18"/>
                <w:rtl w:val="0"/>
              </w:rPr>
              <w:t xml:space="preserve">ETB 2474 (USD 43.5) for the concrete slab with SaTo pan</w:t>
            </w:r>
          </w:p>
          <w:p w:rsidR="00000000" w:rsidDel="00000000" w:rsidP="00000000" w:rsidRDefault="00000000" w:rsidRPr="00000000" w14:paraId="0000005E">
            <w:pPr>
              <w:numPr>
                <w:ilvl w:val="0"/>
                <w:numId w:val="10"/>
              </w:numPr>
              <w:spacing w:after="0" w:afterAutospacing="0" w:before="0" w:beforeAutospacing="0" w:lineRule="auto"/>
              <w:ind w:left="720" w:hanging="360"/>
              <w:rPr>
                <w:sz w:val="18"/>
                <w:szCs w:val="18"/>
                <w:u w:val="none"/>
              </w:rPr>
            </w:pPr>
            <w:r w:rsidDel="00000000" w:rsidR="00000000" w:rsidRPr="00000000">
              <w:rPr>
                <w:sz w:val="18"/>
                <w:szCs w:val="18"/>
                <w:rtl w:val="0"/>
              </w:rPr>
              <w:t xml:space="preserve">ETB 4158  (USD 73.11) for the concrete ring pit lining</w:t>
            </w:r>
          </w:p>
          <w:p w:rsidR="00000000" w:rsidDel="00000000" w:rsidP="00000000" w:rsidRDefault="00000000" w:rsidRPr="00000000" w14:paraId="0000005F">
            <w:pPr>
              <w:numPr>
                <w:ilvl w:val="0"/>
                <w:numId w:val="10"/>
              </w:numPr>
              <w:spacing w:after="40" w:before="0" w:beforeAutospacing="0" w:lineRule="auto"/>
              <w:ind w:left="720" w:hanging="360"/>
              <w:rPr>
                <w:sz w:val="18"/>
                <w:szCs w:val="18"/>
                <w:u w:val="none"/>
              </w:rPr>
            </w:pPr>
            <w:r w:rsidDel="00000000" w:rsidR="00000000" w:rsidRPr="00000000">
              <w:rPr>
                <w:sz w:val="18"/>
                <w:szCs w:val="18"/>
                <w:rtl w:val="0"/>
              </w:rPr>
              <w:t xml:space="preserve">Total: ETB 6632, or (USD 116.62)</w:t>
            </w:r>
          </w:p>
        </w:tc>
        <w:tc>
          <w:tcPr>
            <w:tcBorders>
              <w:top w:color="000000" w:space="0" w:sz="0" w:val="nil"/>
              <w:left w:color="000000" w:space="0" w:sz="0" w:val="nil"/>
              <w:bottom w:color="000000" w:space="0" w:sz="6" w:val="single"/>
              <w:right w:color="000000" w:space="0" w:sz="6" w:val="single"/>
            </w:tcBorders>
            <w:shd w:fill="auto" w:val="clear"/>
            <w:tcMar>
              <w:top w:w="0.0" w:type="dxa"/>
              <w:left w:w="80.0" w:type="dxa"/>
              <w:bottom w:w="0.0" w:type="dxa"/>
              <w:right w:w="80.0" w:type="dxa"/>
            </w:tcMar>
            <w:vAlign w:val="top"/>
          </w:tcPr>
          <w:p w:rsidR="00000000" w:rsidDel="00000000" w:rsidP="00000000" w:rsidRDefault="00000000" w:rsidRPr="00000000" w14:paraId="00000060">
            <w:pPr>
              <w:numPr>
                <w:ilvl w:val="0"/>
                <w:numId w:val="10"/>
              </w:numPr>
              <w:spacing w:after="0" w:afterAutospacing="0" w:before="40" w:lineRule="auto"/>
              <w:ind w:left="720" w:hanging="360"/>
              <w:rPr>
                <w:sz w:val="18"/>
                <w:szCs w:val="18"/>
                <w:u w:val="none"/>
              </w:rPr>
            </w:pPr>
            <w:r w:rsidDel="00000000" w:rsidR="00000000" w:rsidRPr="00000000">
              <w:rPr>
                <w:sz w:val="18"/>
                <w:szCs w:val="18"/>
                <w:rtl w:val="0"/>
              </w:rPr>
              <w:t xml:space="preserve">Total: 1800 (USD 31.65)</w:t>
            </w:r>
          </w:p>
          <w:p w:rsidR="00000000" w:rsidDel="00000000" w:rsidP="00000000" w:rsidRDefault="00000000" w:rsidRPr="00000000" w14:paraId="00000061">
            <w:pPr>
              <w:numPr>
                <w:ilvl w:val="0"/>
                <w:numId w:val="10"/>
              </w:numPr>
              <w:spacing w:after="0" w:afterAutospacing="0" w:before="0" w:beforeAutospacing="0" w:lineRule="auto"/>
              <w:ind w:left="720" w:hanging="360"/>
              <w:rPr>
                <w:sz w:val="18"/>
                <w:szCs w:val="18"/>
                <w:u w:val="none"/>
              </w:rPr>
            </w:pPr>
            <w:r w:rsidDel="00000000" w:rsidR="00000000" w:rsidRPr="00000000">
              <w:rPr>
                <w:sz w:val="18"/>
                <w:szCs w:val="18"/>
                <w:rtl w:val="0"/>
              </w:rPr>
              <w:t xml:space="preserve">Cash: ETB 400 (USD 7.03)</w:t>
            </w:r>
          </w:p>
          <w:p w:rsidR="00000000" w:rsidDel="00000000" w:rsidP="00000000" w:rsidRDefault="00000000" w:rsidRPr="00000000" w14:paraId="00000062">
            <w:pPr>
              <w:numPr>
                <w:ilvl w:val="0"/>
                <w:numId w:val="10"/>
              </w:numPr>
              <w:spacing w:after="0" w:afterAutospacing="0" w:before="0" w:beforeAutospacing="0" w:lineRule="auto"/>
              <w:ind w:left="720" w:hanging="360"/>
              <w:rPr>
                <w:sz w:val="18"/>
                <w:szCs w:val="18"/>
                <w:u w:val="none"/>
              </w:rPr>
            </w:pPr>
            <w:r w:rsidDel="00000000" w:rsidR="00000000" w:rsidRPr="00000000">
              <w:rPr>
                <w:sz w:val="18"/>
                <w:szCs w:val="18"/>
                <w:rtl w:val="0"/>
              </w:rPr>
              <w:t xml:space="preserve">Pit digging: ETB 1200 (USD 21.11)</w:t>
            </w:r>
          </w:p>
          <w:p w:rsidR="00000000" w:rsidDel="00000000" w:rsidP="00000000" w:rsidRDefault="00000000" w:rsidRPr="00000000" w14:paraId="00000063">
            <w:pPr>
              <w:numPr>
                <w:ilvl w:val="0"/>
                <w:numId w:val="10"/>
              </w:numPr>
              <w:spacing w:after="40" w:before="0" w:beforeAutospacing="0" w:lineRule="auto"/>
              <w:ind w:left="720" w:hanging="360"/>
              <w:rPr>
                <w:sz w:val="18"/>
                <w:szCs w:val="18"/>
                <w:u w:val="none"/>
              </w:rPr>
            </w:pPr>
            <w:r w:rsidDel="00000000" w:rsidR="00000000" w:rsidRPr="00000000">
              <w:rPr>
                <w:sz w:val="18"/>
                <w:szCs w:val="18"/>
                <w:rtl w:val="0"/>
              </w:rPr>
              <w:t xml:space="preserve">Sand and gravel: ETB 200 (USD 3.52)</w:t>
            </w:r>
          </w:p>
        </w:tc>
        <w:tc>
          <w:tcPr>
            <w:tcBorders>
              <w:top w:color="000000" w:space="0" w:sz="0" w:val="nil"/>
              <w:left w:color="000000" w:space="0" w:sz="0" w:val="nil"/>
              <w:bottom w:color="000000" w:space="0" w:sz="6" w:val="single"/>
              <w:right w:color="ffffff" w:space="0" w:sz="6" w:val="single"/>
            </w:tcBorders>
            <w:shd w:fill="auto" w:val="clear"/>
            <w:tcMar>
              <w:top w:w="0.0" w:type="dxa"/>
              <w:left w:w="80.0" w:type="dxa"/>
              <w:bottom w:w="0.0" w:type="dxa"/>
              <w:right w:w="80.0" w:type="dxa"/>
            </w:tcMar>
            <w:vAlign w:val="top"/>
          </w:tcPr>
          <w:p w:rsidR="00000000" w:rsidDel="00000000" w:rsidP="00000000" w:rsidRDefault="00000000" w:rsidRPr="00000000" w14:paraId="00000064">
            <w:pPr>
              <w:spacing w:after="40" w:before="40" w:lineRule="auto"/>
              <w:jc w:val="center"/>
              <w:rPr>
                <w:sz w:val="18"/>
                <w:szCs w:val="18"/>
              </w:rPr>
            </w:pPr>
            <w:r w:rsidDel="00000000" w:rsidR="00000000" w:rsidRPr="00000000">
              <w:rPr>
                <w:sz w:val="18"/>
                <w:szCs w:val="18"/>
                <w:rtl w:val="0"/>
              </w:rPr>
              <w:t xml:space="preserve">22.98%</w:t>
            </w:r>
          </w:p>
        </w:tc>
      </w:tr>
    </w:tbl>
    <w:p w:rsidR="00000000" w:rsidDel="00000000" w:rsidP="00000000" w:rsidRDefault="00000000" w:rsidRPr="00000000" w14:paraId="00000065">
      <w:pPr>
        <w:spacing w:after="160" w:before="40" w:lineRule="auto"/>
        <w:jc w:val="left"/>
        <w:rPr>
          <w:sz w:val="18"/>
          <w:szCs w:val="18"/>
        </w:rPr>
      </w:pPr>
      <w:r w:rsidDel="00000000" w:rsidR="00000000" w:rsidRPr="00000000">
        <w:rPr>
          <w:sz w:val="18"/>
          <w:szCs w:val="18"/>
          <w:rtl w:val="0"/>
        </w:rPr>
        <w:t xml:space="preserve">* Note: The household contribution rate is calculated by adding the cash + pit digging contribution and dividing it by the sum of total product costs and pit digging. Households that are unable to dig a pit (e.g., elderly) would hire a daily laborer to do so. The rate excludes the cost of the superstructure. Pit digging is more expensive for pits that will receive a lining because digging pits in areas with collapsing soil requires more effort.</w:t>
      </w:r>
    </w:p>
    <w:p w:rsidR="00000000" w:rsidDel="00000000" w:rsidP="00000000" w:rsidRDefault="00000000" w:rsidRPr="00000000" w14:paraId="00000066">
      <w:pPr>
        <w:pStyle w:val="Heading3"/>
        <w:rPr/>
      </w:pPr>
      <w:bookmarkStart w:colFirst="0" w:colLast="0" w:name="_xt1i1imwxd2w" w:id="15"/>
      <w:bookmarkEnd w:id="15"/>
      <w:r w:rsidDel="00000000" w:rsidR="00000000" w:rsidRPr="00000000">
        <w:rPr>
          <w:rtl w:val="0"/>
        </w:rPr>
        <w:t xml:space="preserve">Potential Exceptions to Cash Contribution</w:t>
      </w:r>
    </w:p>
    <w:p w:rsidR="00000000" w:rsidDel="00000000" w:rsidP="00000000" w:rsidRDefault="00000000" w:rsidRPr="00000000" w14:paraId="00000067">
      <w:pPr>
        <w:rPr/>
      </w:pPr>
      <w:r w:rsidDel="00000000" w:rsidR="00000000" w:rsidRPr="00000000">
        <w:rPr>
          <w:rtl w:val="0"/>
        </w:rPr>
        <w:t xml:space="preserve">While the National Sanitation Subsidy Protocol</w:t>
      </w:r>
      <w:r w:rsidDel="00000000" w:rsidR="00000000" w:rsidRPr="00000000">
        <w:rPr>
          <w:vertAlign w:val="superscript"/>
        </w:rPr>
        <w:footnoteReference w:customMarkFollows="0" w:id="10"/>
      </w:r>
      <w:r w:rsidDel="00000000" w:rsidR="00000000" w:rsidRPr="00000000">
        <w:rPr>
          <w:rtl w:val="0"/>
        </w:rPr>
        <w:t xml:space="preserve"> generally stipulates a minimum cash contribution of 20 percent, it allows for exceptions where households contribute in-kind labor, such as pit digging, instead of cash. In the standard subsidy design, the total value of the household’s contribution—comprising a cash payment, pit digging, and materials like sand and gravel for lined pits—was estimated to meet this 20 percent minimum threshold.</w:t>
      </w:r>
    </w:p>
    <w:p w:rsidR="00000000" w:rsidDel="00000000" w:rsidP="00000000" w:rsidRDefault="00000000" w:rsidRPr="00000000" w14:paraId="00000068">
      <w:pPr>
        <w:rPr/>
      </w:pPr>
      <w:r w:rsidDel="00000000" w:rsidR="00000000" w:rsidRPr="00000000">
        <w:rPr>
          <w:rtl w:val="0"/>
        </w:rPr>
        <w:t xml:space="preserve">However, the study design accommodated a potential 100 percent discount on the product price for eligible households unable to afford any cash contribution, provided they still completed the pit digging. The final decision to offer this full discount was contingent upon data collected during the household listing exercise and rested on three specific factors:</w:t>
      </w:r>
    </w:p>
    <w:p w:rsidR="00000000" w:rsidDel="00000000" w:rsidP="00000000" w:rsidRDefault="00000000" w:rsidRPr="00000000" w14:paraId="00000069">
      <w:pPr>
        <w:numPr>
          <w:ilvl w:val="0"/>
          <w:numId w:val="5"/>
        </w:numPr>
        <w:spacing w:after="0" w:afterAutospacing="0"/>
        <w:ind w:left="720" w:hanging="360"/>
        <w:jc w:val="left"/>
      </w:pPr>
      <w:r w:rsidDel="00000000" w:rsidR="00000000" w:rsidRPr="00000000">
        <w:rPr>
          <w:b w:val="1"/>
          <w:bCs w:val="1"/>
          <w:rtl w:val="0"/>
        </w:rPr>
        <w:t xml:space="preserve">Identification of the "Most-Vulnerable":</w:t>
      </w:r>
      <w:r w:rsidDel="00000000" w:rsidR="00000000" w:rsidRPr="00000000">
        <w:rPr>
          <w:rtl w:val="0"/>
        </w:rPr>
        <w:t xml:space="preserve"> The study assessed whether "most-vulnerable" households could be accurately distinguished from the broader economically vulnerable population using food security indicators collected during listing.</w:t>
      </w:r>
    </w:p>
    <w:p w:rsidR="00000000" w:rsidDel="00000000" w:rsidP="00000000" w:rsidRDefault="00000000" w:rsidRPr="00000000" w14:paraId="0000006A">
      <w:pPr>
        <w:numPr>
          <w:ilvl w:val="0"/>
          <w:numId w:val="5"/>
        </w:numPr>
        <w:spacing w:after="0" w:afterAutospacing="0" w:before="0" w:beforeAutospacing="0"/>
        <w:ind w:left="720" w:hanging="360"/>
        <w:jc w:val="left"/>
      </w:pPr>
      <w:r w:rsidDel="00000000" w:rsidR="00000000" w:rsidRPr="00000000">
        <w:rPr>
          <w:b w:val="1"/>
          <w:bCs w:val="1"/>
          <w:rtl w:val="0"/>
        </w:rPr>
        <w:t xml:space="preserve">Budgetary Trade-offs:</w:t>
      </w:r>
      <w:r w:rsidDel="00000000" w:rsidR="00000000" w:rsidRPr="00000000">
        <w:rPr>
          <w:rtl w:val="0"/>
        </w:rPr>
        <w:t xml:space="preserve"> iDE evaluated the size of this sub-population to determine if offering full discounts would compromise the ability to reach all eligible households within the available budget .</w:t>
      </w:r>
    </w:p>
    <w:p w:rsidR="00000000" w:rsidDel="00000000" w:rsidP="00000000" w:rsidRDefault="00000000" w:rsidRPr="00000000" w14:paraId="0000006B">
      <w:pPr>
        <w:numPr>
          <w:ilvl w:val="0"/>
          <w:numId w:val="5"/>
        </w:numPr>
        <w:spacing w:before="0" w:beforeAutospacing="0"/>
        <w:ind w:left="720" w:hanging="360"/>
        <w:jc w:val="left"/>
      </w:pPr>
      <w:r w:rsidDel="00000000" w:rsidR="00000000" w:rsidRPr="00000000">
        <w:rPr>
          <w:b w:val="1"/>
          <w:bCs w:val="1"/>
          <w:rtl w:val="0"/>
        </w:rPr>
        <w:t xml:space="preserve">Scalability:</w:t>
      </w:r>
      <w:r w:rsidDel="00000000" w:rsidR="00000000" w:rsidRPr="00000000">
        <w:rPr>
          <w:rtl w:val="0"/>
        </w:rPr>
        <w:t xml:space="preserve"> The feasibility of scaling a full discount model was reviewed in consultation with the FMoH, considering the implications for future national subsidy budgets and targeting costs.</w:t>
      </w:r>
    </w:p>
    <w:p w:rsidR="00000000" w:rsidDel="00000000" w:rsidP="00000000" w:rsidRDefault="00000000" w:rsidRPr="00000000" w14:paraId="0000006C">
      <w:pPr>
        <w:ind w:left="0" w:firstLine="0"/>
        <w:rPr/>
      </w:pPr>
      <w:r w:rsidDel="00000000" w:rsidR="00000000" w:rsidRPr="00000000">
        <w:rPr>
          <w:rtl w:val="0"/>
        </w:rPr>
      </w:r>
    </w:p>
    <w:p w:rsidR="00000000" w:rsidDel="00000000" w:rsidP="00000000" w:rsidRDefault="00000000" w:rsidRPr="00000000" w14:paraId="0000006D">
      <w:pPr>
        <w:pStyle w:val="Heading3"/>
        <w:rPr/>
      </w:pPr>
      <w:bookmarkStart w:colFirst="0" w:colLast="0" w:name="_u2wdws6e306h" w:id="16"/>
      <w:bookmarkEnd w:id="16"/>
      <w:r w:rsidDel="00000000" w:rsidR="00000000" w:rsidRPr="00000000">
        <w:rPr>
          <w:rtl w:val="0"/>
        </w:rPr>
        <w:t xml:space="preserve">Targeting Criteria </w:t>
      </w:r>
    </w:p>
    <w:p w:rsidR="00000000" w:rsidDel="00000000" w:rsidP="00000000" w:rsidRDefault="00000000" w:rsidRPr="00000000" w14:paraId="0000006E">
      <w:pPr>
        <w:rPr/>
      </w:pPr>
      <w:r w:rsidDel="00000000" w:rsidR="00000000" w:rsidRPr="00000000">
        <w:rPr>
          <w:rtl w:val="0"/>
        </w:rPr>
        <w:t xml:space="preserve">Eligibility for the subsidy was determined through a data-driven process following a household listing exercise. A household was considered eligible if it lacked access to basic sanitation and meets specific poverty criteria.</w:t>
      </w:r>
    </w:p>
    <w:p w:rsidR="00000000" w:rsidDel="00000000" w:rsidP="00000000" w:rsidRDefault="00000000" w:rsidRPr="00000000" w14:paraId="0000006F">
      <w:pPr>
        <w:numPr>
          <w:ilvl w:val="0"/>
          <w:numId w:val="15"/>
        </w:numPr>
        <w:spacing w:after="0" w:afterAutospacing="0"/>
        <w:ind w:left="720" w:hanging="360"/>
        <w:jc w:val="left"/>
      </w:pPr>
      <w:r w:rsidDel="00000000" w:rsidR="00000000" w:rsidRPr="00000000">
        <w:rPr>
          <w:b w:val="1"/>
          <w:bCs w:val="1"/>
          <w:rtl w:val="0"/>
        </w:rPr>
        <w:t xml:space="preserve">Sanitation Status:</w:t>
      </w:r>
      <w:r w:rsidDel="00000000" w:rsidR="00000000" w:rsidRPr="00000000">
        <w:rPr>
          <w:rtl w:val="0"/>
        </w:rPr>
        <w:t xml:space="preserve"> Households are only eligible if they do not own an improved latrine that is unshared, according to the JMP definition. An improved latrine is defined as a pit latrine with a covered slab and a washable drop hole surround.</w:t>
      </w:r>
    </w:p>
    <w:p w:rsidR="00000000" w:rsidDel="00000000" w:rsidP="00000000" w:rsidRDefault="00000000" w:rsidRPr="00000000" w14:paraId="00000070">
      <w:pPr>
        <w:numPr>
          <w:ilvl w:val="0"/>
          <w:numId w:val="15"/>
        </w:numPr>
        <w:spacing w:after="0" w:afterAutospacing="0" w:before="0" w:beforeAutospacing="0"/>
        <w:ind w:left="720" w:hanging="360"/>
        <w:jc w:val="left"/>
      </w:pPr>
      <w:r w:rsidDel="00000000" w:rsidR="00000000" w:rsidRPr="00000000">
        <w:rPr>
          <w:b w:val="1"/>
          <w:bCs w:val="1"/>
          <w:rtl w:val="0"/>
        </w:rPr>
        <w:t xml:space="preserve">Economic Vulnerability:</w:t>
      </w:r>
    </w:p>
    <w:p w:rsidR="00000000" w:rsidDel="00000000" w:rsidP="00000000" w:rsidRDefault="00000000" w:rsidRPr="00000000" w14:paraId="00000071">
      <w:pPr>
        <w:numPr>
          <w:ilvl w:val="1"/>
          <w:numId w:val="15"/>
        </w:numPr>
        <w:spacing w:after="0" w:afterAutospacing="0" w:before="0" w:beforeAutospacing="0"/>
        <w:ind w:left="1440" w:hanging="360"/>
        <w:jc w:val="left"/>
      </w:pPr>
      <w:r w:rsidDel="00000000" w:rsidR="00000000" w:rsidRPr="00000000">
        <w:rPr>
          <w:b w:val="1"/>
          <w:bCs w:val="1"/>
          <w:rtl w:val="0"/>
        </w:rPr>
        <w:t xml:space="preserve">Primary Proxy:</w:t>
      </w:r>
      <w:r w:rsidDel="00000000" w:rsidR="00000000" w:rsidRPr="00000000">
        <w:rPr>
          <w:rtl w:val="0"/>
        </w:rPr>
        <w:t xml:space="preserve"> The default criterion is exemption from Community-Based Health Insurance (CBHI) payments. This government-designated status is generally granted to households lacking land, cattle, or support networks, or those in extreme poverty .</w:t>
      </w:r>
    </w:p>
    <w:p w:rsidR="00000000" w:rsidDel="00000000" w:rsidP="00000000" w:rsidRDefault="00000000" w:rsidRPr="00000000" w14:paraId="00000072">
      <w:pPr>
        <w:numPr>
          <w:ilvl w:val="1"/>
          <w:numId w:val="15"/>
        </w:numPr>
        <w:spacing w:after="0" w:afterAutospacing="0" w:before="0" w:beforeAutospacing="0"/>
        <w:ind w:left="1440" w:hanging="360"/>
        <w:jc w:val="left"/>
      </w:pPr>
      <w:r w:rsidDel="00000000" w:rsidR="00000000" w:rsidRPr="00000000">
        <w:rPr>
          <w:b w:val="1"/>
          <w:bCs w:val="1"/>
          <w:rtl w:val="0"/>
        </w:rPr>
        <w:t xml:space="preserve">Secondary Proxy:</w:t>
      </w:r>
      <w:r w:rsidDel="00000000" w:rsidR="00000000" w:rsidRPr="00000000">
        <w:rPr>
          <w:rtl w:val="0"/>
        </w:rPr>
        <w:t xml:space="preserve"> To address potential inclusion or exclusion errors in CBHI lists, the study also collects Poverty Probability Index (PPI)</w:t>
      </w:r>
      <w:r w:rsidDel="00000000" w:rsidR="00000000" w:rsidRPr="00000000">
        <w:rPr>
          <w:vertAlign w:val="superscript"/>
        </w:rPr>
        <w:footnoteReference w:customMarkFollows="0" w:id="11"/>
      </w:r>
      <w:r w:rsidDel="00000000" w:rsidR="00000000" w:rsidRPr="00000000">
        <w:rPr>
          <w:rtl w:val="0"/>
        </w:rPr>
        <w:t xml:space="preserve"> scores during listing. If CBHI lists prove inaccurate (e.g., high exclusion of the poorest), PPI scores may supplement the targeting strategy to identify households in the bottom two wealth quintiles.</w:t>
      </w:r>
    </w:p>
    <w:p w:rsidR="00000000" w:rsidDel="00000000" w:rsidP="00000000" w:rsidRDefault="00000000" w:rsidRPr="00000000" w14:paraId="00000073">
      <w:pPr>
        <w:numPr>
          <w:ilvl w:val="1"/>
          <w:numId w:val="15"/>
        </w:numPr>
        <w:spacing w:before="0" w:beforeAutospacing="0"/>
        <w:ind w:left="1440" w:hanging="360"/>
        <w:jc w:val="left"/>
      </w:pPr>
      <w:r w:rsidDel="00000000" w:rsidR="00000000" w:rsidRPr="00000000">
        <w:rPr>
          <w:b w:val="1"/>
          <w:bCs w:val="1"/>
          <w:rtl w:val="0"/>
        </w:rPr>
        <w:t xml:space="preserve">Most-Vulnerable Exception:</w:t>
      </w:r>
      <w:r w:rsidDel="00000000" w:rsidR="00000000" w:rsidRPr="00000000">
        <w:rPr>
          <w:rtl w:val="0"/>
        </w:rPr>
        <w:t xml:space="preserve"> A subset of "most-vulnerable" households, identified via food security questions, may be considered for a 100% discount if they cannot afford even the minimal cash contribution.</w:t>
      </w:r>
    </w:p>
    <w:p w:rsidR="00000000" w:rsidDel="00000000" w:rsidP="00000000" w:rsidRDefault="00000000" w:rsidRPr="00000000" w14:paraId="00000074">
      <w:pPr>
        <w:pStyle w:val="Heading3"/>
        <w:jc w:val="left"/>
        <w:rPr/>
      </w:pPr>
      <w:bookmarkStart w:colFirst="0" w:colLast="0" w:name="_uijpuhr3bg1y" w:id="17"/>
      <w:bookmarkEnd w:id="17"/>
      <w:r w:rsidDel="00000000" w:rsidR="00000000" w:rsidRPr="00000000">
        <w:rPr>
          <w:rtl w:val="0"/>
        </w:rPr>
        <w:t xml:space="preserve">Subsidy Offer, Delivery, and Verification</w:t>
      </w:r>
    </w:p>
    <w:p w:rsidR="00000000" w:rsidDel="00000000" w:rsidP="00000000" w:rsidRDefault="00000000" w:rsidRPr="00000000" w14:paraId="00000075">
      <w:pPr>
        <w:rPr/>
      </w:pPr>
      <w:r w:rsidDel="00000000" w:rsidR="00000000" w:rsidRPr="00000000">
        <w:rPr>
          <w:rtl w:val="0"/>
        </w:rPr>
        <w:t xml:space="preserve">In treatment villages, the subsidy was integrated into the sales agent's standard workflow to ensure seamless delivery and rigorous verification.</w:t>
      </w:r>
    </w:p>
    <w:p w:rsidR="00000000" w:rsidDel="00000000" w:rsidP="00000000" w:rsidRDefault="00000000" w:rsidRPr="00000000" w14:paraId="00000076">
      <w:pPr>
        <w:numPr>
          <w:ilvl w:val="0"/>
          <w:numId w:val="4"/>
        </w:numPr>
        <w:spacing w:after="0" w:afterAutospacing="0"/>
        <w:ind w:left="720" w:hanging="360"/>
        <w:jc w:val="left"/>
      </w:pPr>
      <w:r w:rsidDel="00000000" w:rsidR="00000000" w:rsidRPr="00000000">
        <w:rPr>
          <w:b w:val="1"/>
          <w:bCs w:val="1"/>
          <w:rtl w:val="0"/>
        </w:rPr>
        <w:t xml:space="preserve">Identification and Offer:</w:t>
      </w:r>
      <w:r w:rsidDel="00000000" w:rsidR="00000000" w:rsidRPr="00000000">
        <w:rPr>
          <w:rtl w:val="0"/>
        </w:rPr>
        <w:t xml:space="preserve"> Sales agents identify eligible households using the listing data. During door-to-door visits, they conduct a standard sales presentation and, if the household is eligible, offer the subsidy as a discount on the latrine component price.</w:t>
      </w:r>
    </w:p>
    <w:p w:rsidR="00000000" w:rsidDel="00000000" w:rsidP="00000000" w:rsidRDefault="00000000" w:rsidRPr="00000000" w14:paraId="00000077">
      <w:pPr>
        <w:numPr>
          <w:ilvl w:val="0"/>
          <w:numId w:val="4"/>
        </w:numPr>
        <w:spacing w:after="0" w:afterAutospacing="0" w:before="0" w:beforeAutospacing="0"/>
        <w:ind w:left="720" w:hanging="360"/>
        <w:jc w:val="left"/>
      </w:pPr>
      <w:r w:rsidDel="00000000" w:rsidR="00000000" w:rsidRPr="00000000">
        <w:rPr>
          <w:b w:val="1"/>
          <w:bCs w:val="1"/>
          <w:rtl w:val="0"/>
        </w:rPr>
        <w:t xml:space="preserve">Commitment:</w:t>
      </w:r>
      <w:r w:rsidDel="00000000" w:rsidR="00000000" w:rsidRPr="00000000">
        <w:rPr>
          <w:rtl w:val="0"/>
        </w:rPr>
        <w:t xml:space="preserve"> Interested households pay a deposit (ETB 100 to 200) to the sales agent and receive a unique voucher.</w:t>
      </w:r>
    </w:p>
    <w:p w:rsidR="00000000" w:rsidDel="00000000" w:rsidP="00000000" w:rsidRDefault="00000000" w:rsidRPr="00000000" w14:paraId="00000078">
      <w:pPr>
        <w:numPr>
          <w:ilvl w:val="0"/>
          <w:numId w:val="4"/>
        </w:numPr>
        <w:spacing w:after="0" w:afterAutospacing="0" w:before="0" w:beforeAutospacing="0"/>
        <w:ind w:left="720" w:hanging="360"/>
        <w:jc w:val="left"/>
      </w:pPr>
      <w:r w:rsidDel="00000000" w:rsidR="00000000" w:rsidRPr="00000000">
        <w:rPr>
          <w:b w:val="1"/>
          <w:bCs w:val="1"/>
          <w:rtl w:val="0"/>
        </w:rPr>
        <w:t xml:space="preserve">Household Contribution:</w:t>
      </w:r>
      <w:r w:rsidDel="00000000" w:rsidR="00000000" w:rsidRPr="00000000">
        <w:rPr>
          <w:rtl w:val="0"/>
        </w:rPr>
        <w:t xml:space="preserve"> The household must dig the pit as an in-kind contribution. The sales agent verifies the pit's completion and adequacy approximately two weeks after the order is placed.</w:t>
      </w:r>
    </w:p>
    <w:p w:rsidR="00000000" w:rsidDel="00000000" w:rsidP="00000000" w:rsidRDefault="00000000" w:rsidRPr="00000000" w14:paraId="00000079">
      <w:pPr>
        <w:numPr>
          <w:ilvl w:val="0"/>
          <w:numId w:val="4"/>
        </w:numPr>
        <w:spacing w:after="0" w:afterAutospacing="0" w:before="0" w:beforeAutospacing="0"/>
        <w:ind w:left="720" w:hanging="360"/>
        <w:jc w:val="left"/>
      </w:pPr>
      <w:r w:rsidDel="00000000" w:rsidR="00000000" w:rsidRPr="00000000">
        <w:rPr>
          <w:b w:val="1"/>
          <w:bCs w:val="1"/>
          <w:rtl w:val="0"/>
        </w:rPr>
        <w:t xml:space="preserve">Installation and Redemption:</w:t>
      </w:r>
      <w:r w:rsidDel="00000000" w:rsidR="00000000" w:rsidRPr="00000000">
        <w:rPr>
          <w:rtl w:val="0"/>
        </w:rPr>
        <w:t xml:space="preserve"> Once the pit is verified, the Latrine Business Owner (LBO) installs the product. The LBO collects the voucher and the remaining cash contribution from the household upon installation.</w:t>
      </w:r>
    </w:p>
    <w:p w:rsidR="00000000" w:rsidDel="00000000" w:rsidP="00000000" w:rsidRDefault="00000000" w:rsidRPr="00000000" w14:paraId="0000007A">
      <w:pPr>
        <w:numPr>
          <w:ilvl w:val="0"/>
          <w:numId w:val="4"/>
        </w:numPr>
        <w:spacing w:before="0" w:beforeAutospacing="0"/>
        <w:ind w:left="720" w:hanging="360"/>
        <w:jc w:val="left"/>
      </w:pPr>
      <w:r w:rsidDel="00000000" w:rsidR="00000000" w:rsidRPr="00000000">
        <w:rPr>
          <w:b w:val="1"/>
          <w:bCs w:val="1"/>
          <w:rtl w:val="0"/>
        </w:rPr>
        <w:t xml:space="preserve">Verification:</w:t>
      </w:r>
      <w:r w:rsidDel="00000000" w:rsidR="00000000" w:rsidRPr="00000000">
        <w:rPr>
          <w:rtl w:val="0"/>
        </w:rPr>
        <w:t xml:space="preserve"> iDE Sales Agent Supervisors (SAS) verify the installation via photos and GPS data before reimbursing the LBO for the subsidized amount </w:t>
      </w:r>
    </w:p>
    <w:p w:rsidR="00000000" w:rsidDel="00000000" w:rsidP="00000000" w:rsidRDefault="00000000" w:rsidRPr="00000000" w14:paraId="0000007B">
      <w:pPr>
        <w:pStyle w:val="Heading3"/>
        <w:rPr/>
      </w:pPr>
      <w:bookmarkStart w:colFirst="0" w:colLast="0" w:name="_ilkmrd3vc6g3" w:id="18"/>
      <w:bookmarkEnd w:id="18"/>
      <w:r w:rsidDel="00000000" w:rsidR="00000000" w:rsidRPr="00000000">
        <w:rPr>
          <w:rtl w:val="0"/>
        </w:rPr>
        <w:t xml:space="preserve">Status-Quo MBS Activities</w:t>
      </w:r>
    </w:p>
    <w:p w:rsidR="00000000" w:rsidDel="00000000" w:rsidP="00000000" w:rsidRDefault="00000000" w:rsidRPr="00000000" w14:paraId="0000007C">
      <w:pPr>
        <w:rPr/>
      </w:pPr>
      <w:r w:rsidDel="00000000" w:rsidR="00000000" w:rsidRPr="00000000">
        <w:rPr>
          <w:rtl w:val="0"/>
        </w:rPr>
        <w:t xml:space="preserve">Both treatment and control villages received iDE’s standard Market-Based Sanitation (MBS) programming, ensuring that the control group represents a "business-as-usual" market environment rather than a no-intervention scenario.</w:t>
      </w:r>
    </w:p>
    <w:p w:rsidR="00000000" w:rsidDel="00000000" w:rsidP="00000000" w:rsidRDefault="00000000" w:rsidRPr="00000000" w14:paraId="0000007D">
      <w:pPr>
        <w:numPr>
          <w:ilvl w:val="0"/>
          <w:numId w:val="11"/>
        </w:numPr>
        <w:spacing w:after="0" w:afterAutospacing="0"/>
        <w:ind w:left="720" w:hanging="360"/>
        <w:jc w:val="left"/>
      </w:pPr>
      <w:r w:rsidDel="00000000" w:rsidR="00000000" w:rsidRPr="00000000">
        <w:rPr>
          <w:b w:val="1"/>
          <w:bCs w:val="1"/>
          <w:rtl w:val="0"/>
        </w:rPr>
        <w:t xml:space="preserve">Supply Side:</w:t>
      </w:r>
      <w:r w:rsidDel="00000000" w:rsidR="00000000" w:rsidRPr="00000000">
        <w:rPr>
          <w:rtl w:val="0"/>
        </w:rPr>
        <w:t xml:space="preserve"> iDE recruited and trained 12 LBOs (local manufacturers), providing them with molds and tools to produce concrete slabs and other latrine components.</w:t>
      </w:r>
    </w:p>
    <w:p w:rsidR="00000000" w:rsidDel="00000000" w:rsidP="00000000" w:rsidRDefault="00000000" w:rsidRPr="00000000" w14:paraId="0000007E">
      <w:pPr>
        <w:numPr>
          <w:ilvl w:val="0"/>
          <w:numId w:val="11"/>
        </w:numPr>
        <w:spacing w:after="0" w:afterAutospacing="0" w:before="0" w:beforeAutospacing="0"/>
        <w:ind w:left="720" w:hanging="360"/>
        <w:jc w:val="left"/>
      </w:pPr>
      <w:r w:rsidDel="00000000" w:rsidR="00000000" w:rsidRPr="00000000">
        <w:rPr>
          <w:b w:val="1"/>
          <w:bCs w:val="1"/>
          <w:rtl w:val="0"/>
        </w:rPr>
        <w:t xml:space="preserve">Demand Side:</w:t>
      </w:r>
      <w:r w:rsidDel="00000000" w:rsidR="00000000" w:rsidRPr="00000000">
        <w:rPr>
          <w:rtl w:val="0"/>
        </w:rPr>
        <w:t xml:space="preserve"> A network of 60 sales agents was trained to generate demand through door-to-door sales, market day activations, and promotional events.</w:t>
      </w:r>
    </w:p>
    <w:p w:rsidR="00000000" w:rsidDel="00000000" w:rsidP="00000000" w:rsidRDefault="00000000" w:rsidRPr="00000000" w14:paraId="0000007F">
      <w:pPr>
        <w:numPr>
          <w:ilvl w:val="0"/>
          <w:numId w:val="11"/>
        </w:numPr>
        <w:spacing w:before="0" w:beforeAutospacing="0"/>
        <w:ind w:left="720" w:hanging="360"/>
        <w:jc w:val="left"/>
      </w:pPr>
      <w:r w:rsidDel="00000000" w:rsidR="00000000" w:rsidRPr="00000000">
        <w:rPr>
          <w:b w:val="1"/>
          <w:bCs w:val="1"/>
          <w:rtl w:val="0"/>
        </w:rPr>
        <w:t xml:space="preserve">Institutional Support:</w:t>
      </w:r>
      <w:r w:rsidDel="00000000" w:rsidR="00000000" w:rsidRPr="00000000">
        <w:rPr>
          <w:rtl w:val="0"/>
        </w:rPr>
        <w:t xml:space="preserve"> Capacity building was provided to local government stakeholders, including </w:t>
      </w:r>
      <w:r w:rsidDel="00000000" w:rsidR="00000000" w:rsidRPr="00000000">
        <w:rPr>
          <w:i w:val="1"/>
          <w:iCs w:val="1"/>
          <w:rtl w:val="0"/>
        </w:rPr>
        <w:t xml:space="preserve">woreda</w:t>
      </w:r>
      <w:r w:rsidDel="00000000" w:rsidR="00000000" w:rsidRPr="00000000">
        <w:rPr>
          <w:rtl w:val="0"/>
        </w:rPr>
        <w:t xml:space="preserve"> health offices and Health Extension Workers (HEWs), to support demand creation and coordinate sanitation activities</w:t>
      </w:r>
    </w:p>
    <w:p w:rsidR="00000000" w:rsidDel="00000000" w:rsidP="00000000" w:rsidRDefault="00000000" w:rsidRPr="00000000" w14:paraId="00000080">
      <w:pPr>
        <w:pStyle w:val="Heading1"/>
        <w:spacing w:before="0" w:line="276" w:lineRule="auto"/>
        <w:ind w:left="0" w:firstLine="0"/>
        <w:rPr/>
      </w:pPr>
      <w:r w:rsidDel="00000000" w:rsidR="00000000" w:rsidRPr="00000000">
        <w:rPr>
          <w:rtl w:val="0"/>
        </w:rPr>
        <w:t xml:space="preserve">Evaluation Questions and Outcomes</w:t>
      </w:r>
    </w:p>
    <w:p w:rsidR="00000000" w:rsidDel="00000000" w:rsidP="00000000" w:rsidRDefault="00000000" w:rsidRPr="00000000" w14:paraId="00000081">
      <w:pPr>
        <w:pStyle w:val="Heading2"/>
        <w:rPr/>
      </w:pPr>
      <w:r w:rsidDel="00000000" w:rsidR="00000000" w:rsidRPr="00000000">
        <w:rPr>
          <w:rtl w:val="0"/>
        </w:rPr>
        <w:t xml:space="preserve">Research Questions</w:t>
      </w:r>
    </w:p>
    <w:p w:rsidR="00000000" w:rsidDel="00000000" w:rsidP="00000000" w:rsidRDefault="00000000" w:rsidRPr="00000000" w14:paraId="00000082">
      <w:pPr>
        <w:spacing w:line="276" w:lineRule="auto"/>
        <w:rPr/>
      </w:pPr>
      <w:r w:rsidDel="00000000" w:rsidR="00000000" w:rsidRPr="00000000">
        <w:rPr>
          <w:rtl w:val="0"/>
        </w:rPr>
        <w:t xml:space="preserve">The research questions (RQs) were identified via conversations with key stakeholders. The study and intervention population of interest are households lacking basic sanitation, including those practicing open defecation (OD), using unimproved latrines, or sharing improved latrines.</w:t>
      </w:r>
    </w:p>
    <w:p w:rsidR="00000000" w:rsidDel="00000000" w:rsidP="00000000" w:rsidRDefault="00000000" w:rsidRPr="00000000" w14:paraId="00000083">
      <w:pPr>
        <w:pStyle w:val="Heading3"/>
        <w:spacing w:line="276" w:lineRule="auto"/>
        <w:rPr/>
      </w:pPr>
      <w:bookmarkStart w:colFirst="0" w:colLast="0" w:name="_f33t3122akjv" w:id="19"/>
      <w:bookmarkEnd w:id="19"/>
      <w:r w:rsidDel="00000000" w:rsidR="00000000" w:rsidRPr="00000000">
        <w:rPr>
          <w:rtl w:val="0"/>
        </w:rPr>
      </w:r>
    </w:p>
    <w:p w:rsidR="00000000" w:rsidDel="00000000" w:rsidP="00000000" w:rsidRDefault="00000000" w:rsidRPr="00000000" w14:paraId="00000084">
      <w:pPr>
        <w:pStyle w:val="Heading3"/>
        <w:spacing w:line="276" w:lineRule="auto"/>
        <w:rPr/>
      </w:pPr>
      <w:bookmarkStart w:colFirst="0" w:colLast="0" w:name="_cgmgmoso2o92" w:id="20"/>
      <w:bookmarkEnd w:id="20"/>
      <w:r w:rsidDel="00000000" w:rsidR="00000000" w:rsidRPr="00000000">
        <w:rPr>
          <w:rtl w:val="0"/>
        </w:rPr>
        <w:t xml:space="preserve">Primary Research Questions </w:t>
      </w:r>
    </w:p>
    <w:p w:rsidR="00000000" w:rsidDel="00000000" w:rsidP="00000000" w:rsidRDefault="00000000" w:rsidRPr="00000000" w14:paraId="00000085">
      <w:pPr>
        <w:spacing w:line="276" w:lineRule="auto"/>
        <w:rPr/>
      </w:pPr>
      <w:r w:rsidDel="00000000" w:rsidR="00000000" w:rsidRPr="00000000">
        <w:rPr>
          <w:rtl w:val="0"/>
        </w:rPr>
        <w:t xml:space="preserve">RQ1, RQ2, and RQ3 correspond to the primary outcomes of interest.</w:t>
      </w:r>
    </w:p>
    <w:p w:rsidR="00000000" w:rsidDel="00000000" w:rsidP="00000000" w:rsidRDefault="00000000" w:rsidRPr="00000000" w14:paraId="00000086">
      <w:pPr>
        <w:numPr>
          <w:ilvl w:val="0"/>
          <w:numId w:val="12"/>
        </w:numPr>
        <w:spacing w:after="0" w:afterAutospacing="0" w:line="276" w:lineRule="auto"/>
        <w:ind w:left="720" w:hanging="360"/>
        <w:jc w:val="left"/>
      </w:pPr>
      <w:r w:rsidDel="00000000" w:rsidR="00000000" w:rsidRPr="00000000">
        <w:rPr>
          <w:b w:val="1"/>
          <w:bCs w:val="1"/>
          <w:rtl w:val="0"/>
        </w:rPr>
        <w:t xml:space="preserve">RQ1:</w:t>
      </w:r>
      <w:r w:rsidDel="00000000" w:rsidR="00000000" w:rsidRPr="00000000">
        <w:rPr>
          <w:rtl w:val="0"/>
        </w:rPr>
        <w:t xml:space="preserve"> What is the impact of integrating poverty-targeted subsidies with MBS on latrine installation and usage among poor households, compared to MBS alone?</w:t>
      </w:r>
    </w:p>
    <w:p w:rsidR="00000000" w:rsidDel="00000000" w:rsidP="00000000" w:rsidRDefault="00000000" w:rsidRPr="00000000" w14:paraId="00000087">
      <w:pPr>
        <w:numPr>
          <w:ilvl w:val="0"/>
          <w:numId w:val="12"/>
        </w:numPr>
        <w:spacing w:after="0" w:afterAutospacing="0" w:before="0" w:beforeAutospacing="0" w:line="276" w:lineRule="auto"/>
        <w:ind w:left="720" w:hanging="360"/>
        <w:jc w:val="left"/>
      </w:pPr>
      <w:r w:rsidDel="00000000" w:rsidR="00000000" w:rsidRPr="00000000">
        <w:rPr>
          <w:b w:val="1"/>
          <w:bCs w:val="1"/>
          <w:rtl w:val="0"/>
        </w:rPr>
        <w:t xml:space="preserve">RQ2:</w:t>
      </w:r>
      <w:r w:rsidDel="00000000" w:rsidR="00000000" w:rsidRPr="00000000">
        <w:rPr>
          <w:rtl w:val="0"/>
        </w:rPr>
        <w:t xml:space="preserve"> What is the impact of integrating poverty-targeted subsidies with MBS on latrine installation and usage among non-poor households, compared to MBS alone?</w:t>
      </w:r>
    </w:p>
    <w:p w:rsidR="00000000" w:rsidDel="00000000" w:rsidP="00000000" w:rsidRDefault="00000000" w:rsidRPr="00000000" w14:paraId="00000088">
      <w:pPr>
        <w:numPr>
          <w:ilvl w:val="0"/>
          <w:numId w:val="12"/>
        </w:numPr>
        <w:spacing w:before="0" w:beforeAutospacing="0" w:line="276" w:lineRule="auto"/>
        <w:ind w:left="720" w:hanging="360"/>
        <w:jc w:val="left"/>
      </w:pPr>
      <w:r w:rsidDel="00000000" w:rsidR="00000000" w:rsidRPr="00000000">
        <w:rPr>
          <w:b w:val="1"/>
          <w:bCs w:val="1"/>
          <w:rtl w:val="0"/>
        </w:rPr>
        <w:t xml:space="preserve">RQ3:</w:t>
      </w:r>
      <w:r w:rsidDel="00000000" w:rsidR="00000000" w:rsidRPr="00000000">
        <w:rPr>
          <w:rtl w:val="0"/>
        </w:rPr>
        <w:t xml:space="preserve"> What are the costs of implementing a poverty-targeted subsidy program alongside MBS programming?</w:t>
      </w:r>
    </w:p>
    <w:p w:rsidR="00000000" w:rsidDel="00000000" w:rsidP="00000000" w:rsidRDefault="00000000" w:rsidRPr="00000000" w14:paraId="00000089">
      <w:pPr>
        <w:pStyle w:val="Heading3"/>
        <w:spacing w:line="276" w:lineRule="auto"/>
        <w:rPr/>
      </w:pPr>
      <w:bookmarkStart w:colFirst="0" w:colLast="0" w:name="_e8f35jfxnnpq" w:id="21"/>
      <w:bookmarkEnd w:id="21"/>
      <w:r w:rsidDel="00000000" w:rsidR="00000000" w:rsidRPr="00000000">
        <w:rPr>
          <w:rtl w:val="0"/>
        </w:rPr>
        <w:t xml:space="preserve">Secondary Research Questions </w:t>
      </w:r>
    </w:p>
    <w:p w:rsidR="00000000" w:rsidDel="00000000" w:rsidP="00000000" w:rsidRDefault="00000000" w:rsidRPr="00000000" w14:paraId="0000008A">
      <w:pPr>
        <w:spacing w:line="276" w:lineRule="auto"/>
        <w:rPr/>
      </w:pPr>
      <w:r w:rsidDel="00000000" w:rsidR="00000000" w:rsidRPr="00000000">
        <w:rPr>
          <w:rtl w:val="0"/>
        </w:rPr>
        <w:t xml:space="preserve">RQ4 and RQ5 correspond to secondary, exploratory outcomes. RQ5 is particularly relevant regarding the National Sanitation Subsidy Protocol, which currently stipulates introducing subsidies only in </w:t>
      </w:r>
      <w:r w:rsidDel="00000000" w:rsidR="00000000" w:rsidRPr="00000000">
        <w:rPr>
          <w:i w:val="1"/>
          <w:iCs w:val="1"/>
          <w:rtl w:val="0"/>
        </w:rPr>
        <w:t xml:space="preserve">woredas</w:t>
      </w:r>
      <w:r w:rsidDel="00000000" w:rsidR="00000000" w:rsidRPr="00000000">
        <w:rPr>
          <w:rtl w:val="0"/>
        </w:rPr>
        <w:t xml:space="preserve"> having at least 50 percent private household coverage. Since coverage rates in iDE operational areas are often much lower (20–48 percent), this question provides evidence on whether this threshold should be reconsidered.</w:t>
      </w:r>
    </w:p>
    <w:p w:rsidR="00000000" w:rsidDel="00000000" w:rsidP="00000000" w:rsidRDefault="00000000" w:rsidRPr="00000000" w14:paraId="0000008B">
      <w:pPr>
        <w:numPr>
          <w:ilvl w:val="0"/>
          <w:numId w:val="2"/>
        </w:numPr>
        <w:spacing w:after="0" w:afterAutospacing="0" w:line="276" w:lineRule="auto"/>
        <w:ind w:left="720" w:hanging="360"/>
        <w:jc w:val="left"/>
      </w:pPr>
      <w:r w:rsidDel="00000000" w:rsidR="00000000" w:rsidRPr="00000000">
        <w:rPr>
          <w:b w:val="1"/>
          <w:bCs w:val="1"/>
          <w:rtl w:val="0"/>
        </w:rPr>
        <w:t xml:space="preserve">RQ4:</w:t>
      </w:r>
      <w:r w:rsidDel="00000000" w:rsidR="00000000" w:rsidRPr="00000000">
        <w:rPr>
          <w:rtl w:val="0"/>
        </w:rPr>
        <w:t xml:space="preserve"> What are the sanitation market conditions after MBS programming and poverty-targeted subsidies have been introduced in an area?</w:t>
      </w:r>
    </w:p>
    <w:p w:rsidR="00000000" w:rsidDel="00000000" w:rsidP="00000000" w:rsidRDefault="00000000" w:rsidRPr="00000000" w14:paraId="0000008C">
      <w:pPr>
        <w:numPr>
          <w:ilvl w:val="0"/>
          <w:numId w:val="2"/>
        </w:numPr>
        <w:spacing w:before="0" w:beforeAutospacing="0" w:line="276" w:lineRule="auto"/>
        <w:ind w:left="720" w:hanging="360"/>
        <w:jc w:val="left"/>
      </w:pPr>
      <w:r w:rsidDel="00000000" w:rsidR="00000000" w:rsidRPr="00000000">
        <w:rPr>
          <w:b w:val="1"/>
          <w:bCs w:val="1"/>
          <w:rtl w:val="0"/>
        </w:rPr>
        <w:t xml:space="preserve">RQ5:</w:t>
      </w:r>
      <w:r w:rsidDel="00000000" w:rsidR="00000000" w:rsidRPr="00000000">
        <w:rPr>
          <w:rtl w:val="0"/>
        </w:rPr>
        <w:t xml:space="preserve"> Are there differences in the impact of subsidies on uptake and usage by poor and non-poor households based on baseline level of sanitation coverage (“low” vs. “high”)? </w:t>
      </w:r>
    </w:p>
    <w:p w:rsidR="00000000" w:rsidDel="00000000" w:rsidP="00000000" w:rsidRDefault="00000000" w:rsidRPr="00000000" w14:paraId="0000008D">
      <w:pPr>
        <w:spacing w:after="160" w:before="0" w:lineRule="auto"/>
        <w:rPr/>
      </w:pPr>
      <w:r w:rsidDel="00000000" w:rsidR="00000000" w:rsidRPr="00000000">
        <w:rPr>
          <w:rtl w:val="0"/>
        </w:rPr>
        <w:t xml:space="preserve">The separation of RQs into primary and secondary is beneficial for two reasons. First, it allows us to narrow in on and pre-specify a small number of the most important and decision-relevant primary outcomes. A greater number of outcomes means more hypotheses to test and standard statistical significance levels (= 0.05) would likely result in finding significant outcomes by chance alone.</w:t>
      </w:r>
      <w:r w:rsidDel="00000000" w:rsidR="00000000" w:rsidRPr="00000000">
        <w:rPr>
          <w:rFonts w:ascii="Arial" w:cs="Arial" w:eastAsia="Arial" w:hAnsi="Arial"/>
          <w:color w:val="6c6463"/>
          <w:vertAlign w:val="superscript"/>
        </w:rPr>
        <w:footnoteReference w:customMarkFollows="0" w:id="12"/>
      </w:r>
      <w:r w:rsidDel="00000000" w:rsidR="00000000" w:rsidRPr="00000000">
        <w:rPr>
          <w:rtl w:val="0"/>
        </w:rPr>
        <w:t xml:space="preserve"> The second reason relates to statistical power: our main impact evaluation is well-powered to detect effect sizes comparable to those we see in the literature. However, for the subgroup analysis in RQ5, the restricted sample size enables us to still detect comparable effects for eligible households but may not be sufficiently powered to detect small differences among ineligible households, given the smaller expected effect sizes. As such, both RQ4 and RQ5 are considered secondary, more exploratory analyses.</w:t>
      </w:r>
    </w:p>
    <w:p w:rsidR="00000000" w:rsidDel="00000000" w:rsidP="00000000" w:rsidRDefault="00000000" w:rsidRPr="00000000" w14:paraId="0000008E">
      <w:pPr>
        <w:pStyle w:val="Heading2"/>
        <w:spacing w:after="0" w:before="0" w:lineRule="auto"/>
        <w:ind w:left="360" w:firstLine="0"/>
        <w:rPr>
          <w:sz w:val="18"/>
          <w:szCs w:val="18"/>
        </w:rPr>
      </w:pPr>
      <w:bookmarkStart w:colFirst="0" w:colLast="0" w:name="_4ah2lo1gf5eg" w:id="22"/>
      <w:bookmarkEnd w:id="22"/>
      <w:r w:rsidDel="00000000" w:rsidR="00000000" w:rsidRPr="00000000">
        <w:rPr>
          <w:rtl w:val="0"/>
        </w:rPr>
      </w:r>
    </w:p>
    <w:p w:rsidR="00000000" w:rsidDel="00000000" w:rsidP="00000000" w:rsidRDefault="00000000" w:rsidRPr="00000000" w14:paraId="0000008F">
      <w:pPr>
        <w:pStyle w:val="Heading2"/>
        <w:rPr>
          <w:rFonts w:ascii="Inter Light" w:cs="Inter Light" w:eastAsia="Inter Light" w:hAnsi="Inter Light"/>
        </w:rPr>
      </w:pPr>
      <w:r w:rsidDel="00000000" w:rsidR="00000000" w:rsidRPr="00000000">
        <w:rPr>
          <w:rtl w:val="0"/>
        </w:rPr>
        <w:t xml:space="preserve">Outcomes</w:t>
      </w:r>
      <w:r w:rsidDel="00000000" w:rsidR="00000000" w:rsidRPr="00000000">
        <w:rPr>
          <w:rtl w:val="0"/>
        </w:rPr>
      </w:r>
    </w:p>
    <w:p w:rsidR="00000000" w:rsidDel="00000000" w:rsidP="00000000" w:rsidRDefault="00000000" w:rsidRPr="00000000" w14:paraId="00000090">
      <w:pPr>
        <w:spacing w:after="0" w:before="0" w:line="276" w:lineRule="auto"/>
        <w:rPr/>
      </w:pPr>
      <w:r w:rsidDel="00000000" w:rsidR="00000000" w:rsidRPr="00000000">
        <w:rPr>
          <w:rtl w:val="0"/>
        </w:rPr>
        <w:t xml:space="preserve">The evaluation focuses on a specific set of primary and secondary outcomes designed to capture the immediate uptake of sanitation products, the sustained behavioral change in usage, and the broader market effects. These outcomes will be measured at different time points, primarily through a household survey conducted approximately one year after subsidy implementation, supplemented by routine monitoring data. </w:t>
      </w:r>
    </w:p>
    <w:p w:rsidR="00000000" w:rsidDel="00000000" w:rsidP="00000000" w:rsidRDefault="00000000" w:rsidRPr="00000000" w14:paraId="00000091">
      <w:pPr>
        <w:spacing w:after="0" w:before="0" w:line="276" w:lineRule="auto"/>
        <w:rPr/>
      </w:pPr>
      <w:r w:rsidDel="00000000" w:rsidR="00000000" w:rsidRPr="00000000">
        <w:rPr>
          <w:rtl w:val="0"/>
        </w:rPr>
      </w:r>
    </w:p>
    <w:p w:rsidR="00000000" w:rsidDel="00000000" w:rsidP="00000000" w:rsidRDefault="00000000" w:rsidRPr="00000000" w14:paraId="00000092">
      <w:pPr>
        <w:pStyle w:val="Heading3"/>
        <w:spacing w:after="0" w:before="0" w:line="276" w:lineRule="auto"/>
        <w:rPr/>
      </w:pPr>
      <w:bookmarkStart w:colFirst="0" w:colLast="0" w:name="_6eye9qanlxhx" w:id="23"/>
      <w:bookmarkEnd w:id="23"/>
      <w:r w:rsidDel="00000000" w:rsidR="00000000" w:rsidRPr="00000000">
        <w:rPr>
          <w:rtl w:val="0"/>
        </w:rPr>
        <w:t xml:space="preserve">Primary Outcomes</w:t>
      </w:r>
    </w:p>
    <w:p w:rsidR="00000000" w:rsidDel="00000000" w:rsidP="00000000" w:rsidRDefault="00000000" w:rsidRPr="00000000" w14:paraId="00000093">
      <w:pPr>
        <w:rPr/>
      </w:pPr>
      <w:r w:rsidDel="00000000" w:rsidR="00000000" w:rsidRPr="00000000">
        <w:rPr>
          <w:rtl w:val="0"/>
        </w:rPr>
        <w:t xml:space="preserve">The study prioritizes three main indicators to assess the direct effectiveness of the intervention.</w:t>
      </w:r>
    </w:p>
    <w:p w:rsidR="00000000" w:rsidDel="00000000" w:rsidP="00000000" w:rsidRDefault="00000000" w:rsidRPr="00000000" w14:paraId="00000094">
      <w:pPr>
        <w:numPr>
          <w:ilvl w:val="0"/>
          <w:numId w:val="8"/>
        </w:numPr>
        <w:spacing w:after="0" w:afterAutospacing="0"/>
        <w:ind w:left="720" w:hanging="360"/>
        <w:rPr>
          <w:u w:val="none"/>
        </w:rPr>
      </w:pPr>
      <w:r w:rsidDel="00000000" w:rsidR="00000000" w:rsidRPr="00000000">
        <w:rPr>
          <w:b w:val="1"/>
          <w:bCs w:val="1"/>
          <w:rtl w:val="0"/>
        </w:rPr>
        <w:t xml:space="preserve">Ownership of an Unshared Improved Latrine:</w:t>
      </w:r>
      <w:r w:rsidDel="00000000" w:rsidR="00000000" w:rsidRPr="00000000">
        <w:rPr>
          <w:rtl w:val="0"/>
        </w:rPr>
        <w:t xml:space="preserve"> This outcome serves as the principal measure of "basic" sanitation coverage, following the Joint Monitoring Program (JMP) ladder. It is defined as the use of improved facilities that are not shared with other households. For this study, an "improved" latrine is strictly defined as a pit latrine with a slab that meets two specific construction standards: the pit must be completely covered with only one small drop hole (or a second for ventilation), and the area surrounding the drop hole (approximately 30 cm radius) must be constructed from smooth, washable materials such as concrete, stone, or durable plastic. This will be verified by enumerators during the endline survey.</w:t>
      </w:r>
    </w:p>
    <w:p w:rsidR="00000000" w:rsidDel="00000000" w:rsidP="00000000" w:rsidRDefault="00000000" w:rsidRPr="00000000" w14:paraId="00000095">
      <w:pPr>
        <w:numPr>
          <w:ilvl w:val="0"/>
          <w:numId w:val="8"/>
        </w:numPr>
        <w:spacing w:after="0" w:afterAutospacing="0" w:before="0" w:beforeAutospacing="0"/>
        <w:ind w:left="720" w:hanging="360"/>
        <w:rPr>
          <w:u w:val="none"/>
        </w:rPr>
      </w:pPr>
      <w:r w:rsidDel="00000000" w:rsidR="00000000" w:rsidRPr="00000000">
        <w:rPr>
          <w:b w:val="1"/>
          <w:bCs w:val="1"/>
          <w:rtl w:val="0"/>
        </w:rPr>
        <w:t xml:space="preserve">Usage of an Unshared Improved Latrine:</w:t>
      </w:r>
      <w:r w:rsidDel="00000000" w:rsidR="00000000" w:rsidRPr="00000000">
        <w:rPr>
          <w:rtl w:val="0"/>
        </w:rPr>
        <w:t xml:space="preserve"> To ensure that infrastructure leads to actual behavioral change, the study measures usage at the individual level. This indicator is calculated as the average percentage of household members aged five years or older, who consistently use the unshared improved latrine owned by the household. Data will be collected by asking respondents about the sanitation behaviors of each specific household member, a method shown to yield more accurate results than general household-level questions.</w:t>
      </w:r>
    </w:p>
    <w:p w:rsidR="00000000" w:rsidDel="00000000" w:rsidP="00000000" w:rsidRDefault="00000000" w:rsidRPr="00000000" w14:paraId="00000096">
      <w:pPr>
        <w:numPr>
          <w:ilvl w:val="0"/>
          <w:numId w:val="8"/>
        </w:numPr>
        <w:spacing w:before="0" w:beforeAutospacing="0"/>
        <w:ind w:left="720" w:hanging="360"/>
        <w:rPr>
          <w:u w:val="none"/>
        </w:rPr>
      </w:pPr>
      <w:r w:rsidDel="00000000" w:rsidR="00000000" w:rsidRPr="00000000">
        <w:rPr>
          <w:b w:val="1"/>
          <w:bCs w:val="1"/>
          <w:rtl w:val="0"/>
        </w:rPr>
        <w:t xml:space="preserve">Practice of Open Defecation (OD)</w:t>
      </w:r>
      <w:r w:rsidDel="00000000" w:rsidR="00000000" w:rsidRPr="00000000">
        <w:rPr>
          <w:rtl w:val="0"/>
        </w:rPr>
        <w:t xml:space="preserve">: </w:t>
      </w:r>
      <w:r w:rsidDel="00000000" w:rsidR="00000000" w:rsidRPr="00000000">
        <w:rPr>
          <w:rtl w:val="0"/>
        </w:rPr>
        <w:t xml:space="preserve">This outcome measures the prevalence of high-risk sanitation behavior. It is defined as the percentage of household members who report open defecation as their primary sanitation practice rather than using a latrine (whether improved or unimproved) while at home. Reducing this figure is a key public health goal of the intervention.</w:t>
      </w:r>
    </w:p>
    <w:p w:rsidR="00000000" w:rsidDel="00000000" w:rsidP="00000000" w:rsidRDefault="00000000" w:rsidRPr="00000000" w14:paraId="00000097">
      <w:pPr>
        <w:pStyle w:val="Heading3"/>
        <w:spacing w:after="0" w:before="0" w:line="276" w:lineRule="auto"/>
        <w:rPr/>
      </w:pPr>
      <w:bookmarkStart w:colFirst="0" w:colLast="0" w:name="_rwrpk8kx1v6s" w:id="24"/>
      <w:bookmarkEnd w:id="24"/>
      <w:r w:rsidDel="00000000" w:rsidR="00000000" w:rsidRPr="00000000">
        <w:rPr>
          <w:rtl w:val="0"/>
        </w:rPr>
        <w:t xml:space="preserve">Secondary Outcomes</w:t>
      </w:r>
    </w:p>
    <w:p w:rsidR="00000000" w:rsidDel="00000000" w:rsidP="00000000" w:rsidRDefault="00000000" w:rsidRPr="00000000" w14:paraId="00000098">
      <w:pPr>
        <w:spacing w:line="276" w:lineRule="auto"/>
        <w:rPr/>
      </w:pPr>
      <w:r w:rsidDel="00000000" w:rsidR="00000000" w:rsidRPr="00000000">
        <w:rPr>
          <w:rtl w:val="0"/>
        </w:rPr>
        <w:t xml:space="preserve">Secondary outcomes provide exploratory insights into short-term adoption, shared sanitation solutions, and equity of access within households.</w:t>
      </w:r>
    </w:p>
    <w:p w:rsidR="00000000" w:rsidDel="00000000" w:rsidP="00000000" w:rsidRDefault="00000000" w:rsidRPr="00000000" w14:paraId="00000099">
      <w:pPr>
        <w:numPr>
          <w:ilvl w:val="0"/>
          <w:numId w:val="13"/>
        </w:numPr>
        <w:spacing w:after="0" w:afterAutospacing="0" w:line="276" w:lineRule="auto"/>
        <w:ind w:left="720" w:hanging="360"/>
        <w:rPr>
          <w:u w:val="none"/>
        </w:rPr>
      </w:pPr>
      <w:r w:rsidDel="00000000" w:rsidR="00000000" w:rsidRPr="00000000">
        <w:rPr>
          <w:b w:val="1"/>
          <w:bCs w:val="1"/>
          <w:rtl w:val="0"/>
        </w:rPr>
        <w:t xml:space="preserve">Short-Term Uptake (Midline Monitoring):</w:t>
      </w:r>
      <w:r w:rsidDel="00000000" w:rsidR="00000000" w:rsidRPr="00000000">
        <w:rPr>
          <w:rtl w:val="0"/>
        </w:rPr>
        <w:t xml:space="preserve"> While the primary ownership outcome is measured at the one-year mark, short-term uptake was tracked through iDE’s routine monitoring data up to six months post-implementation. This allows the study to distinguish between immediate demand generated by the subsidy and longer-term retention of the infrastructure.</w:t>
      </w:r>
    </w:p>
    <w:p w:rsidR="00000000" w:rsidDel="00000000" w:rsidP="00000000" w:rsidRDefault="00000000" w:rsidRPr="00000000" w14:paraId="0000009A">
      <w:pPr>
        <w:numPr>
          <w:ilvl w:val="0"/>
          <w:numId w:val="13"/>
        </w:numPr>
        <w:spacing w:after="0" w:afterAutospacing="0" w:before="0" w:beforeAutospacing="0" w:line="276" w:lineRule="auto"/>
        <w:ind w:left="720" w:hanging="360"/>
        <w:rPr>
          <w:u w:val="none"/>
        </w:rPr>
      </w:pPr>
      <w:r w:rsidDel="00000000" w:rsidR="00000000" w:rsidRPr="00000000">
        <w:rPr>
          <w:b w:val="1"/>
          <w:bCs w:val="1"/>
          <w:rtl w:val="0"/>
        </w:rPr>
        <w:t xml:space="preserve">Co-ownership and Usage of Shared Latrines:</w:t>
      </w:r>
      <w:r w:rsidDel="00000000" w:rsidR="00000000" w:rsidRPr="00000000">
        <w:rPr>
          <w:rtl w:val="0"/>
        </w:rPr>
        <w:t xml:space="preserve"> Recognizing that some households may pool resources to afford better facilities, the study tracked "limited" sanitation service levels. This includes the co-ownership of improved latrines shared between two or more households and the usage rates of these shared facilities by individual family members.</w:t>
      </w:r>
    </w:p>
    <w:p w:rsidR="00000000" w:rsidDel="00000000" w:rsidP="00000000" w:rsidRDefault="00000000" w:rsidRPr="00000000" w14:paraId="0000009B">
      <w:pPr>
        <w:numPr>
          <w:ilvl w:val="0"/>
          <w:numId w:val="13"/>
        </w:numPr>
        <w:spacing w:before="0" w:beforeAutospacing="0" w:line="276" w:lineRule="auto"/>
        <w:ind w:left="720" w:hanging="360"/>
        <w:rPr>
          <w:u w:val="none"/>
        </w:rPr>
      </w:pPr>
      <w:r w:rsidDel="00000000" w:rsidR="00000000" w:rsidRPr="00000000">
        <w:rPr>
          <w:b w:val="1"/>
          <w:bCs w:val="1"/>
          <w:rtl w:val="0"/>
        </w:rPr>
        <w:t xml:space="preserve">Intra-household Usage by Demographic Subgroups:</w:t>
      </w:r>
      <w:r w:rsidDel="00000000" w:rsidR="00000000" w:rsidRPr="00000000">
        <w:rPr>
          <w:rtl w:val="0"/>
        </w:rPr>
        <w:t xml:space="preserve"> To assess whether the benefits of sanitation access are distributed equitably within the home, usage patterns will be disaggregated by key demographic categories. The analysis will specifically calculate usage rates for female members (women and girls aged five and older), elderly members (over age 65), persons with disabilities, and children under five years of age. This subgroup analysis helps determine if the intervention effectively reaches vulnerable individuals within participating households.</w:t>
      </w:r>
    </w:p>
    <w:p w:rsidR="00000000" w:rsidDel="00000000" w:rsidP="00000000" w:rsidRDefault="00000000" w:rsidRPr="00000000" w14:paraId="0000009C">
      <w:pPr>
        <w:spacing w:after="0" w:before="0" w:line="276" w:lineRule="auto"/>
        <w:rPr/>
      </w:pPr>
      <w:r w:rsidDel="00000000" w:rsidR="00000000" w:rsidRPr="00000000">
        <w:rPr>
          <w:rtl w:val="0"/>
        </w:rPr>
      </w:r>
    </w:p>
    <w:p w:rsidR="00000000" w:rsidDel="00000000" w:rsidP="00000000" w:rsidRDefault="00000000" w:rsidRPr="00000000" w14:paraId="0000009D">
      <w:pPr>
        <w:pStyle w:val="Heading1"/>
        <w:spacing w:before="0" w:line="276" w:lineRule="auto"/>
        <w:ind w:left="0" w:firstLine="0"/>
        <w:rPr/>
      </w:pPr>
      <w:r w:rsidDel="00000000" w:rsidR="00000000" w:rsidRPr="00000000">
        <w:rPr>
          <w:rtl w:val="0"/>
        </w:rPr>
        <w:t xml:space="preserve">Randomized Controlled Trial Design</w:t>
      </w:r>
    </w:p>
    <w:p w:rsidR="00000000" w:rsidDel="00000000" w:rsidP="00000000" w:rsidRDefault="00000000" w:rsidRPr="00000000" w14:paraId="0000009E">
      <w:pPr>
        <w:rPr/>
      </w:pPr>
      <w:r w:rsidDel="00000000" w:rsidR="00000000" w:rsidRPr="00000000">
        <w:rPr>
          <w:rtl w:val="0"/>
        </w:rPr>
        <w:t xml:space="preserve">The study employed a two-arm cluster randomized controlled trial (RCT) to evaluate the impact of targeted subsidies on latrine uptake and usage. The unit of randomization was the village (</w:t>
      </w:r>
      <w:r w:rsidDel="00000000" w:rsidR="00000000" w:rsidRPr="00000000">
        <w:rPr>
          <w:i w:val="1"/>
          <w:iCs w:val="1"/>
          <w:rtl w:val="0"/>
        </w:rPr>
        <w:t xml:space="preserve">gott</w:t>
      </w:r>
      <w:r w:rsidDel="00000000" w:rsidR="00000000" w:rsidRPr="00000000">
        <w:rPr>
          <w:rtl w:val="0"/>
        </w:rPr>
        <w:t xml:space="preserve">). From a total of 259 villages across the 11 study </w:t>
      </w:r>
      <w:r w:rsidDel="00000000" w:rsidR="00000000" w:rsidRPr="00000000">
        <w:rPr>
          <w:i w:val="1"/>
          <w:iCs w:val="1"/>
          <w:rtl w:val="0"/>
        </w:rPr>
        <w:t xml:space="preserve">kebeles</w:t>
      </w:r>
      <w:r w:rsidDel="00000000" w:rsidR="00000000" w:rsidRPr="00000000">
        <w:rPr>
          <w:rtl w:val="0"/>
        </w:rPr>
        <w:t xml:space="preserve">, a subset of 104 villages was selected for the study. This selection process prioritized maximizing the number of clusters while ensuring geographic spacing; specifically, villages were selected such that no study village shared a border with another, creating a buffer zone to minimize the risk of contamination between treatment and control arms.</w:t>
      </w:r>
    </w:p>
    <w:p w:rsidR="00000000" w:rsidDel="00000000" w:rsidP="00000000" w:rsidRDefault="00000000" w:rsidRPr="00000000" w14:paraId="0000009F">
      <w:pPr>
        <w:rPr/>
      </w:pPr>
      <w:r w:rsidDel="00000000" w:rsidR="00000000" w:rsidRPr="00000000">
        <w:rPr>
          <w:rtl w:val="0"/>
        </w:rPr>
        <w:t xml:space="preserve">Following a household listing exercise conducted in September and October 2024, households within these 104 villages were classified based on their eligibility for the subsidy. A random sample was then drawn from each village to comprise the study cohort, consisting of 7 subsidy-eligible households (to measure direct effects) and up to 16 subsidy-ineligible households, depending on village size (to measure spillover effects) per village. This resulted in a total expected sample size of roughly 1,957 households.</w:t>
      </w:r>
    </w:p>
    <w:p w:rsidR="00000000" w:rsidDel="00000000" w:rsidP="00000000" w:rsidRDefault="00000000" w:rsidRPr="00000000" w14:paraId="000000A0">
      <w:pPr>
        <w:pStyle w:val="Heading2"/>
        <w:rPr/>
      </w:pPr>
      <w:bookmarkStart w:colFirst="0" w:colLast="0" w:name="_cmdc4qxvlpyx" w:id="25"/>
      <w:bookmarkEnd w:id="25"/>
      <w:r w:rsidDel="00000000" w:rsidR="00000000" w:rsidRPr="00000000">
        <w:rPr>
          <w:rtl w:val="0"/>
        </w:rPr>
        <w:t xml:space="preserve">Randomization</w:t>
      </w:r>
    </w:p>
    <w:p w:rsidR="00000000" w:rsidDel="00000000" w:rsidP="00000000" w:rsidRDefault="00000000" w:rsidRPr="00000000" w14:paraId="000000A1">
      <w:pPr>
        <w:rPr/>
      </w:pPr>
      <w:r w:rsidDel="00000000" w:rsidR="00000000" w:rsidRPr="00000000">
        <w:rPr>
          <w:rtl w:val="0"/>
        </w:rPr>
        <w:t xml:space="preserve">Villages were randomly assigned to either the treatment or control group (52 villages per arm) using a stratified randomization procedure. Stratification was based on two key variables derived from the listing data: baseline sanitation coverage levels and soil conditions (specifically, the presence of collapsing soils, which necessitated the pit lining subsidy) . This approach ensured balance across the study arms and facilitated subgroup analyses of "low" versus "high" coverage areas.</w:t>
      </w:r>
    </w:p>
    <w:p w:rsidR="00000000" w:rsidDel="00000000" w:rsidP="00000000" w:rsidRDefault="00000000" w:rsidRPr="00000000" w14:paraId="000000A2">
      <w:pPr>
        <w:pStyle w:val="Heading2"/>
        <w:rPr/>
      </w:pPr>
      <w:bookmarkStart w:colFirst="0" w:colLast="0" w:name="_fonjsokwe9o" w:id="26"/>
      <w:bookmarkEnd w:id="26"/>
      <w:r w:rsidDel="00000000" w:rsidR="00000000" w:rsidRPr="00000000">
        <w:rPr>
          <w:b w:val="1"/>
          <w:bCs w:val="1"/>
          <w:rtl w:val="0"/>
        </w:rPr>
        <w:t xml:space="preserve">Data Collection and Timeline</w:t>
      </w:r>
      <w:r w:rsidDel="00000000" w:rsidR="00000000" w:rsidRPr="00000000">
        <w:rPr>
          <w:rtl w:val="0"/>
        </w:rPr>
        <w:t xml:space="preserve"> </w:t>
      </w:r>
    </w:p>
    <w:p w:rsidR="00000000" w:rsidDel="00000000" w:rsidP="00000000" w:rsidRDefault="00000000" w:rsidRPr="00000000" w14:paraId="000000A3">
      <w:pPr>
        <w:rPr/>
      </w:pPr>
      <w:r w:rsidDel="00000000" w:rsidR="00000000" w:rsidRPr="00000000">
        <w:rPr>
          <w:rtl w:val="0"/>
        </w:rPr>
        <w:t xml:space="preserve">The evaluation involved multiple phases of data collection and engagement to capture baseline conditions, implementation fidelity, and longer-term impacts:</w:t>
      </w:r>
    </w:p>
    <w:p w:rsidR="00000000" w:rsidDel="00000000" w:rsidP="00000000" w:rsidRDefault="00000000" w:rsidRPr="00000000" w14:paraId="000000A4">
      <w:pPr>
        <w:numPr>
          <w:ilvl w:val="0"/>
          <w:numId w:val="20"/>
        </w:numPr>
        <w:spacing w:after="0" w:afterAutospacing="0"/>
        <w:ind w:left="720" w:hanging="360"/>
        <w:jc w:val="left"/>
      </w:pPr>
      <w:r w:rsidDel="00000000" w:rsidR="00000000" w:rsidRPr="00000000">
        <w:rPr>
          <w:b w:val="1"/>
          <w:bCs w:val="1"/>
          <w:rtl w:val="0"/>
        </w:rPr>
        <w:t xml:space="preserve">Household Listing (September–October 2024):</w:t>
      </w:r>
      <w:r w:rsidDel="00000000" w:rsidR="00000000" w:rsidRPr="00000000">
        <w:rPr>
          <w:rtl w:val="0"/>
        </w:rPr>
        <w:t xml:space="preserve"> iDE sales agents visited every household in the study villages to construct the sampling frame. This exercise collected demographic data, poverty indicators (CBHI status and PPI scores), and baseline latrine ownership status to determine subsidy eligibility.</w:t>
      </w:r>
    </w:p>
    <w:p w:rsidR="00000000" w:rsidDel="00000000" w:rsidP="00000000" w:rsidRDefault="00000000" w:rsidRPr="00000000" w14:paraId="000000A5">
      <w:pPr>
        <w:numPr>
          <w:ilvl w:val="0"/>
          <w:numId w:val="20"/>
        </w:numPr>
        <w:spacing w:after="0" w:afterAutospacing="0" w:before="0" w:beforeAutospacing="0"/>
        <w:ind w:left="720" w:hanging="360"/>
        <w:jc w:val="left"/>
      </w:pPr>
      <w:r w:rsidDel="00000000" w:rsidR="00000000" w:rsidRPr="00000000">
        <w:rPr>
          <w:b w:val="1"/>
          <w:bCs w:val="1"/>
          <w:rtl w:val="0"/>
        </w:rPr>
        <w:t xml:space="preserve">Community Engagement (November–December 2024):</w:t>
      </w:r>
      <w:r w:rsidDel="00000000" w:rsidR="00000000" w:rsidRPr="00000000">
        <w:rPr>
          <w:rtl w:val="0"/>
        </w:rPr>
        <w:t xml:space="preserve"> Prior to the subsidy rollout, </w:t>
      </w:r>
      <w:r w:rsidDel="00000000" w:rsidR="00000000" w:rsidRPr="00000000">
        <w:rPr>
          <w:i w:val="1"/>
          <w:iCs w:val="1"/>
          <w:rtl w:val="0"/>
        </w:rPr>
        <w:t xml:space="preserve">kebele</w:t>
      </w:r>
      <w:r w:rsidDel="00000000" w:rsidR="00000000" w:rsidRPr="00000000">
        <w:rPr>
          <w:rtl w:val="0"/>
        </w:rPr>
        <w:t xml:space="preserve">-level meetings were held in treatment areas to transparently communicate the eligibility criteria to community leaders, aiming to mitigate perceptions of unfairness.</w:t>
      </w:r>
    </w:p>
    <w:p w:rsidR="00000000" w:rsidDel="00000000" w:rsidP="00000000" w:rsidRDefault="00000000" w:rsidRPr="00000000" w14:paraId="000000A6">
      <w:pPr>
        <w:numPr>
          <w:ilvl w:val="0"/>
          <w:numId w:val="20"/>
        </w:numPr>
        <w:spacing w:after="0" w:afterAutospacing="0" w:before="0" w:beforeAutospacing="0"/>
        <w:ind w:left="720" w:hanging="360"/>
        <w:jc w:val="left"/>
      </w:pPr>
      <w:r w:rsidDel="00000000" w:rsidR="00000000" w:rsidRPr="00000000">
        <w:rPr>
          <w:b w:val="1"/>
          <w:bCs w:val="1"/>
          <w:rtl w:val="0"/>
        </w:rPr>
        <w:t xml:space="preserve">Subsidy Implementation (January–February 2025):</w:t>
      </w:r>
      <w:r w:rsidDel="00000000" w:rsidR="00000000" w:rsidRPr="00000000">
        <w:rPr>
          <w:rtl w:val="0"/>
        </w:rPr>
        <w:t xml:space="preserve"> The subsidy intervention was rolled out in the 52 treatment villages. Sales agents offered vouchers to eligible households during door-to-door sales visits.</w:t>
      </w:r>
    </w:p>
    <w:p w:rsidR="00000000" w:rsidDel="00000000" w:rsidP="00000000" w:rsidRDefault="00000000" w:rsidRPr="00000000" w14:paraId="000000A7">
      <w:pPr>
        <w:numPr>
          <w:ilvl w:val="0"/>
          <w:numId w:val="20"/>
        </w:numPr>
        <w:spacing w:after="0" w:afterAutospacing="0" w:before="0" w:beforeAutospacing="0"/>
        <w:ind w:left="720" w:hanging="360"/>
        <w:jc w:val="left"/>
      </w:pPr>
      <w:r w:rsidDel="00000000" w:rsidR="00000000" w:rsidRPr="00000000">
        <w:rPr>
          <w:b w:val="1"/>
          <w:bCs w:val="1"/>
          <w:rtl w:val="0"/>
        </w:rPr>
        <w:t xml:space="preserve">Midline Monitoring (January–August 2025):</w:t>
      </w:r>
      <w:r w:rsidDel="00000000" w:rsidR="00000000" w:rsidRPr="00000000">
        <w:rPr>
          <w:rtl w:val="0"/>
        </w:rPr>
        <w:t xml:space="preserve"> Throughout the implementation and immediate post-implementation period, routine monitoring data was collected. This included tracking sales logs and verifying latrine installations via photos and GPS coordinates to assess short-term uptake .</w:t>
      </w:r>
    </w:p>
    <w:p w:rsidR="00000000" w:rsidDel="00000000" w:rsidP="00000000" w:rsidRDefault="00000000" w:rsidRPr="00000000" w14:paraId="000000A8">
      <w:pPr>
        <w:numPr>
          <w:ilvl w:val="0"/>
          <w:numId w:val="20"/>
        </w:numPr>
        <w:spacing w:before="0" w:beforeAutospacing="0"/>
        <w:ind w:left="720" w:hanging="360"/>
        <w:jc w:val="left"/>
      </w:pPr>
      <w:r w:rsidDel="00000000" w:rsidR="00000000" w:rsidRPr="00000000">
        <w:rPr>
          <w:b w:val="1"/>
          <w:bCs w:val="1"/>
          <w:rtl w:val="0"/>
        </w:rPr>
        <w:t xml:space="preserve">Endline Survey (January 2026):</w:t>
      </w:r>
      <w:r w:rsidDel="00000000" w:rsidR="00000000" w:rsidRPr="00000000">
        <w:rPr>
          <w:rtl w:val="0"/>
        </w:rPr>
        <w:t xml:space="preserve"> A comprehensive household survey is currently being conducted approximately one year after the subsidy rollout. This survey collects the primary outcome data, including enumerator-verified latrine ownership and reported usage behaviors, to assess the medium-term impact of the intervention .</w:t>
      </w:r>
    </w:p>
    <w:p w:rsidR="00000000" w:rsidDel="00000000" w:rsidP="00000000" w:rsidRDefault="00000000" w:rsidRPr="00000000" w14:paraId="000000A9">
      <w:pPr>
        <w:pStyle w:val="Heading2"/>
        <w:rPr/>
      </w:pPr>
      <w:bookmarkStart w:colFirst="0" w:colLast="0" w:name="_c9orbzosd54l" w:id="27"/>
      <w:bookmarkEnd w:id="27"/>
      <w:r w:rsidDel="00000000" w:rsidR="00000000" w:rsidRPr="00000000">
        <w:rPr>
          <w:rtl w:val="0"/>
        </w:rPr>
        <w:t xml:space="preserve">Sample Size and Power </w:t>
      </w:r>
    </w:p>
    <w:p w:rsidR="00000000" w:rsidDel="00000000" w:rsidP="00000000" w:rsidRDefault="00000000" w:rsidRPr="00000000" w14:paraId="000000AA">
      <w:pPr>
        <w:rPr/>
      </w:pPr>
      <w:r w:rsidDel="00000000" w:rsidR="00000000" w:rsidRPr="00000000">
        <w:rPr>
          <w:rtl w:val="0"/>
        </w:rPr>
        <w:t xml:space="preserve">The study was designed to detect meaningful effect sizes for both the direct beneficiaries and the broader community. For subsidy-eligible households, the sample size of 52 villages per arm (with 7 households per village) provides 80% power to detect a 7 percentage point increase in latrine ownership, assuming a 5% baseline in the control group . For ineligible households, the study is powered to detect an 8 percentage point difference (positive or negative spillover), assuming a 15% baseline ownership rate. These calculations account for an intra-cluster correlation (ICC) of 0.1 and a potential 10% attrition rate by endline .</w:t>
      </w:r>
    </w:p>
    <w:p w:rsidR="00000000" w:rsidDel="00000000" w:rsidP="00000000" w:rsidRDefault="00000000" w:rsidRPr="00000000" w14:paraId="000000AB">
      <w:pPr>
        <w:spacing w:after="0" w:before="0" w:line="276" w:lineRule="auto"/>
        <w:ind w:left="0" w:firstLine="0"/>
        <w:rPr/>
      </w:pPr>
      <w:r w:rsidDel="00000000" w:rsidR="00000000" w:rsidRPr="00000000">
        <w:rPr>
          <w:rtl w:val="0"/>
        </w:rPr>
      </w:r>
    </w:p>
    <w:p w:rsidR="00000000" w:rsidDel="00000000" w:rsidP="00000000" w:rsidRDefault="00000000" w:rsidRPr="00000000" w14:paraId="000000AC">
      <w:pPr>
        <w:pStyle w:val="Heading2"/>
        <w:spacing w:after="0" w:before="0" w:line="276" w:lineRule="auto"/>
        <w:rPr/>
      </w:pPr>
      <w:r w:rsidDel="00000000" w:rsidR="00000000" w:rsidRPr="00000000">
        <w:rPr>
          <w:rtl w:val="0"/>
        </w:rPr>
        <w:t xml:space="preserve">Study timeline</w:t>
      </w:r>
    </w:p>
    <w:p w:rsidR="00000000" w:rsidDel="00000000" w:rsidP="00000000" w:rsidRDefault="00000000" w:rsidRPr="00000000" w14:paraId="000000AD">
      <w:pPr>
        <w:spacing w:after="0" w:before="0" w:line="276" w:lineRule="auto"/>
        <w:rPr/>
      </w:pPr>
      <w:r w:rsidDel="00000000" w:rsidR="00000000" w:rsidRPr="00000000">
        <w:rPr>
          <w:rtl w:val="0"/>
        </w:rPr>
      </w:r>
    </w:p>
    <w:p w:rsidR="00000000" w:rsidDel="00000000" w:rsidP="00000000" w:rsidRDefault="00000000" w:rsidRPr="00000000" w14:paraId="000000AE">
      <w:pPr>
        <w:spacing w:after="0" w:before="0" w:line="276" w:lineRule="auto"/>
        <w:rPr/>
      </w:pPr>
      <w:r w:rsidDel="00000000" w:rsidR="00000000" w:rsidRPr="00000000">
        <w:rPr>
          <w:rtl w:val="0"/>
        </w:rPr>
        <w:t xml:space="preserve">Figure 2 summarizes the study timeline. The listing exercise took place in September and October 2024. Subsidy rollout started in January 2025 and took approximately two months to complete, between the initial sales agent visits and the last potential subsidy uptake.</w:t>
      </w:r>
    </w:p>
    <w:p w:rsidR="00000000" w:rsidDel="00000000" w:rsidP="00000000" w:rsidRDefault="00000000" w:rsidRPr="00000000" w14:paraId="000000AF">
      <w:pPr>
        <w:spacing w:after="0" w:before="0" w:line="276" w:lineRule="auto"/>
        <w:rPr/>
      </w:pPr>
      <w:r w:rsidDel="00000000" w:rsidR="00000000" w:rsidRPr="00000000">
        <w:rPr>
          <w:rtl w:val="0"/>
        </w:rPr>
      </w:r>
    </w:p>
    <w:p w:rsidR="00000000" w:rsidDel="00000000" w:rsidP="00000000" w:rsidRDefault="00000000" w:rsidRPr="00000000" w14:paraId="000000B0">
      <w:pPr>
        <w:spacing w:after="0" w:before="0" w:line="276" w:lineRule="auto"/>
        <w:rPr>
          <w:rFonts w:ascii="Inter Light" w:cs="Inter Light" w:eastAsia="Inter Light" w:hAnsi="Inter Light"/>
        </w:rPr>
      </w:pPr>
      <w:r w:rsidDel="00000000" w:rsidR="00000000" w:rsidRPr="00000000">
        <w:rPr>
          <w:rtl w:val="0"/>
        </w:rPr>
      </w:r>
    </w:p>
    <w:p w:rsidR="00000000" w:rsidDel="00000000" w:rsidP="00000000" w:rsidRDefault="00000000" w:rsidRPr="00000000" w14:paraId="000000B1">
      <w:pPr>
        <w:pStyle w:val="Heading3"/>
        <w:spacing w:after="0" w:before="0" w:line="276" w:lineRule="auto"/>
        <w:rPr>
          <w:rFonts w:ascii="Inter Medium" w:cs="Inter Medium" w:eastAsia="Inter Medium" w:hAnsi="Inter Medium"/>
          <w:i w:val="1"/>
          <w:iCs w:val="1"/>
          <w:color w:val="1c2e61"/>
          <w:sz w:val="21"/>
          <w:szCs w:val="21"/>
        </w:rPr>
      </w:pPr>
      <w:bookmarkStart w:colFirst="0" w:colLast="0" w:name="_2alt60io0919" w:id="28"/>
      <w:bookmarkEnd w:id="28"/>
      <w:r w:rsidDel="00000000" w:rsidR="00000000" w:rsidRPr="00000000">
        <w:rPr>
          <w:rtl w:val="0"/>
        </w:rPr>
        <w:t xml:space="preserve">Figure 2: RCT timeline</w:t>
      </w:r>
      <w:r w:rsidDel="00000000" w:rsidR="00000000" w:rsidRPr="00000000">
        <w:rPr>
          <w:rtl w:val="0"/>
        </w:rPr>
      </w:r>
    </w:p>
    <w:p w:rsidR="00000000" w:rsidDel="00000000" w:rsidP="00000000" w:rsidRDefault="00000000" w:rsidRPr="00000000" w14:paraId="000000B2">
      <w:pPr>
        <w:widowControl w:val="0"/>
        <w:shd w:fill="ffffff" w:val="clear"/>
        <w:spacing w:after="160" w:before="0" w:lineRule="auto"/>
        <w:rPr/>
      </w:pPr>
      <w:r w:rsidDel="00000000" w:rsidR="00000000" w:rsidRPr="00000000">
        <w:rPr>
          <w:rtl w:val="0"/>
        </w:rPr>
      </w:r>
    </w:p>
    <w:tbl>
      <w:tblPr>
        <w:tblStyle w:val="Table3"/>
        <w:tblW w:w="11385.0" w:type="dxa"/>
        <w:jc w:val="left"/>
        <w:tblInd w:w="-85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30"/>
        <w:gridCol w:w="465"/>
        <w:gridCol w:w="375"/>
        <w:gridCol w:w="375"/>
        <w:gridCol w:w="375"/>
        <w:gridCol w:w="375"/>
        <w:gridCol w:w="375"/>
        <w:gridCol w:w="375"/>
        <w:gridCol w:w="375"/>
        <w:gridCol w:w="375"/>
        <w:gridCol w:w="375"/>
        <w:gridCol w:w="375"/>
        <w:gridCol w:w="375"/>
        <w:gridCol w:w="360"/>
        <w:gridCol w:w="360"/>
        <w:gridCol w:w="360"/>
        <w:gridCol w:w="360"/>
        <w:gridCol w:w="360"/>
        <w:gridCol w:w="360"/>
        <w:gridCol w:w="360"/>
        <w:gridCol w:w="360"/>
        <w:gridCol w:w="360"/>
        <w:gridCol w:w="360"/>
        <w:gridCol w:w="360"/>
        <w:gridCol w:w="360"/>
        <w:gridCol w:w="330"/>
        <w:gridCol w:w="315"/>
        <w:tblGridChange w:id="0">
          <w:tblGrid>
            <w:gridCol w:w="1830"/>
            <w:gridCol w:w="465"/>
            <w:gridCol w:w="375"/>
            <w:gridCol w:w="375"/>
            <w:gridCol w:w="375"/>
            <w:gridCol w:w="375"/>
            <w:gridCol w:w="375"/>
            <w:gridCol w:w="375"/>
            <w:gridCol w:w="375"/>
            <w:gridCol w:w="375"/>
            <w:gridCol w:w="375"/>
            <w:gridCol w:w="375"/>
            <w:gridCol w:w="375"/>
            <w:gridCol w:w="360"/>
            <w:gridCol w:w="360"/>
            <w:gridCol w:w="360"/>
            <w:gridCol w:w="360"/>
            <w:gridCol w:w="360"/>
            <w:gridCol w:w="360"/>
            <w:gridCol w:w="360"/>
            <w:gridCol w:w="360"/>
            <w:gridCol w:w="360"/>
            <w:gridCol w:w="360"/>
            <w:gridCol w:w="360"/>
            <w:gridCol w:w="360"/>
            <w:gridCol w:w="330"/>
            <w:gridCol w:w="315"/>
          </w:tblGrid>
        </w:tblGridChange>
      </w:tblGrid>
      <w:tr>
        <w:trPr>
          <w:cantSplit w:val="0"/>
          <w:trHeight w:val="390" w:hRule="atLeast"/>
          <w:tblHeader w:val="1"/>
        </w:trPr>
        <w:tc>
          <w:tcPr>
            <w:gridSpan w:val="27"/>
            <w:tcBorders>
              <w:top w:color="000000" w:space="0" w:sz="6" w:val="single"/>
              <w:left w:color="ffffff" w:space="0" w:sz="6" w:val="single"/>
              <w:bottom w:color="000000" w:space="0" w:sz="6" w:val="single"/>
              <w:right w:color="ffffff" w:space="0" w:sz="6" w:val="single"/>
            </w:tcBorders>
            <w:shd w:fill="1c2f62" w:val="clear"/>
            <w:tcMar>
              <w:top w:w="0.0" w:type="dxa"/>
              <w:left w:w="100.0" w:type="dxa"/>
              <w:bottom w:w="0.0" w:type="dxa"/>
              <w:right w:w="100.0" w:type="dxa"/>
            </w:tcMar>
            <w:vAlign w:val="top"/>
          </w:tcPr>
          <w:p w:rsidR="00000000" w:rsidDel="00000000" w:rsidP="00000000" w:rsidRDefault="00000000" w:rsidRPr="00000000" w14:paraId="000000B3">
            <w:pPr>
              <w:widowControl w:val="0"/>
              <w:spacing w:after="160" w:before="0" w:lineRule="auto"/>
              <w:rPr>
                <w:b w:val="1"/>
                <w:bCs w:val="1"/>
                <w:color w:val="ffffff"/>
                <w:sz w:val="18"/>
                <w:szCs w:val="18"/>
              </w:rPr>
            </w:pPr>
            <w:r w:rsidDel="00000000" w:rsidR="00000000" w:rsidRPr="00000000">
              <w:rPr>
                <w:b w:val="1"/>
                <w:bCs w:val="1"/>
                <w:color w:val="ffffff"/>
                <w:sz w:val="18"/>
                <w:szCs w:val="18"/>
                <w:rtl w:val="0"/>
              </w:rPr>
              <w:t xml:space="preserve">TABLE 3: SUBSIDY ROLLOUT GANTT CHART</w:t>
            </w:r>
          </w:p>
        </w:tc>
      </w:tr>
      <w:tr>
        <w:trPr>
          <w:cantSplit w:val="0"/>
          <w:trHeight w:val="660" w:hRule="atLeast"/>
          <w:tblHeader w:val="1"/>
        </w:trPr>
        <w:tc>
          <w:tcPr>
            <w:vMerge w:val="restart"/>
            <w:tcBorders>
              <w:top w:color="000000" w:space="0" w:sz="0" w:val="nil"/>
              <w:left w:color="ffffff" w:space="0" w:sz="6" w:val="single"/>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CE">
            <w:pPr>
              <w:widowControl w:val="0"/>
              <w:spacing w:after="160" w:before="0" w:lineRule="auto"/>
              <w:jc w:val="center"/>
              <w:rPr>
                <w:b w:val="1"/>
                <w:bCs w:val="1"/>
                <w:sz w:val="18"/>
                <w:szCs w:val="18"/>
              </w:rPr>
            </w:pPr>
            <w:r w:rsidDel="00000000" w:rsidR="00000000" w:rsidRPr="00000000">
              <w:rPr>
                <w:b w:val="1"/>
                <w:bCs w:val="1"/>
                <w:sz w:val="18"/>
                <w:szCs w:val="18"/>
                <w:rtl w:val="0"/>
              </w:rPr>
              <w:t xml:space="preserve">ACTIVITY</w:t>
            </w:r>
          </w:p>
        </w:tc>
        <w:tc>
          <w:tcPr>
            <w:gridSpan w:val="12"/>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CF">
            <w:pPr>
              <w:widowControl w:val="0"/>
              <w:spacing w:after="160" w:before="0" w:lineRule="auto"/>
              <w:jc w:val="center"/>
              <w:rPr>
                <w:b w:val="1"/>
                <w:bCs w:val="1"/>
                <w:sz w:val="16"/>
                <w:szCs w:val="16"/>
              </w:rPr>
            </w:pPr>
            <w:r w:rsidDel="00000000" w:rsidR="00000000" w:rsidRPr="00000000">
              <w:rPr>
                <w:b w:val="1"/>
                <w:bCs w:val="1"/>
                <w:sz w:val="16"/>
                <w:szCs w:val="16"/>
                <w:rtl w:val="0"/>
              </w:rPr>
              <w:t xml:space="preserve">2</w:t>
            </w:r>
            <w:r w:rsidDel="00000000" w:rsidR="00000000" w:rsidRPr="00000000">
              <w:rPr>
                <w:b w:val="1"/>
                <w:bCs w:val="1"/>
                <w:sz w:val="16"/>
                <w:szCs w:val="16"/>
                <w:rtl w:val="0"/>
              </w:rPr>
              <w:t xml:space="preserve">024</w:t>
            </w:r>
          </w:p>
        </w:tc>
        <w:tc>
          <w:tcPr>
            <w:gridSpan w:val="12"/>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DB">
            <w:pPr>
              <w:widowControl w:val="0"/>
              <w:spacing w:after="160" w:before="0" w:lineRule="auto"/>
              <w:jc w:val="center"/>
              <w:rPr>
                <w:b w:val="1"/>
                <w:bCs w:val="1"/>
                <w:sz w:val="16"/>
                <w:szCs w:val="16"/>
              </w:rPr>
            </w:pPr>
            <w:r w:rsidDel="00000000" w:rsidR="00000000" w:rsidRPr="00000000">
              <w:rPr>
                <w:b w:val="1"/>
                <w:bCs w:val="1"/>
                <w:sz w:val="16"/>
                <w:szCs w:val="16"/>
                <w:rtl w:val="0"/>
              </w:rPr>
              <w:t xml:space="preserve">2025</w:t>
            </w:r>
          </w:p>
        </w:tc>
        <w:tc>
          <w:tcPr>
            <w:gridSpan w:val="2"/>
            <w:tcBorders>
              <w:top w:color="000000" w:space="0" w:sz="0" w:val="nil"/>
              <w:left w:color="000000" w:space="0" w:sz="0" w:val="nil"/>
              <w:bottom w:color="000000" w:space="0" w:sz="6" w:val="single"/>
              <w:right w:color="ffffff"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E7">
            <w:pPr>
              <w:widowControl w:val="0"/>
              <w:spacing w:after="160" w:before="0" w:lineRule="auto"/>
              <w:jc w:val="center"/>
              <w:rPr>
                <w:b w:val="1"/>
                <w:bCs w:val="1"/>
                <w:sz w:val="16"/>
                <w:szCs w:val="16"/>
              </w:rPr>
            </w:pPr>
            <w:r w:rsidDel="00000000" w:rsidR="00000000" w:rsidRPr="00000000">
              <w:rPr>
                <w:b w:val="1"/>
                <w:bCs w:val="1"/>
                <w:sz w:val="16"/>
                <w:szCs w:val="16"/>
                <w:rtl w:val="0"/>
              </w:rPr>
              <w:t xml:space="preserve">2026</w:t>
            </w:r>
          </w:p>
        </w:tc>
      </w:tr>
      <w:tr>
        <w:trPr>
          <w:cantSplit w:val="0"/>
          <w:trHeight w:val="660" w:hRule="atLeast"/>
          <w:tblHeader w:val="1"/>
        </w:trPr>
        <w:tc>
          <w:tcPr>
            <w:vMerge w:val="continue"/>
            <w:tcBorders>
              <w:top w:color="000000" w:space="0" w:sz="0" w:val="nil"/>
              <w:left w:color="ffffff" w:space="0" w:sz="6" w:val="single"/>
              <w:bottom w:color="000000" w:space="0" w:sz="6" w:val="single"/>
              <w:right w:color="000000" w:space="0" w:sz="6" w:val="single"/>
            </w:tcBorders>
            <w:shd w:fill="a8cceb" w:val="clear"/>
            <w:tcMar>
              <w:top w:w="100.0" w:type="dxa"/>
              <w:left w:w="100.0" w:type="dxa"/>
              <w:bottom w:w="100.0" w:type="dxa"/>
              <w:right w:w="100.0" w:type="dxa"/>
            </w:tcMar>
            <w:vAlign w:val="top"/>
          </w:tcPr>
          <w:p w:rsidR="00000000" w:rsidDel="00000000" w:rsidP="00000000" w:rsidRDefault="00000000" w:rsidRPr="00000000" w14:paraId="000000E9">
            <w:pPr>
              <w:widowControl w:val="0"/>
              <w:spacing w:after="0" w:before="0" w:lineRule="auto"/>
              <w:rPr>
                <w:rFonts w:ascii="Inter Medium" w:cs="Inter Medium" w:eastAsia="Inter Medium" w:hAnsi="Inter Medium"/>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EA">
            <w:pPr>
              <w:widowControl w:val="0"/>
              <w:spacing w:after="160" w:before="0" w:lineRule="auto"/>
              <w:jc w:val="center"/>
              <w:rPr>
                <w:b w:val="1"/>
                <w:bCs w:val="1"/>
                <w:sz w:val="12"/>
                <w:szCs w:val="12"/>
              </w:rPr>
            </w:pPr>
            <w:r w:rsidDel="00000000" w:rsidR="00000000" w:rsidRPr="00000000">
              <w:rPr>
                <w:b w:val="1"/>
                <w:bCs w:val="1"/>
                <w:sz w:val="12"/>
                <w:szCs w:val="12"/>
                <w:rtl w:val="0"/>
              </w:rPr>
              <w:t xml:space="preserve">1</w:t>
            </w:r>
          </w:p>
        </w:tc>
        <w:tc>
          <w:tcPr>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EB">
            <w:pPr>
              <w:widowControl w:val="0"/>
              <w:spacing w:after="160" w:before="0" w:lineRule="auto"/>
              <w:jc w:val="center"/>
              <w:rPr>
                <w:b w:val="1"/>
                <w:bCs w:val="1"/>
                <w:sz w:val="12"/>
                <w:szCs w:val="12"/>
              </w:rPr>
            </w:pPr>
            <w:r w:rsidDel="00000000" w:rsidR="00000000" w:rsidRPr="00000000">
              <w:rPr>
                <w:b w:val="1"/>
                <w:bCs w:val="1"/>
                <w:sz w:val="12"/>
                <w:szCs w:val="12"/>
                <w:rtl w:val="0"/>
              </w:rPr>
              <w:t xml:space="preserve">2</w:t>
            </w:r>
          </w:p>
        </w:tc>
        <w:tc>
          <w:tcPr>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EC">
            <w:pPr>
              <w:widowControl w:val="0"/>
              <w:spacing w:after="160" w:before="0" w:lineRule="auto"/>
              <w:jc w:val="center"/>
              <w:rPr>
                <w:b w:val="1"/>
                <w:bCs w:val="1"/>
                <w:sz w:val="12"/>
                <w:szCs w:val="12"/>
              </w:rPr>
            </w:pPr>
            <w:r w:rsidDel="00000000" w:rsidR="00000000" w:rsidRPr="00000000">
              <w:rPr>
                <w:b w:val="1"/>
                <w:bCs w:val="1"/>
                <w:sz w:val="12"/>
                <w:szCs w:val="12"/>
                <w:rtl w:val="0"/>
              </w:rPr>
              <w:t xml:space="preserve">3</w:t>
            </w:r>
          </w:p>
        </w:tc>
        <w:tc>
          <w:tcPr>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ED">
            <w:pPr>
              <w:widowControl w:val="0"/>
              <w:spacing w:after="160" w:before="0" w:lineRule="auto"/>
              <w:jc w:val="center"/>
              <w:rPr>
                <w:b w:val="1"/>
                <w:bCs w:val="1"/>
                <w:sz w:val="12"/>
                <w:szCs w:val="12"/>
              </w:rPr>
            </w:pPr>
            <w:r w:rsidDel="00000000" w:rsidR="00000000" w:rsidRPr="00000000">
              <w:rPr>
                <w:b w:val="1"/>
                <w:bCs w:val="1"/>
                <w:sz w:val="12"/>
                <w:szCs w:val="12"/>
                <w:rtl w:val="0"/>
              </w:rPr>
              <w:t xml:space="preserve">4</w:t>
            </w:r>
          </w:p>
        </w:tc>
        <w:tc>
          <w:tcPr>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EE">
            <w:pPr>
              <w:widowControl w:val="0"/>
              <w:spacing w:after="160" w:before="0" w:lineRule="auto"/>
              <w:jc w:val="center"/>
              <w:rPr>
                <w:b w:val="1"/>
                <w:bCs w:val="1"/>
                <w:sz w:val="12"/>
                <w:szCs w:val="12"/>
              </w:rPr>
            </w:pPr>
            <w:r w:rsidDel="00000000" w:rsidR="00000000" w:rsidRPr="00000000">
              <w:rPr>
                <w:b w:val="1"/>
                <w:bCs w:val="1"/>
                <w:sz w:val="12"/>
                <w:szCs w:val="12"/>
                <w:rtl w:val="0"/>
              </w:rPr>
              <w:t xml:space="preserve">5</w:t>
            </w:r>
          </w:p>
        </w:tc>
        <w:tc>
          <w:tcPr>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EF">
            <w:pPr>
              <w:widowControl w:val="0"/>
              <w:spacing w:after="160" w:before="0" w:lineRule="auto"/>
              <w:jc w:val="center"/>
              <w:rPr>
                <w:b w:val="1"/>
                <w:bCs w:val="1"/>
                <w:sz w:val="12"/>
                <w:szCs w:val="12"/>
              </w:rPr>
            </w:pPr>
            <w:r w:rsidDel="00000000" w:rsidR="00000000" w:rsidRPr="00000000">
              <w:rPr>
                <w:b w:val="1"/>
                <w:bCs w:val="1"/>
                <w:sz w:val="12"/>
                <w:szCs w:val="12"/>
                <w:rtl w:val="0"/>
              </w:rPr>
              <w:t xml:space="preserve">6</w:t>
            </w:r>
          </w:p>
        </w:tc>
        <w:tc>
          <w:tcPr>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F0">
            <w:pPr>
              <w:widowControl w:val="0"/>
              <w:spacing w:after="160" w:before="0" w:lineRule="auto"/>
              <w:jc w:val="center"/>
              <w:rPr>
                <w:b w:val="1"/>
                <w:bCs w:val="1"/>
                <w:sz w:val="12"/>
                <w:szCs w:val="12"/>
              </w:rPr>
            </w:pPr>
            <w:r w:rsidDel="00000000" w:rsidR="00000000" w:rsidRPr="00000000">
              <w:rPr>
                <w:b w:val="1"/>
                <w:bCs w:val="1"/>
                <w:sz w:val="12"/>
                <w:szCs w:val="12"/>
                <w:rtl w:val="0"/>
              </w:rPr>
              <w:t xml:space="preserve">7</w:t>
            </w:r>
          </w:p>
        </w:tc>
        <w:tc>
          <w:tcPr>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F1">
            <w:pPr>
              <w:widowControl w:val="0"/>
              <w:spacing w:after="160" w:before="0" w:lineRule="auto"/>
              <w:jc w:val="center"/>
              <w:rPr>
                <w:b w:val="1"/>
                <w:bCs w:val="1"/>
                <w:sz w:val="12"/>
                <w:szCs w:val="12"/>
              </w:rPr>
            </w:pPr>
            <w:r w:rsidDel="00000000" w:rsidR="00000000" w:rsidRPr="00000000">
              <w:rPr>
                <w:b w:val="1"/>
                <w:bCs w:val="1"/>
                <w:sz w:val="12"/>
                <w:szCs w:val="12"/>
                <w:rtl w:val="0"/>
              </w:rPr>
              <w:t xml:space="preserve">8</w:t>
            </w:r>
          </w:p>
        </w:tc>
        <w:tc>
          <w:tcPr>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F2">
            <w:pPr>
              <w:widowControl w:val="0"/>
              <w:spacing w:after="160" w:before="0" w:lineRule="auto"/>
              <w:jc w:val="center"/>
              <w:rPr>
                <w:b w:val="1"/>
                <w:bCs w:val="1"/>
                <w:sz w:val="12"/>
                <w:szCs w:val="12"/>
              </w:rPr>
            </w:pPr>
            <w:r w:rsidDel="00000000" w:rsidR="00000000" w:rsidRPr="00000000">
              <w:rPr>
                <w:b w:val="1"/>
                <w:bCs w:val="1"/>
                <w:sz w:val="12"/>
                <w:szCs w:val="12"/>
                <w:rtl w:val="0"/>
              </w:rPr>
              <w:t xml:space="preserve">9</w:t>
            </w:r>
          </w:p>
        </w:tc>
        <w:tc>
          <w:tcPr>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F3">
            <w:pPr>
              <w:widowControl w:val="0"/>
              <w:spacing w:after="160" w:before="0" w:lineRule="auto"/>
              <w:jc w:val="center"/>
              <w:rPr>
                <w:b w:val="1"/>
                <w:bCs w:val="1"/>
                <w:sz w:val="12"/>
                <w:szCs w:val="12"/>
              </w:rPr>
            </w:pPr>
            <w:r w:rsidDel="00000000" w:rsidR="00000000" w:rsidRPr="00000000">
              <w:rPr>
                <w:b w:val="1"/>
                <w:bCs w:val="1"/>
                <w:sz w:val="12"/>
                <w:szCs w:val="12"/>
                <w:rtl w:val="0"/>
              </w:rPr>
              <w:t xml:space="preserve">10</w:t>
            </w:r>
          </w:p>
        </w:tc>
        <w:tc>
          <w:tcPr>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F4">
            <w:pPr>
              <w:widowControl w:val="0"/>
              <w:spacing w:after="160" w:before="0" w:lineRule="auto"/>
              <w:jc w:val="center"/>
              <w:rPr>
                <w:b w:val="1"/>
                <w:bCs w:val="1"/>
                <w:sz w:val="12"/>
                <w:szCs w:val="12"/>
              </w:rPr>
            </w:pPr>
            <w:r w:rsidDel="00000000" w:rsidR="00000000" w:rsidRPr="00000000">
              <w:rPr>
                <w:b w:val="1"/>
                <w:bCs w:val="1"/>
                <w:sz w:val="12"/>
                <w:szCs w:val="12"/>
                <w:rtl w:val="0"/>
              </w:rPr>
              <w:t xml:space="preserve">11</w:t>
            </w:r>
          </w:p>
        </w:tc>
        <w:tc>
          <w:tcPr>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F5">
            <w:pPr>
              <w:widowControl w:val="0"/>
              <w:spacing w:after="160" w:before="0" w:lineRule="auto"/>
              <w:jc w:val="center"/>
              <w:rPr>
                <w:b w:val="1"/>
                <w:bCs w:val="1"/>
                <w:sz w:val="12"/>
                <w:szCs w:val="12"/>
              </w:rPr>
            </w:pPr>
            <w:r w:rsidDel="00000000" w:rsidR="00000000" w:rsidRPr="00000000">
              <w:rPr>
                <w:b w:val="1"/>
                <w:bCs w:val="1"/>
                <w:sz w:val="12"/>
                <w:szCs w:val="12"/>
                <w:rtl w:val="0"/>
              </w:rPr>
              <w:t xml:space="preserve">12</w:t>
            </w:r>
          </w:p>
        </w:tc>
        <w:tc>
          <w:tcPr>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F6">
            <w:pPr>
              <w:widowControl w:val="0"/>
              <w:spacing w:after="160" w:before="0" w:lineRule="auto"/>
              <w:jc w:val="center"/>
              <w:rPr>
                <w:b w:val="1"/>
                <w:bCs w:val="1"/>
                <w:sz w:val="12"/>
                <w:szCs w:val="12"/>
              </w:rPr>
            </w:pPr>
            <w:r w:rsidDel="00000000" w:rsidR="00000000" w:rsidRPr="00000000">
              <w:rPr>
                <w:b w:val="1"/>
                <w:bCs w:val="1"/>
                <w:sz w:val="12"/>
                <w:szCs w:val="12"/>
                <w:rtl w:val="0"/>
              </w:rPr>
              <w:t xml:space="preserve">1</w:t>
            </w:r>
          </w:p>
        </w:tc>
        <w:tc>
          <w:tcPr>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F7">
            <w:pPr>
              <w:widowControl w:val="0"/>
              <w:spacing w:after="160" w:before="0" w:lineRule="auto"/>
              <w:jc w:val="center"/>
              <w:rPr>
                <w:b w:val="1"/>
                <w:bCs w:val="1"/>
                <w:sz w:val="12"/>
                <w:szCs w:val="12"/>
              </w:rPr>
            </w:pPr>
            <w:r w:rsidDel="00000000" w:rsidR="00000000" w:rsidRPr="00000000">
              <w:rPr>
                <w:b w:val="1"/>
                <w:bCs w:val="1"/>
                <w:sz w:val="12"/>
                <w:szCs w:val="12"/>
                <w:rtl w:val="0"/>
              </w:rPr>
              <w:t xml:space="preserve">2</w:t>
            </w:r>
          </w:p>
        </w:tc>
        <w:tc>
          <w:tcPr>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F8">
            <w:pPr>
              <w:widowControl w:val="0"/>
              <w:spacing w:after="160" w:before="0" w:lineRule="auto"/>
              <w:jc w:val="center"/>
              <w:rPr>
                <w:b w:val="1"/>
                <w:bCs w:val="1"/>
                <w:sz w:val="12"/>
                <w:szCs w:val="12"/>
              </w:rPr>
            </w:pPr>
            <w:r w:rsidDel="00000000" w:rsidR="00000000" w:rsidRPr="00000000">
              <w:rPr>
                <w:b w:val="1"/>
                <w:bCs w:val="1"/>
                <w:sz w:val="12"/>
                <w:szCs w:val="12"/>
                <w:rtl w:val="0"/>
              </w:rPr>
              <w:t xml:space="preserve">3</w:t>
            </w:r>
          </w:p>
        </w:tc>
        <w:tc>
          <w:tcPr>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F9">
            <w:pPr>
              <w:widowControl w:val="0"/>
              <w:spacing w:after="160" w:before="0" w:lineRule="auto"/>
              <w:jc w:val="center"/>
              <w:rPr>
                <w:b w:val="1"/>
                <w:bCs w:val="1"/>
                <w:sz w:val="12"/>
                <w:szCs w:val="12"/>
              </w:rPr>
            </w:pPr>
            <w:r w:rsidDel="00000000" w:rsidR="00000000" w:rsidRPr="00000000">
              <w:rPr>
                <w:b w:val="1"/>
                <w:bCs w:val="1"/>
                <w:sz w:val="12"/>
                <w:szCs w:val="12"/>
                <w:rtl w:val="0"/>
              </w:rPr>
              <w:t xml:space="preserve">4</w:t>
            </w:r>
          </w:p>
        </w:tc>
        <w:tc>
          <w:tcPr>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FA">
            <w:pPr>
              <w:widowControl w:val="0"/>
              <w:spacing w:after="160" w:before="0" w:lineRule="auto"/>
              <w:jc w:val="center"/>
              <w:rPr>
                <w:b w:val="1"/>
                <w:bCs w:val="1"/>
                <w:sz w:val="12"/>
                <w:szCs w:val="12"/>
              </w:rPr>
            </w:pPr>
            <w:r w:rsidDel="00000000" w:rsidR="00000000" w:rsidRPr="00000000">
              <w:rPr>
                <w:b w:val="1"/>
                <w:bCs w:val="1"/>
                <w:sz w:val="12"/>
                <w:szCs w:val="12"/>
                <w:rtl w:val="0"/>
              </w:rPr>
              <w:t xml:space="preserve">5</w:t>
            </w:r>
          </w:p>
        </w:tc>
        <w:tc>
          <w:tcPr>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FB">
            <w:pPr>
              <w:widowControl w:val="0"/>
              <w:spacing w:after="160" w:before="0" w:lineRule="auto"/>
              <w:jc w:val="center"/>
              <w:rPr>
                <w:b w:val="1"/>
                <w:bCs w:val="1"/>
                <w:sz w:val="12"/>
                <w:szCs w:val="12"/>
              </w:rPr>
            </w:pPr>
            <w:r w:rsidDel="00000000" w:rsidR="00000000" w:rsidRPr="00000000">
              <w:rPr>
                <w:b w:val="1"/>
                <w:bCs w:val="1"/>
                <w:sz w:val="12"/>
                <w:szCs w:val="12"/>
                <w:rtl w:val="0"/>
              </w:rPr>
              <w:t xml:space="preserve">6</w:t>
            </w:r>
          </w:p>
        </w:tc>
        <w:tc>
          <w:tcPr>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FC">
            <w:pPr>
              <w:widowControl w:val="0"/>
              <w:spacing w:after="160" w:before="0" w:lineRule="auto"/>
              <w:jc w:val="center"/>
              <w:rPr>
                <w:b w:val="1"/>
                <w:bCs w:val="1"/>
                <w:sz w:val="12"/>
                <w:szCs w:val="12"/>
              </w:rPr>
            </w:pPr>
            <w:r w:rsidDel="00000000" w:rsidR="00000000" w:rsidRPr="00000000">
              <w:rPr>
                <w:b w:val="1"/>
                <w:bCs w:val="1"/>
                <w:sz w:val="12"/>
                <w:szCs w:val="12"/>
                <w:rtl w:val="0"/>
              </w:rPr>
              <w:t xml:space="preserve">7</w:t>
            </w:r>
          </w:p>
        </w:tc>
        <w:tc>
          <w:tcPr>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FD">
            <w:pPr>
              <w:widowControl w:val="0"/>
              <w:spacing w:after="160" w:before="0" w:lineRule="auto"/>
              <w:jc w:val="center"/>
              <w:rPr>
                <w:b w:val="1"/>
                <w:bCs w:val="1"/>
                <w:sz w:val="12"/>
                <w:szCs w:val="12"/>
              </w:rPr>
            </w:pPr>
            <w:r w:rsidDel="00000000" w:rsidR="00000000" w:rsidRPr="00000000">
              <w:rPr>
                <w:b w:val="1"/>
                <w:bCs w:val="1"/>
                <w:sz w:val="12"/>
                <w:szCs w:val="12"/>
                <w:rtl w:val="0"/>
              </w:rPr>
              <w:t xml:space="preserve">8</w:t>
            </w:r>
          </w:p>
        </w:tc>
        <w:tc>
          <w:tcPr>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FE">
            <w:pPr>
              <w:widowControl w:val="0"/>
              <w:spacing w:after="160" w:before="0" w:lineRule="auto"/>
              <w:jc w:val="center"/>
              <w:rPr>
                <w:b w:val="1"/>
                <w:bCs w:val="1"/>
                <w:sz w:val="12"/>
                <w:szCs w:val="12"/>
              </w:rPr>
            </w:pPr>
            <w:r w:rsidDel="00000000" w:rsidR="00000000" w:rsidRPr="00000000">
              <w:rPr>
                <w:b w:val="1"/>
                <w:bCs w:val="1"/>
                <w:sz w:val="12"/>
                <w:szCs w:val="12"/>
                <w:rtl w:val="0"/>
              </w:rPr>
              <w:t xml:space="preserve">9</w:t>
            </w:r>
          </w:p>
        </w:tc>
        <w:tc>
          <w:tcPr>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0FF">
            <w:pPr>
              <w:widowControl w:val="0"/>
              <w:spacing w:after="160" w:before="0" w:lineRule="auto"/>
              <w:jc w:val="center"/>
              <w:rPr>
                <w:b w:val="1"/>
                <w:bCs w:val="1"/>
                <w:sz w:val="12"/>
                <w:szCs w:val="12"/>
              </w:rPr>
            </w:pPr>
            <w:r w:rsidDel="00000000" w:rsidR="00000000" w:rsidRPr="00000000">
              <w:rPr>
                <w:b w:val="1"/>
                <w:bCs w:val="1"/>
                <w:sz w:val="12"/>
                <w:szCs w:val="12"/>
                <w:rtl w:val="0"/>
              </w:rPr>
              <w:t xml:space="preserve">10</w:t>
            </w:r>
          </w:p>
        </w:tc>
        <w:tc>
          <w:tcPr>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100">
            <w:pPr>
              <w:widowControl w:val="0"/>
              <w:spacing w:after="160" w:before="0" w:lineRule="auto"/>
              <w:jc w:val="center"/>
              <w:rPr>
                <w:b w:val="1"/>
                <w:bCs w:val="1"/>
                <w:sz w:val="12"/>
                <w:szCs w:val="12"/>
              </w:rPr>
            </w:pPr>
            <w:r w:rsidDel="00000000" w:rsidR="00000000" w:rsidRPr="00000000">
              <w:rPr>
                <w:b w:val="1"/>
                <w:bCs w:val="1"/>
                <w:sz w:val="12"/>
                <w:szCs w:val="12"/>
                <w:rtl w:val="0"/>
              </w:rPr>
              <w:t xml:space="preserve">11</w:t>
            </w:r>
          </w:p>
        </w:tc>
        <w:tc>
          <w:tcPr>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101">
            <w:pPr>
              <w:widowControl w:val="0"/>
              <w:spacing w:after="160" w:before="0" w:lineRule="auto"/>
              <w:jc w:val="center"/>
              <w:rPr>
                <w:b w:val="1"/>
                <w:bCs w:val="1"/>
                <w:sz w:val="12"/>
                <w:szCs w:val="12"/>
              </w:rPr>
            </w:pPr>
            <w:r w:rsidDel="00000000" w:rsidR="00000000" w:rsidRPr="00000000">
              <w:rPr>
                <w:b w:val="1"/>
                <w:bCs w:val="1"/>
                <w:sz w:val="12"/>
                <w:szCs w:val="12"/>
                <w:rtl w:val="0"/>
              </w:rPr>
              <w:t xml:space="preserve">12</w:t>
            </w:r>
          </w:p>
        </w:tc>
        <w:tc>
          <w:tcPr>
            <w:tcBorders>
              <w:top w:color="000000" w:space="0" w:sz="0" w:val="nil"/>
              <w:left w:color="000000" w:space="0" w:sz="0" w:val="nil"/>
              <w:bottom w:color="000000" w:space="0" w:sz="6" w:val="single"/>
              <w:right w:color="000000"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102">
            <w:pPr>
              <w:widowControl w:val="0"/>
              <w:spacing w:after="160" w:before="0" w:lineRule="auto"/>
              <w:jc w:val="center"/>
              <w:rPr>
                <w:b w:val="1"/>
                <w:bCs w:val="1"/>
                <w:sz w:val="12"/>
                <w:szCs w:val="12"/>
              </w:rPr>
            </w:pPr>
            <w:r w:rsidDel="00000000" w:rsidR="00000000" w:rsidRPr="00000000">
              <w:rPr>
                <w:b w:val="1"/>
                <w:bCs w:val="1"/>
                <w:sz w:val="12"/>
                <w:szCs w:val="12"/>
                <w:rtl w:val="0"/>
              </w:rPr>
              <w:t xml:space="preserve">1</w:t>
            </w:r>
          </w:p>
        </w:tc>
        <w:tc>
          <w:tcPr>
            <w:tcBorders>
              <w:top w:color="000000" w:space="0" w:sz="0" w:val="nil"/>
              <w:left w:color="000000" w:space="0" w:sz="0" w:val="nil"/>
              <w:bottom w:color="000000" w:space="0" w:sz="6" w:val="single"/>
              <w:right w:color="ffffff" w:space="0" w:sz="6" w:val="single"/>
            </w:tcBorders>
            <w:shd w:fill="a8cceb" w:val="clear"/>
            <w:tcMar>
              <w:top w:w="0.0" w:type="dxa"/>
              <w:left w:w="100.0" w:type="dxa"/>
              <w:bottom w:w="0.0" w:type="dxa"/>
              <w:right w:w="100.0" w:type="dxa"/>
            </w:tcMar>
            <w:vAlign w:val="top"/>
          </w:tcPr>
          <w:p w:rsidR="00000000" w:rsidDel="00000000" w:rsidP="00000000" w:rsidRDefault="00000000" w:rsidRPr="00000000" w14:paraId="00000103">
            <w:pPr>
              <w:widowControl w:val="0"/>
              <w:spacing w:after="160" w:before="0" w:lineRule="auto"/>
              <w:jc w:val="center"/>
              <w:rPr>
                <w:b w:val="1"/>
                <w:bCs w:val="1"/>
                <w:sz w:val="12"/>
                <w:szCs w:val="12"/>
              </w:rPr>
            </w:pPr>
            <w:r w:rsidDel="00000000" w:rsidR="00000000" w:rsidRPr="00000000">
              <w:rPr>
                <w:b w:val="1"/>
                <w:bCs w:val="1"/>
                <w:sz w:val="12"/>
                <w:szCs w:val="12"/>
                <w:rtl w:val="0"/>
              </w:rPr>
              <w:t xml:space="preserve">2</w:t>
            </w:r>
          </w:p>
        </w:tc>
      </w:tr>
      <w:tr>
        <w:trPr>
          <w:cantSplit w:val="0"/>
          <w:trHeight w:val="462.5" w:hRule="atLeast"/>
          <w:tblHeader w:val="0"/>
        </w:trPr>
        <w:tc>
          <w:tcPr>
            <w:tcBorders>
              <w:top w:color="000000" w:space="0" w:sz="0" w:val="nil"/>
              <w:left w:color="ffffff"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04">
            <w:pPr>
              <w:widowControl w:val="0"/>
              <w:spacing w:after="160" w:before="0" w:lineRule="auto"/>
              <w:rPr>
                <w:sz w:val="18"/>
                <w:szCs w:val="18"/>
              </w:rPr>
            </w:pPr>
            <w:r w:rsidDel="00000000" w:rsidR="00000000" w:rsidRPr="00000000">
              <w:rPr>
                <w:sz w:val="18"/>
                <w:szCs w:val="18"/>
                <w:rtl w:val="0"/>
              </w:rPr>
              <w:t xml:space="preserve">IRB</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05">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06">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07">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08">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09">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0A">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0B">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0C">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0D">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0E">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0F">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10">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11">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12">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13">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14">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15">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16">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17">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18">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19">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1A">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1B">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1C">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1D">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ffffff"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1E">
            <w:pPr>
              <w:widowControl w:val="0"/>
              <w:spacing w:after="160" w:before="0" w:lineRule="auto"/>
              <w:jc w:val="center"/>
              <w:rPr>
                <w:sz w:val="18"/>
                <w:szCs w:val="18"/>
              </w:rPr>
            </w:pPr>
            <w:r w:rsidDel="00000000" w:rsidR="00000000" w:rsidRPr="00000000">
              <w:rPr>
                <w:sz w:val="18"/>
                <w:szCs w:val="18"/>
                <w:rtl w:val="0"/>
              </w:rPr>
              <w:t xml:space="preserve"> </w:t>
            </w:r>
          </w:p>
        </w:tc>
      </w:tr>
      <w:tr>
        <w:trPr>
          <w:cantSplit w:val="0"/>
          <w:trHeight w:val="462.5" w:hRule="atLeast"/>
          <w:tblHeader w:val="0"/>
        </w:trPr>
        <w:tc>
          <w:tcPr>
            <w:tcBorders>
              <w:top w:color="000000" w:space="0" w:sz="0" w:val="nil"/>
              <w:left w:color="ffffff"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1F">
            <w:pPr>
              <w:widowControl w:val="0"/>
              <w:spacing w:after="160" w:before="0" w:lineRule="auto"/>
              <w:rPr>
                <w:sz w:val="18"/>
                <w:szCs w:val="18"/>
              </w:rPr>
            </w:pPr>
            <w:r w:rsidDel="00000000" w:rsidR="00000000" w:rsidRPr="00000000">
              <w:rPr>
                <w:sz w:val="18"/>
                <w:szCs w:val="18"/>
                <w:rtl w:val="0"/>
              </w:rPr>
              <w:t xml:space="preserve">Baseline HH listing</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20">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21">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22">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23">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24">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25">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26">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27">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28">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29">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2A">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2B">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2C">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2D">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2E">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2F">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30">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31">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32">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33">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34">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35">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36">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37">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38">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ffffff"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39">
            <w:pPr>
              <w:widowControl w:val="0"/>
              <w:spacing w:after="160" w:before="0" w:lineRule="auto"/>
              <w:jc w:val="center"/>
              <w:rPr>
                <w:sz w:val="18"/>
                <w:szCs w:val="18"/>
              </w:rPr>
            </w:pPr>
            <w:r w:rsidDel="00000000" w:rsidR="00000000" w:rsidRPr="00000000">
              <w:rPr>
                <w:sz w:val="18"/>
                <w:szCs w:val="18"/>
                <w:rtl w:val="0"/>
              </w:rPr>
              <w:t xml:space="preserve"> </w:t>
            </w:r>
          </w:p>
        </w:tc>
      </w:tr>
      <w:tr>
        <w:trPr>
          <w:cantSplit w:val="0"/>
          <w:trHeight w:val="462.5" w:hRule="atLeast"/>
          <w:tblHeader w:val="0"/>
        </w:trPr>
        <w:tc>
          <w:tcPr>
            <w:tcBorders>
              <w:top w:color="000000" w:space="0" w:sz="0" w:val="nil"/>
              <w:left w:color="ffffff"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3A">
            <w:pPr>
              <w:widowControl w:val="0"/>
              <w:spacing w:after="160" w:before="0" w:lineRule="auto"/>
              <w:rPr>
                <w:sz w:val="18"/>
                <w:szCs w:val="18"/>
              </w:rPr>
            </w:pPr>
            <w:r w:rsidDel="00000000" w:rsidR="00000000" w:rsidRPr="00000000">
              <w:rPr>
                <w:sz w:val="18"/>
                <w:szCs w:val="18"/>
                <w:rtl w:val="0"/>
              </w:rPr>
              <w:t xml:space="preserve">Subsidy roll-out</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3B">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3C">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3D">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3E">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3F">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40">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41">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42">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43">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44">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45">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46">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47">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48">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49">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4A">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4B">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4C">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4D">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4E">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4F">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50">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51">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52">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53">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ffffff"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54">
            <w:pPr>
              <w:widowControl w:val="0"/>
              <w:spacing w:after="160" w:before="0" w:lineRule="auto"/>
              <w:jc w:val="center"/>
              <w:rPr>
                <w:sz w:val="18"/>
                <w:szCs w:val="18"/>
              </w:rPr>
            </w:pPr>
            <w:r w:rsidDel="00000000" w:rsidR="00000000" w:rsidRPr="00000000">
              <w:rPr>
                <w:sz w:val="18"/>
                <w:szCs w:val="18"/>
                <w:rtl w:val="0"/>
              </w:rPr>
              <w:t xml:space="preserve"> </w:t>
            </w:r>
          </w:p>
        </w:tc>
      </w:tr>
      <w:tr>
        <w:trPr>
          <w:cantSplit w:val="0"/>
          <w:trHeight w:val="462.5" w:hRule="atLeast"/>
          <w:tblHeader w:val="0"/>
        </w:trPr>
        <w:tc>
          <w:tcPr>
            <w:tcBorders>
              <w:top w:color="000000" w:space="0" w:sz="0" w:val="nil"/>
              <w:left w:color="ffffff"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55">
            <w:pPr>
              <w:widowControl w:val="0"/>
              <w:spacing w:after="160" w:before="0" w:lineRule="auto"/>
              <w:rPr>
                <w:sz w:val="18"/>
                <w:szCs w:val="18"/>
              </w:rPr>
            </w:pPr>
            <w:r w:rsidDel="00000000" w:rsidR="00000000" w:rsidRPr="00000000">
              <w:rPr>
                <w:sz w:val="18"/>
                <w:szCs w:val="18"/>
                <w:rtl w:val="0"/>
              </w:rPr>
              <w:t xml:space="preserve">MBS Implementation</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56">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57">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58">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59">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5A">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5B">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5C">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5D">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5E">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5F">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60">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61">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62">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63">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64">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65">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66">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67">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68">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69">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6A">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6B">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6C">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6D">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6E">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ffffff"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6F">
            <w:pPr>
              <w:widowControl w:val="0"/>
              <w:spacing w:after="160" w:before="0" w:lineRule="auto"/>
              <w:jc w:val="center"/>
              <w:rPr>
                <w:sz w:val="18"/>
                <w:szCs w:val="18"/>
              </w:rPr>
            </w:pPr>
            <w:r w:rsidDel="00000000" w:rsidR="00000000" w:rsidRPr="00000000">
              <w:rPr>
                <w:sz w:val="18"/>
                <w:szCs w:val="18"/>
                <w:rtl w:val="0"/>
              </w:rPr>
              <w:t xml:space="preserve"> </w:t>
            </w:r>
          </w:p>
        </w:tc>
      </w:tr>
      <w:tr>
        <w:trPr>
          <w:cantSplit w:val="0"/>
          <w:trHeight w:val="462.5" w:hRule="atLeast"/>
          <w:tblHeader w:val="0"/>
        </w:trPr>
        <w:tc>
          <w:tcPr>
            <w:tcBorders>
              <w:top w:color="000000" w:space="0" w:sz="0" w:val="nil"/>
              <w:left w:color="ffffff"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70">
            <w:pPr>
              <w:widowControl w:val="0"/>
              <w:spacing w:after="160" w:before="0" w:lineRule="auto"/>
              <w:rPr>
                <w:sz w:val="18"/>
                <w:szCs w:val="18"/>
              </w:rPr>
            </w:pPr>
            <w:r w:rsidDel="00000000" w:rsidR="00000000" w:rsidRPr="00000000">
              <w:rPr>
                <w:sz w:val="18"/>
                <w:szCs w:val="18"/>
                <w:rtl w:val="0"/>
              </w:rPr>
              <w:t xml:space="preserve">Continuous monitoring</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71">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72">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73">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74">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75">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76">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77">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78">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79">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7A">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7B">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7C">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7D">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7E">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7F">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80">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81">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82">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83">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84">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85">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86">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87">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88">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89">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ffffff"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8A">
            <w:pPr>
              <w:widowControl w:val="0"/>
              <w:spacing w:after="160" w:before="0" w:lineRule="auto"/>
              <w:jc w:val="center"/>
              <w:rPr>
                <w:sz w:val="18"/>
                <w:szCs w:val="18"/>
              </w:rPr>
            </w:pPr>
            <w:r w:rsidDel="00000000" w:rsidR="00000000" w:rsidRPr="00000000">
              <w:rPr>
                <w:sz w:val="18"/>
                <w:szCs w:val="18"/>
                <w:rtl w:val="0"/>
              </w:rPr>
              <w:t xml:space="preserve"> </w:t>
            </w:r>
          </w:p>
        </w:tc>
      </w:tr>
      <w:tr>
        <w:trPr>
          <w:cantSplit w:val="0"/>
          <w:trHeight w:val="462.5" w:hRule="atLeast"/>
          <w:tblHeader w:val="0"/>
        </w:trPr>
        <w:tc>
          <w:tcPr>
            <w:tcBorders>
              <w:top w:color="000000" w:space="0" w:sz="0" w:val="nil"/>
              <w:left w:color="ffffff" w:space="0" w:sz="6" w:val="single"/>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8B">
            <w:pPr>
              <w:widowControl w:val="0"/>
              <w:spacing w:after="160" w:before="0" w:lineRule="auto"/>
              <w:rPr>
                <w:sz w:val="18"/>
                <w:szCs w:val="18"/>
              </w:rPr>
            </w:pPr>
            <w:r w:rsidDel="00000000" w:rsidR="00000000" w:rsidRPr="00000000">
              <w:rPr>
                <w:sz w:val="18"/>
                <w:szCs w:val="18"/>
                <w:rtl w:val="0"/>
              </w:rPr>
              <w:t xml:space="preserve">Endline</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8C">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8D">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8E">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8F">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90">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91">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92">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93">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94">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95">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96">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97">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98">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99">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9A">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9B">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9C">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9D">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9E">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9F">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A0">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A1">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A2">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top"/>
          </w:tcPr>
          <w:p w:rsidR="00000000" w:rsidDel="00000000" w:rsidP="00000000" w:rsidRDefault="00000000" w:rsidRPr="00000000" w14:paraId="000001A3">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000000"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A4">
            <w:pPr>
              <w:widowControl w:val="0"/>
              <w:spacing w:after="160" w:before="0" w:lineRule="auto"/>
              <w:jc w:val="center"/>
              <w:rPr>
                <w:sz w:val="18"/>
                <w:szCs w:val="18"/>
              </w:rPr>
            </w:pPr>
            <w:r w:rsidDel="00000000" w:rsidR="00000000" w:rsidRPr="00000000">
              <w:rPr>
                <w:sz w:val="18"/>
                <w:szCs w:val="18"/>
                <w:rtl w:val="0"/>
              </w:rPr>
              <w:t xml:space="preserve"> </w:t>
            </w:r>
          </w:p>
        </w:tc>
        <w:tc>
          <w:tcPr>
            <w:tcBorders>
              <w:top w:color="000000" w:space="0" w:sz="0" w:val="nil"/>
              <w:left w:color="000000" w:space="0" w:sz="0" w:val="nil"/>
              <w:bottom w:color="000000" w:space="0" w:sz="6" w:val="single"/>
              <w:right w:color="ffffff" w:space="0" w:sz="6" w:val="single"/>
            </w:tcBorders>
            <w:shd w:fill="595959" w:val="clear"/>
            <w:tcMar>
              <w:top w:w="0.0" w:type="dxa"/>
              <w:left w:w="100.0" w:type="dxa"/>
              <w:bottom w:w="0.0" w:type="dxa"/>
              <w:right w:w="100.0" w:type="dxa"/>
            </w:tcMar>
            <w:vAlign w:val="top"/>
          </w:tcPr>
          <w:p w:rsidR="00000000" w:rsidDel="00000000" w:rsidP="00000000" w:rsidRDefault="00000000" w:rsidRPr="00000000" w14:paraId="000001A5">
            <w:pPr>
              <w:widowControl w:val="0"/>
              <w:spacing w:after="160" w:before="0" w:lineRule="auto"/>
              <w:jc w:val="center"/>
              <w:rPr>
                <w:sz w:val="18"/>
                <w:szCs w:val="18"/>
              </w:rPr>
            </w:pPr>
            <w:r w:rsidDel="00000000" w:rsidR="00000000" w:rsidRPr="00000000">
              <w:rPr>
                <w:sz w:val="18"/>
                <w:szCs w:val="18"/>
                <w:rtl w:val="0"/>
              </w:rPr>
              <w:t xml:space="preserve"> </w:t>
            </w:r>
          </w:p>
        </w:tc>
      </w:tr>
    </w:tbl>
    <w:p w:rsidR="00000000" w:rsidDel="00000000" w:rsidP="00000000" w:rsidRDefault="00000000" w:rsidRPr="00000000" w14:paraId="000001A6">
      <w:pPr>
        <w:widowControl w:val="0"/>
        <w:spacing w:after="0" w:before="0" w:lineRule="auto"/>
        <w:rPr>
          <w:rFonts w:ascii="Inter Medium" w:cs="Inter Medium" w:eastAsia="Inter Medium" w:hAnsi="Inter Medium"/>
        </w:rPr>
      </w:pPr>
      <w:r w:rsidDel="00000000" w:rsidR="00000000" w:rsidRPr="00000000">
        <w:rPr>
          <w:rtl w:val="0"/>
        </w:rPr>
      </w:r>
    </w:p>
    <w:p w:rsidR="00000000" w:rsidDel="00000000" w:rsidP="00000000" w:rsidRDefault="00000000" w:rsidRPr="00000000" w14:paraId="000001A7">
      <w:pPr>
        <w:spacing w:after="0" w:before="0" w:line="276" w:lineRule="auto"/>
        <w:rPr/>
      </w:pPr>
      <w:r w:rsidDel="00000000" w:rsidR="00000000" w:rsidRPr="00000000">
        <w:rPr>
          <w:rtl w:val="0"/>
        </w:rPr>
      </w:r>
    </w:p>
    <w:p w:rsidR="00000000" w:rsidDel="00000000" w:rsidP="00000000" w:rsidRDefault="00000000" w:rsidRPr="00000000" w14:paraId="000001A8">
      <w:pPr>
        <w:pStyle w:val="Heading1"/>
        <w:rPr/>
      </w:pPr>
      <w:bookmarkStart w:colFirst="0" w:colLast="0" w:name="_fk4csd5aljd1" w:id="29"/>
      <w:bookmarkEnd w:id="29"/>
      <w:r w:rsidDel="00000000" w:rsidR="00000000" w:rsidRPr="00000000">
        <w:rPr>
          <w:rtl w:val="0"/>
        </w:rPr>
        <w:t xml:space="preserve">Analytical Model</w:t>
      </w:r>
    </w:p>
    <w:p w:rsidR="00000000" w:rsidDel="00000000" w:rsidP="00000000" w:rsidRDefault="00000000" w:rsidRPr="00000000" w14:paraId="000001A9">
      <w:pPr>
        <w:widowControl w:val="0"/>
        <w:spacing w:line="300" w:lineRule="auto"/>
        <w:rPr/>
      </w:pPr>
      <w:r w:rsidDel="00000000" w:rsidR="00000000" w:rsidRPr="00000000">
        <w:rPr>
          <w:rtl w:val="0"/>
        </w:rPr>
        <w:t xml:space="preserve">To estimate program effects on primary outcomes, the primary analysis follows an Intention-to-Treat (ITT) framework, comparing the outcomes of households living in gotts assigned to the treatment and control groups. The analytical model takes the following form:</w:t>
      </w:r>
      <w:r w:rsidDel="00000000" w:rsidR="00000000" w:rsidRPr="00000000">
        <w:rPr>
          <w:rtl w:val="0"/>
        </w:rPr>
      </w:r>
    </w:p>
    <w:p w:rsidR="00000000" w:rsidDel="00000000" w:rsidP="00000000" w:rsidRDefault="00000000" w:rsidRPr="00000000" w14:paraId="000001AA">
      <w:pPr>
        <w:widowControl w:val="0"/>
        <w:spacing w:after="150" w:before="0" w:line="300" w:lineRule="auto"/>
        <w:jc w:val="center"/>
        <w:rPr>
          <w:sz w:val="24"/>
          <w:szCs w:val="24"/>
        </w:rPr>
      </w:pPr>
      <w:r w:rsidDel="00000000" w:rsidR="00000000" w:rsidRPr="00000000">
        <w:rPr>
          <w:sz w:val="24"/>
          <w:szCs w:val="24"/>
          <w:rtl w:val="0"/>
        </w:rPr>
        <w:t xml:space="preserve">Y</w:t>
      </w:r>
      <w:r w:rsidDel="00000000" w:rsidR="00000000" w:rsidRPr="00000000">
        <w:rPr>
          <w:sz w:val="24"/>
          <w:szCs w:val="24"/>
          <w:vertAlign w:val="subscript"/>
          <w:rtl w:val="0"/>
        </w:rPr>
        <w:t xml:space="preserve">ig</w:t>
      </w:r>
      <w:r w:rsidDel="00000000" w:rsidR="00000000" w:rsidRPr="00000000">
        <w:rPr>
          <w:sz w:val="24"/>
          <w:szCs w:val="24"/>
          <w:rtl w:val="0"/>
        </w:rPr>
        <w:t xml:space="preserve">= β</w:t>
      </w:r>
      <w:r w:rsidDel="00000000" w:rsidR="00000000" w:rsidRPr="00000000">
        <w:rPr>
          <w:sz w:val="24"/>
          <w:szCs w:val="24"/>
          <w:vertAlign w:val="subscript"/>
          <w:rtl w:val="0"/>
        </w:rPr>
        <w:t xml:space="preserve">1</w:t>
      </w:r>
      <w:r w:rsidDel="00000000" w:rsidR="00000000" w:rsidRPr="00000000">
        <w:rPr>
          <w:sz w:val="24"/>
          <w:szCs w:val="24"/>
          <w:rtl w:val="0"/>
        </w:rPr>
        <w:t xml:space="preserve">T</w:t>
      </w:r>
      <w:r w:rsidDel="00000000" w:rsidR="00000000" w:rsidRPr="00000000">
        <w:rPr>
          <w:sz w:val="24"/>
          <w:szCs w:val="24"/>
          <w:vertAlign w:val="subscript"/>
          <w:rtl w:val="0"/>
        </w:rPr>
        <w:t xml:space="preserve">g</w:t>
      </w:r>
      <w:r w:rsidDel="00000000" w:rsidR="00000000" w:rsidRPr="00000000">
        <w:rPr>
          <w:sz w:val="24"/>
          <w:szCs w:val="24"/>
          <w:rtl w:val="0"/>
        </w:rPr>
        <w:t xml:space="preserve"> + X’</w:t>
      </w:r>
      <w:r w:rsidDel="00000000" w:rsidR="00000000" w:rsidRPr="00000000">
        <w:rPr>
          <w:sz w:val="24"/>
          <w:szCs w:val="24"/>
          <w:vertAlign w:val="subscript"/>
          <w:rtl w:val="0"/>
        </w:rPr>
        <w:t xml:space="preserve">i</w:t>
      </w:r>
      <w:r w:rsidDel="00000000" w:rsidR="00000000" w:rsidRPr="00000000">
        <w:rPr>
          <w:sz w:val="24"/>
          <w:szCs w:val="24"/>
          <w:rtl w:val="0"/>
        </w:rPr>
        <w:t xml:space="preserve">γ + α’</w:t>
      </w:r>
      <w:r w:rsidDel="00000000" w:rsidR="00000000" w:rsidRPr="00000000">
        <w:rPr>
          <w:sz w:val="24"/>
          <w:szCs w:val="24"/>
          <w:vertAlign w:val="subscript"/>
          <w:rtl w:val="0"/>
        </w:rPr>
        <w:t xml:space="preserve">s</w:t>
      </w:r>
      <w:r w:rsidDel="00000000" w:rsidR="00000000" w:rsidRPr="00000000">
        <w:rPr>
          <w:sz w:val="24"/>
          <w:szCs w:val="24"/>
          <w:rtl w:val="0"/>
        </w:rPr>
        <w:t xml:space="preserve"> + ε</w:t>
      </w:r>
      <w:r w:rsidDel="00000000" w:rsidR="00000000" w:rsidRPr="00000000">
        <w:rPr>
          <w:sz w:val="24"/>
          <w:szCs w:val="24"/>
          <w:vertAlign w:val="subscript"/>
          <w:rtl w:val="0"/>
        </w:rPr>
        <w:t xml:space="preserve">ig </w:t>
      </w:r>
      <w:r w:rsidDel="00000000" w:rsidR="00000000" w:rsidRPr="00000000">
        <w:rPr>
          <w:sz w:val="24"/>
          <w:szCs w:val="24"/>
          <w:rtl w:val="0"/>
        </w:rPr>
        <w:t xml:space="preserve"> </w:t>
      </w:r>
    </w:p>
    <w:p w:rsidR="00000000" w:rsidDel="00000000" w:rsidP="00000000" w:rsidRDefault="00000000" w:rsidRPr="00000000" w14:paraId="000001AB">
      <w:pPr>
        <w:widowControl w:val="0"/>
        <w:spacing w:after="150" w:before="0" w:line="300" w:lineRule="auto"/>
        <w:jc w:val="left"/>
        <w:rPr/>
      </w:pPr>
      <w:r w:rsidDel="00000000" w:rsidR="00000000" w:rsidRPr="00000000">
        <w:rPr>
          <w:rtl w:val="0"/>
        </w:rPr>
        <w:t xml:space="preserve">Where:</w:t>
      </w:r>
    </w:p>
    <w:p w:rsidR="00000000" w:rsidDel="00000000" w:rsidP="00000000" w:rsidRDefault="00000000" w:rsidRPr="00000000" w14:paraId="000001AC">
      <w:pPr>
        <w:widowControl w:val="0"/>
        <w:numPr>
          <w:ilvl w:val="0"/>
          <w:numId w:val="6"/>
        </w:numPr>
        <w:spacing w:after="0" w:afterAutospacing="0" w:before="0" w:line="300" w:lineRule="auto"/>
        <w:ind w:left="720" w:hanging="360"/>
        <w:jc w:val="left"/>
        <w:rPr>
          <w:b w:val="0"/>
          <w:bCs w:val="0"/>
          <w:color w:val="000000"/>
          <w:sz w:val="20"/>
          <w:szCs w:val="20"/>
        </w:rPr>
      </w:pPr>
      <w:r w:rsidDel="00000000" w:rsidR="00000000" w:rsidRPr="00000000">
        <w:rPr>
          <w:sz w:val="24"/>
          <w:szCs w:val="24"/>
          <w:rtl w:val="0"/>
        </w:rPr>
        <w:t xml:space="preserve">Y</w:t>
      </w:r>
      <w:r w:rsidDel="00000000" w:rsidR="00000000" w:rsidRPr="00000000">
        <w:rPr>
          <w:sz w:val="24"/>
          <w:szCs w:val="24"/>
          <w:vertAlign w:val="subscript"/>
          <w:rtl w:val="0"/>
        </w:rPr>
        <w:t xml:space="preserve">ig </w:t>
      </w:r>
      <w:r w:rsidDel="00000000" w:rsidR="00000000" w:rsidRPr="00000000">
        <w:rPr>
          <w:rtl w:val="0"/>
        </w:rPr>
        <w:t xml:space="preserve">denotes the outcome variable (e.g., ownership of an unshared improved latrine, usage, or open defecation status, as defined in the primary outcomes section) for household </w:t>
      </w:r>
      <w:r w:rsidDel="00000000" w:rsidR="00000000" w:rsidRPr="00000000">
        <w:rPr>
          <w:i w:val="1"/>
          <w:iCs w:val="1"/>
          <w:rtl w:val="0"/>
        </w:rPr>
        <w:t xml:space="preserve">i</w:t>
      </w:r>
      <w:r w:rsidDel="00000000" w:rsidR="00000000" w:rsidRPr="00000000">
        <w:rPr>
          <w:rtl w:val="0"/>
        </w:rPr>
        <w:t xml:space="preserve"> in gott </w:t>
      </w:r>
      <w:r w:rsidDel="00000000" w:rsidR="00000000" w:rsidRPr="00000000">
        <w:rPr>
          <w:i w:val="1"/>
          <w:iCs w:val="1"/>
          <w:rtl w:val="0"/>
        </w:rPr>
        <w:t xml:space="preserve">g</w:t>
      </w:r>
      <w:r w:rsidDel="00000000" w:rsidR="00000000" w:rsidRPr="00000000">
        <w:rPr>
          <w:rtl w:val="0"/>
        </w:rPr>
        <w:t xml:space="preserve"> at endline.</w:t>
      </w:r>
      <w:r w:rsidDel="00000000" w:rsidR="00000000" w:rsidRPr="00000000">
        <w:rPr>
          <w:rtl w:val="0"/>
        </w:rPr>
      </w:r>
    </w:p>
    <w:p w:rsidR="00000000" w:rsidDel="00000000" w:rsidP="00000000" w:rsidRDefault="00000000" w:rsidRPr="00000000" w14:paraId="000001AD">
      <w:pPr>
        <w:widowControl w:val="0"/>
        <w:numPr>
          <w:ilvl w:val="0"/>
          <w:numId w:val="6"/>
        </w:numPr>
        <w:spacing w:after="0" w:afterAutospacing="0" w:before="0" w:line="300" w:lineRule="auto"/>
        <w:ind w:left="720" w:hanging="360"/>
        <w:jc w:val="left"/>
        <w:rPr>
          <w:b w:val="0"/>
          <w:bCs w:val="0"/>
          <w:color w:val="000000"/>
          <w:sz w:val="20"/>
          <w:szCs w:val="20"/>
        </w:rPr>
      </w:pPr>
      <w:r w:rsidDel="00000000" w:rsidR="00000000" w:rsidRPr="00000000">
        <w:rPr>
          <w:sz w:val="24"/>
          <w:szCs w:val="24"/>
          <w:rtl w:val="0"/>
        </w:rPr>
        <w:t xml:space="preserve">T</w:t>
      </w:r>
      <w:r w:rsidDel="00000000" w:rsidR="00000000" w:rsidRPr="00000000">
        <w:rPr>
          <w:sz w:val="24"/>
          <w:szCs w:val="24"/>
          <w:vertAlign w:val="subscript"/>
          <w:rtl w:val="0"/>
        </w:rPr>
        <w:t xml:space="preserve">g</w:t>
      </w:r>
      <w:r w:rsidDel="00000000" w:rsidR="00000000" w:rsidRPr="00000000">
        <w:rPr>
          <w:rtl w:val="0"/>
        </w:rPr>
        <w:t xml:space="preserve"> denotes whether gott </w:t>
      </w:r>
      <w:r w:rsidDel="00000000" w:rsidR="00000000" w:rsidRPr="00000000">
        <w:rPr>
          <w:i w:val="1"/>
          <w:iCs w:val="1"/>
          <w:rtl w:val="0"/>
        </w:rPr>
        <w:t xml:space="preserve">g</w:t>
      </w:r>
      <w:r w:rsidDel="00000000" w:rsidR="00000000" w:rsidRPr="00000000">
        <w:rPr>
          <w:rtl w:val="0"/>
        </w:rPr>
        <w:t xml:space="preserve"> in the </w:t>
      </w:r>
      <w:r w:rsidDel="00000000" w:rsidR="00000000" w:rsidRPr="00000000">
        <w:rPr>
          <w:rFonts w:ascii="Arial" w:cs="Arial" w:eastAsia="Arial" w:hAnsi="Arial"/>
          <w:b w:val="1"/>
          <w:bCs w:val="1"/>
          <w:rtl w:val="0"/>
        </w:rPr>
        <w:t xml:space="preserve">Subsidy Treatment arm</w:t>
      </w:r>
      <w:r w:rsidDel="00000000" w:rsidR="00000000" w:rsidRPr="00000000">
        <w:rPr>
          <w:rtl w:val="0"/>
        </w:rPr>
        <w:t xml:space="preserve"> (MBS + Targeted Subsidy) or the </w:t>
      </w:r>
      <w:r w:rsidDel="00000000" w:rsidR="00000000" w:rsidRPr="00000000">
        <w:rPr>
          <w:rFonts w:ascii="Arial" w:cs="Arial" w:eastAsia="Arial" w:hAnsi="Arial"/>
          <w:b w:val="1"/>
          <w:bCs w:val="1"/>
          <w:rtl w:val="0"/>
        </w:rPr>
        <w:t xml:space="preserve">Control arm</w:t>
      </w:r>
      <w:r w:rsidDel="00000000" w:rsidR="00000000" w:rsidRPr="00000000">
        <w:rPr>
          <w:rtl w:val="0"/>
        </w:rPr>
        <w:t xml:space="preserve"> (MBS Only).</w:t>
      </w:r>
    </w:p>
    <w:p w:rsidR="00000000" w:rsidDel="00000000" w:rsidP="00000000" w:rsidRDefault="00000000" w:rsidRPr="00000000" w14:paraId="000001AE">
      <w:pPr>
        <w:widowControl w:val="0"/>
        <w:numPr>
          <w:ilvl w:val="0"/>
          <w:numId w:val="6"/>
        </w:numPr>
        <w:spacing w:after="0" w:afterAutospacing="0" w:before="0" w:line="300" w:lineRule="auto"/>
        <w:ind w:left="720" w:hanging="360"/>
        <w:jc w:val="left"/>
        <w:rPr>
          <w:b w:val="0"/>
          <w:bCs w:val="0"/>
          <w:color w:val="000000"/>
          <w:sz w:val="20"/>
          <w:szCs w:val="20"/>
        </w:rPr>
      </w:pPr>
      <w:r w:rsidDel="00000000" w:rsidR="00000000" w:rsidRPr="00000000">
        <w:rPr>
          <w:sz w:val="24"/>
          <w:szCs w:val="24"/>
          <w:rtl w:val="0"/>
        </w:rPr>
        <w:t xml:space="preserve">β</w:t>
      </w:r>
      <w:r w:rsidDel="00000000" w:rsidR="00000000" w:rsidRPr="00000000">
        <w:rPr>
          <w:sz w:val="24"/>
          <w:szCs w:val="24"/>
          <w:vertAlign w:val="subscript"/>
          <w:rtl w:val="0"/>
        </w:rPr>
        <w:t xml:space="preserve">1</w:t>
      </w:r>
      <w:r w:rsidDel="00000000" w:rsidR="00000000" w:rsidRPr="00000000">
        <w:rPr>
          <w:rtl w:val="0"/>
        </w:rPr>
        <w:t xml:space="preserve"> is the estimated treatment effect of the subsidy intervention compared to the status-quo MBS control</w:t>
      </w:r>
    </w:p>
    <w:p w:rsidR="00000000" w:rsidDel="00000000" w:rsidP="00000000" w:rsidRDefault="00000000" w:rsidRPr="00000000" w14:paraId="000001AF">
      <w:pPr>
        <w:widowControl w:val="0"/>
        <w:numPr>
          <w:ilvl w:val="0"/>
          <w:numId w:val="6"/>
        </w:numPr>
        <w:spacing w:after="0" w:afterAutospacing="0" w:before="0" w:line="300" w:lineRule="auto"/>
        <w:ind w:left="720" w:hanging="360"/>
        <w:jc w:val="left"/>
        <w:rPr>
          <w:b w:val="0"/>
          <w:bCs w:val="0"/>
          <w:color w:val="000000"/>
          <w:sz w:val="20"/>
          <w:szCs w:val="20"/>
        </w:rPr>
      </w:pPr>
      <w:r w:rsidDel="00000000" w:rsidR="00000000" w:rsidRPr="00000000">
        <w:rPr>
          <w:sz w:val="24"/>
          <w:szCs w:val="24"/>
          <w:rtl w:val="0"/>
        </w:rPr>
        <w:t xml:space="preserve">X’</w:t>
      </w:r>
      <w:r w:rsidDel="00000000" w:rsidR="00000000" w:rsidRPr="00000000">
        <w:rPr>
          <w:sz w:val="24"/>
          <w:szCs w:val="24"/>
          <w:vertAlign w:val="subscript"/>
          <w:rtl w:val="0"/>
        </w:rPr>
        <w:t xml:space="preserve">i</w:t>
      </w:r>
      <w:r w:rsidDel="00000000" w:rsidR="00000000" w:rsidRPr="00000000">
        <w:rPr>
          <w:rtl w:val="0"/>
        </w:rPr>
        <w:t xml:space="preserve"> is a vector of household-level covariates collected during the listing or baseline; gender and education level of household head, PPI score, household size, and baseline latrine status from our listing survey, included to improve precision.</w:t>
      </w:r>
      <w:r w:rsidDel="00000000" w:rsidR="00000000" w:rsidRPr="00000000">
        <w:rPr>
          <w:rtl w:val="0"/>
        </w:rPr>
      </w:r>
    </w:p>
    <w:p w:rsidR="00000000" w:rsidDel="00000000" w:rsidP="00000000" w:rsidRDefault="00000000" w:rsidRPr="00000000" w14:paraId="000001B0">
      <w:pPr>
        <w:widowControl w:val="0"/>
        <w:numPr>
          <w:ilvl w:val="0"/>
          <w:numId w:val="6"/>
        </w:numPr>
        <w:spacing w:after="0" w:afterAutospacing="0" w:before="0" w:line="300" w:lineRule="auto"/>
        <w:ind w:left="720" w:hanging="360"/>
        <w:jc w:val="left"/>
        <w:rPr>
          <w:b w:val="0"/>
          <w:bCs w:val="0"/>
          <w:color w:val="000000"/>
          <w:sz w:val="20"/>
          <w:szCs w:val="20"/>
        </w:rPr>
      </w:pPr>
      <w:r w:rsidDel="00000000" w:rsidR="00000000" w:rsidRPr="00000000">
        <w:rPr>
          <w:sz w:val="24"/>
          <w:szCs w:val="24"/>
          <w:rtl w:val="0"/>
        </w:rPr>
        <w:t xml:space="preserve">γ</w:t>
      </w:r>
      <w:r w:rsidDel="00000000" w:rsidR="00000000" w:rsidRPr="00000000">
        <w:rPr>
          <w:sz w:val="28"/>
          <w:szCs w:val="28"/>
          <w:rtl w:val="0"/>
        </w:rPr>
        <w:t xml:space="preserve"> </w:t>
      </w:r>
      <w:r w:rsidDel="00000000" w:rsidR="00000000" w:rsidRPr="00000000">
        <w:rPr>
          <w:rtl w:val="0"/>
        </w:rPr>
        <w:t xml:space="preserve">is a vector of coefficients for the included covariates</w:t>
      </w:r>
    </w:p>
    <w:p w:rsidR="00000000" w:rsidDel="00000000" w:rsidP="00000000" w:rsidRDefault="00000000" w:rsidRPr="00000000" w14:paraId="000001B1">
      <w:pPr>
        <w:widowControl w:val="0"/>
        <w:numPr>
          <w:ilvl w:val="0"/>
          <w:numId w:val="6"/>
        </w:numPr>
        <w:spacing w:after="0" w:afterAutospacing="0" w:before="0" w:line="300" w:lineRule="auto"/>
        <w:ind w:left="720" w:hanging="360"/>
        <w:jc w:val="left"/>
        <w:rPr>
          <w:b w:val="0"/>
          <w:bCs w:val="0"/>
          <w:color w:val="000000"/>
          <w:sz w:val="20"/>
          <w:szCs w:val="20"/>
        </w:rPr>
      </w:pPr>
      <w:r w:rsidDel="00000000" w:rsidR="00000000" w:rsidRPr="00000000">
        <w:rPr>
          <w:sz w:val="24"/>
          <w:szCs w:val="24"/>
          <w:rtl w:val="0"/>
        </w:rPr>
        <w:t xml:space="preserve">α’</w:t>
      </w:r>
      <w:r w:rsidDel="00000000" w:rsidR="00000000" w:rsidRPr="00000000">
        <w:rPr>
          <w:sz w:val="24"/>
          <w:szCs w:val="24"/>
          <w:vertAlign w:val="subscript"/>
          <w:rtl w:val="0"/>
        </w:rPr>
        <w:t xml:space="preserve">s</w:t>
      </w:r>
      <w:r w:rsidDel="00000000" w:rsidR="00000000" w:rsidRPr="00000000">
        <w:rPr>
          <w:rtl w:val="0"/>
        </w:rPr>
        <w:t xml:space="preserve"> is a vector of strata-fixed effects. </w:t>
      </w:r>
      <w:r w:rsidDel="00000000" w:rsidR="00000000" w:rsidRPr="00000000">
        <w:rPr>
          <w:rtl w:val="0"/>
        </w:rPr>
        <w:t xml:space="preserve"> </w:t>
      </w:r>
      <w:r w:rsidDel="00000000" w:rsidR="00000000" w:rsidRPr="00000000">
        <w:rPr>
          <w:rtl w:val="0"/>
        </w:rPr>
        <w:t xml:space="preserve">Randomization was stratified by baseline gott-level sanitation coverage and soil conditions (collapsing vs. non-collapsing), which resulted in 6 total strata. </w:t>
      </w:r>
    </w:p>
    <w:p w:rsidR="00000000" w:rsidDel="00000000" w:rsidP="00000000" w:rsidRDefault="00000000" w:rsidRPr="00000000" w14:paraId="000001B2">
      <w:pPr>
        <w:widowControl w:val="0"/>
        <w:numPr>
          <w:ilvl w:val="0"/>
          <w:numId w:val="6"/>
        </w:numPr>
        <w:spacing w:after="150" w:before="0" w:line="300" w:lineRule="auto"/>
        <w:ind w:left="720" w:hanging="360"/>
        <w:jc w:val="left"/>
        <w:rPr>
          <w:b w:val="0"/>
          <w:bCs w:val="0"/>
          <w:color w:val="000000"/>
          <w:sz w:val="20"/>
          <w:szCs w:val="20"/>
        </w:rPr>
      </w:pPr>
      <w:r w:rsidDel="00000000" w:rsidR="00000000" w:rsidRPr="00000000">
        <w:rPr>
          <w:sz w:val="24"/>
          <w:szCs w:val="24"/>
          <w:rtl w:val="0"/>
        </w:rPr>
        <w:t xml:space="preserve">ε</w:t>
      </w:r>
      <w:r w:rsidDel="00000000" w:rsidR="00000000" w:rsidRPr="00000000">
        <w:rPr>
          <w:sz w:val="24"/>
          <w:szCs w:val="24"/>
          <w:vertAlign w:val="subscript"/>
          <w:rtl w:val="0"/>
        </w:rPr>
        <w:t xml:space="preserve">ig</w:t>
      </w:r>
      <w:r w:rsidDel="00000000" w:rsidR="00000000" w:rsidRPr="00000000">
        <w:rPr>
          <w:rtl w:val="0"/>
        </w:rPr>
        <w:t xml:space="preserve"> </w:t>
      </w:r>
      <w:r w:rsidDel="00000000" w:rsidR="00000000" w:rsidRPr="00000000">
        <w:rPr>
          <w:rtl w:val="0"/>
        </w:rPr>
        <w:t xml:space="preserve">denotes the error term for household </w:t>
      </w:r>
      <w:r w:rsidDel="00000000" w:rsidR="00000000" w:rsidRPr="00000000">
        <w:rPr>
          <w:i w:val="1"/>
          <w:iCs w:val="1"/>
          <w:rtl w:val="0"/>
        </w:rPr>
        <w:t xml:space="preserve">i</w:t>
      </w:r>
      <w:r w:rsidDel="00000000" w:rsidR="00000000" w:rsidRPr="00000000">
        <w:rPr>
          <w:rtl w:val="0"/>
        </w:rPr>
        <w:t xml:space="preserve"> in gott </w:t>
      </w:r>
      <w:r w:rsidDel="00000000" w:rsidR="00000000" w:rsidRPr="00000000">
        <w:rPr>
          <w:i w:val="1"/>
          <w:iCs w:val="1"/>
          <w:rtl w:val="0"/>
        </w:rPr>
        <w:t xml:space="preserve">g</w:t>
      </w:r>
      <w:r w:rsidDel="00000000" w:rsidR="00000000" w:rsidRPr="00000000">
        <w:rPr>
          <w:rtl w:val="0"/>
        </w:rPr>
        <w:t xml:space="preserve">, clustered at the village level to account for the design effect</w:t>
      </w:r>
    </w:p>
    <w:p w:rsidR="00000000" w:rsidDel="00000000" w:rsidP="00000000" w:rsidRDefault="00000000" w:rsidRPr="00000000" w14:paraId="000001B3">
      <w:pPr>
        <w:rPr/>
      </w:pPr>
      <w:r w:rsidDel="00000000" w:rsidR="00000000" w:rsidRPr="00000000">
        <w:rPr>
          <w:rtl w:val="0"/>
        </w:rPr>
        <w:t xml:space="preserve">The ITT approach ensures that results reflect the program’s impact regardless of variation in subsidy redemption or compliance. To answer the specific research questions, this model will be estimated separately for two distinct samples:</w:t>
      </w:r>
    </w:p>
    <w:p w:rsidR="00000000" w:rsidDel="00000000" w:rsidP="00000000" w:rsidRDefault="00000000" w:rsidRPr="00000000" w14:paraId="000001B4">
      <w:pPr>
        <w:numPr>
          <w:ilvl w:val="0"/>
          <w:numId w:val="7"/>
        </w:numPr>
        <w:spacing w:after="0" w:afterAutospacing="0"/>
        <w:ind w:left="720" w:hanging="360"/>
        <w:jc w:val="left"/>
      </w:pPr>
      <w:r w:rsidDel="00000000" w:rsidR="00000000" w:rsidRPr="00000000">
        <w:rPr>
          <w:b w:val="1"/>
          <w:bCs w:val="1"/>
          <w:rtl w:val="0"/>
        </w:rPr>
        <w:t xml:space="preserve">Subsidy-Eligible Households (RQ1):</w:t>
      </w:r>
      <w:r w:rsidDel="00000000" w:rsidR="00000000" w:rsidRPr="00000000">
        <w:rPr>
          <w:rtl w:val="0"/>
        </w:rPr>
        <w:t xml:space="preserve"> To measure the direct effect on the vulnerable.</w:t>
      </w:r>
    </w:p>
    <w:p w:rsidR="00000000" w:rsidDel="00000000" w:rsidP="00000000" w:rsidRDefault="00000000" w:rsidRPr="00000000" w14:paraId="000001B5">
      <w:pPr>
        <w:numPr>
          <w:ilvl w:val="0"/>
          <w:numId w:val="7"/>
        </w:numPr>
        <w:spacing w:before="0" w:beforeAutospacing="0"/>
        <w:ind w:left="720" w:hanging="360"/>
        <w:jc w:val="left"/>
      </w:pPr>
      <w:r w:rsidDel="00000000" w:rsidR="00000000" w:rsidRPr="00000000">
        <w:rPr>
          <w:b w:val="1"/>
          <w:bCs w:val="1"/>
          <w:rtl w:val="0"/>
        </w:rPr>
        <w:t xml:space="preserve">Subsidy-Ineligible Households (RQ2):</w:t>
      </w:r>
      <w:r w:rsidDel="00000000" w:rsidR="00000000" w:rsidRPr="00000000">
        <w:rPr>
          <w:rtl w:val="0"/>
        </w:rPr>
        <w:t xml:space="preserve"> To measure the spillover effect on the less vulnerable.</w:t>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pStyle w:val="Heading2"/>
        <w:spacing w:after="0" w:before="0" w:line="276" w:lineRule="auto"/>
        <w:rPr/>
      </w:pPr>
      <w:r w:rsidDel="00000000" w:rsidR="00000000" w:rsidRPr="00000000">
        <w:rPr>
          <w:rtl w:val="0"/>
        </w:rPr>
        <w:t xml:space="preserve">Risks</w:t>
      </w:r>
    </w:p>
    <w:p w:rsidR="00000000" w:rsidDel="00000000" w:rsidP="00000000" w:rsidRDefault="00000000" w:rsidRPr="00000000" w14:paraId="000001B8">
      <w:pPr>
        <w:spacing w:after="0" w:before="0" w:line="276" w:lineRule="auto"/>
        <w:rPr/>
      </w:pPr>
      <w:r w:rsidDel="00000000" w:rsidR="00000000" w:rsidRPr="00000000">
        <w:rPr>
          <w:rtl w:val="0"/>
        </w:rPr>
      </w:r>
    </w:p>
    <w:p w:rsidR="00000000" w:rsidDel="00000000" w:rsidP="00000000" w:rsidRDefault="00000000" w:rsidRPr="00000000" w14:paraId="000001B9">
      <w:pPr>
        <w:spacing w:after="0" w:before="0" w:line="276" w:lineRule="auto"/>
        <w:rPr/>
      </w:pPr>
      <w:r w:rsidDel="00000000" w:rsidR="00000000" w:rsidRPr="00000000">
        <w:rPr>
          <w:rtl w:val="0"/>
        </w:rPr>
        <w:t xml:space="preserve">Acknowledging and examining the implementation risks, study limitations, and technical risks inherent in our study, particularly when assessing the direct and spillover effects of a poverty-targeted sanitation subsidy program, is crucial. These include the potential for delays, spillovers, attrition, threats to external validity, and the sufficiency of subsidy funding to reach all eligible households. The following section provides an overview of the study's implementation risks, limitations and technical risks.</w:t>
      </w:r>
    </w:p>
    <w:p w:rsidR="00000000" w:rsidDel="00000000" w:rsidP="00000000" w:rsidRDefault="00000000" w:rsidRPr="00000000" w14:paraId="000001BA">
      <w:pPr>
        <w:spacing w:after="0" w:before="0" w:line="276" w:lineRule="auto"/>
        <w:rPr/>
      </w:pPr>
      <w:r w:rsidDel="00000000" w:rsidR="00000000" w:rsidRPr="00000000">
        <w:rPr>
          <w:rtl w:val="0"/>
        </w:rPr>
      </w:r>
    </w:p>
    <w:p w:rsidR="00000000" w:rsidDel="00000000" w:rsidP="00000000" w:rsidRDefault="00000000" w:rsidRPr="00000000" w14:paraId="000001BB">
      <w:pPr>
        <w:pStyle w:val="Heading3"/>
        <w:spacing w:after="0" w:before="0" w:line="276" w:lineRule="auto"/>
        <w:rPr/>
      </w:pPr>
      <w:bookmarkStart w:colFirst="0" w:colLast="0" w:name="_3jqn9ishkpus" w:id="30"/>
      <w:bookmarkEnd w:id="30"/>
      <w:r w:rsidDel="00000000" w:rsidR="00000000" w:rsidRPr="00000000">
        <w:rPr>
          <w:rtl w:val="0"/>
        </w:rPr>
        <w:t xml:space="preserve">Spillovers </w:t>
      </w:r>
    </w:p>
    <w:p w:rsidR="00000000" w:rsidDel="00000000" w:rsidP="00000000" w:rsidRDefault="00000000" w:rsidRPr="00000000" w14:paraId="000001BC">
      <w:pPr>
        <w:spacing w:after="0" w:before="0" w:line="276" w:lineRule="auto"/>
        <w:rPr/>
      </w:pPr>
      <w:r w:rsidDel="00000000" w:rsidR="00000000" w:rsidRPr="00000000">
        <w:rPr>
          <w:rtl w:val="0"/>
        </w:rPr>
      </w:r>
    </w:p>
    <w:p w:rsidR="00000000" w:rsidDel="00000000" w:rsidP="00000000" w:rsidRDefault="00000000" w:rsidRPr="00000000" w14:paraId="000001BD">
      <w:pPr>
        <w:spacing w:after="0" w:before="0" w:line="276" w:lineRule="auto"/>
        <w:rPr/>
      </w:pPr>
      <w:r w:rsidDel="00000000" w:rsidR="00000000" w:rsidRPr="00000000">
        <w:rPr>
          <w:rtl w:val="0"/>
        </w:rPr>
        <w:t xml:space="preserve">There are two types of spillovers that may occur in the study: positive (“desirable”) and negative (“undesirable”) spillovers. </w:t>
      </w:r>
      <w:r w:rsidDel="00000000" w:rsidR="00000000" w:rsidRPr="00000000">
        <w:rPr>
          <w:b w:val="1"/>
          <w:bCs w:val="1"/>
          <w:rtl w:val="0"/>
        </w:rPr>
        <w:t xml:space="preserve">Positive spillovers</w:t>
      </w:r>
      <w:r w:rsidDel="00000000" w:rsidR="00000000" w:rsidRPr="00000000">
        <w:rPr>
          <w:rtl w:val="0"/>
        </w:rPr>
        <w:t xml:space="preserve"> (during or after the intervention) can occur when non-poor households in treatment villages are somehow influenced or motivated to purchase latrines at a higher rate than they would through status-quo marketing alone. The reasons for this behavior are unclear because of the subsidy program. This can happen by learning about the benefits of owning a latrine from subsidy-eligible households but may have to do with (1) social pressure to keep up with changing norms induced by the intervention over time, and (2) direct communication from subsidy beneficiaries to non-beneficiaries. This spillover is directly measurable through our study design by comparing outcomes among non-poor households in treatment villages compared to non-poor households in control villages. </w:t>
      </w:r>
    </w:p>
    <w:p w:rsidR="00000000" w:rsidDel="00000000" w:rsidP="00000000" w:rsidRDefault="00000000" w:rsidRPr="00000000" w14:paraId="000001BE">
      <w:pPr>
        <w:spacing w:after="0" w:before="0" w:line="276" w:lineRule="auto"/>
        <w:rPr/>
      </w:pPr>
      <w:r w:rsidDel="00000000" w:rsidR="00000000" w:rsidRPr="00000000">
        <w:rPr>
          <w:rtl w:val="0"/>
        </w:rPr>
      </w:r>
    </w:p>
    <w:p w:rsidR="00000000" w:rsidDel="00000000" w:rsidP="00000000" w:rsidRDefault="00000000" w:rsidRPr="00000000" w14:paraId="000001BF">
      <w:pPr>
        <w:spacing w:after="0" w:before="0" w:line="276" w:lineRule="auto"/>
        <w:rPr/>
      </w:pPr>
      <w:r w:rsidDel="00000000" w:rsidR="00000000" w:rsidRPr="00000000">
        <w:rPr>
          <w:rtl w:val="0"/>
        </w:rPr>
        <w:t xml:space="preserve">The unintended spillovers we want to avoid to the extent possible in the research design are non-compliance and negative spillovers.</w:t>
      </w:r>
    </w:p>
    <w:p w:rsidR="00000000" w:rsidDel="00000000" w:rsidP="00000000" w:rsidRDefault="00000000" w:rsidRPr="00000000" w14:paraId="000001C0">
      <w:pPr>
        <w:spacing w:after="0" w:before="0" w:line="276" w:lineRule="auto"/>
        <w:rPr/>
      </w:pPr>
      <w:r w:rsidDel="00000000" w:rsidR="00000000" w:rsidRPr="00000000">
        <w:rPr>
          <w:rtl w:val="0"/>
        </w:rPr>
      </w:r>
    </w:p>
    <w:p w:rsidR="00000000" w:rsidDel="00000000" w:rsidP="00000000" w:rsidRDefault="00000000" w:rsidRPr="00000000" w14:paraId="000001C1">
      <w:pPr>
        <w:spacing w:after="0" w:before="0" w:line="276" w:lineRule="auto"/>
        <w:rPr/>
      </w:pPr>
      <w:r w:rsidDel="00000000" w:rsidR="00000000" w:rsidRPr="00000000">
        <w:rPr>
          <w:b w:val="1"/>
          <w:bCs w:val="1"/>
          <w:rtl w:val="0"/>
        </w:rPr>
        <w:t xml:space="preserve">Non-compliance </w:t>
      </w:r>
      <w:r w:rsidDel="00000000" w:rsidR="00000000" w:rsidRPr="00000000">
        <w:rPr>
          <w:rtl w:val="0"/>
        </w:rPr>
        <w:t xml:space="preserve">happens when study participants do not receive the treatment randomly allocated to them. This can arise in three scenarios: (1) subsidy-eligible participants selling or giving their subsidy voucher to another household, (2) subsidy distributors (iDE sales staff who implement subsidy rollouts) failing to distribute subsidies according to the implementation protocol, and (3) implementation fidelity, where the rollout of MBS activities in one or the other arm is ineffectively implemented, incomplete, or sufficiently different in quality or quantity or other attribute such that they are biased in favor of outcomes in one arm over the other.</w:t>
      </w:r>
    </w:p>
    <w:p w:rsidR="00000000" w:rsidDel="00000000" w:rsidP="00000000" w:rsidRDefault="00000000" w:rsidRPr="00000000" w14:paraId="000001C2">
      <w:pPr>
        <w:spacing w:after="0" w:before="0" w:line="276" w:lineRule="auto"/>
        <w:rPr/>
      </w:pPr>
      <w:r w:rsidDel="00000000" w:rsidR="00000000" w:rsidRPr="00000000">
        <w:rPr>
          <w:rtl w:val="0"/>
        </w:rPr>
      </w:r>
    </w:p>
    <w:p w:rsidR="00000000" w:rsidDel="00000000" w:rsidP="00000000" w:rsidRDefault="00000000" w:rsidRPr="00000000" w14:paraId="000001C3">
      <w:pPr>
        <w:spacing w:after="0" w:before="0" w:line="276" w:lineRule="auto"/>
        <w:rPr/>
      </w:pPr>
      <w:r w:rsidDel="00000000" w:rsidR="00000000" w:rsidRPr="00000000">
        <w:rPr>
          <w:rtl w:val="0"/>
        </w:rPr>
        <w:t xml:space="preserve">The first scenario is unlikely because subsidy is provided in the form of a physical voucher that cannot be easily transferred. It is offered as a discount during door-to-door visits by sales agents to households. If the household accepts the discount, it will be required to make a deposit of between ETB 100 and ETB 200, which constitutes a portion of its contribution. The sales agent will provide the household with a voucher containing a unique ID that represents the household’s identity. During the installation process, the LBO will verify the voucher code and the household will make the remaining payments directly to the LBO. This procedure limits the opportunity for households to transfer the discount to non-intended users.</w:t>
      </w:r>
    </w:p>
    <w:p w:rsidR="00000000" w:rsidDel="00000000" w:rsidP="00000000" w:rsidRDefault="00000000" w:rsidRPr="00000000" w14:paraId="000001C4">
      <w:pPr>
        <w:spacing w:after="0" w:before="0" w:line="276" w:lineRule="auto"/>
        <w:rPr/>
      </w:pPr>
      <w:r w:rsidDel="00000000" w:rsidR="00000000" w:rsidRPr="00000000">
        <w:rPr>
          <w:rtl w:val="0"/>
        </w:rPr>
      </w:r>
    </w:p>
    <w:p w:rsidR="00000000" w:rsidDel="00000000" w:rsidP="00000000" w:rsidRDefault="00000000" w:rsidRPr="00000000" w14:paraId="000001C5">
      <w:pPr>
        <w:spacing w:after="0" w:before="0" w:line="276" w:lineRule="auto"/>
        <w:rPr/>
      </w:pPr>
      <w:r w:rsidDel="00000000" w:rsidR="00000000" w:rsidRPr="00000000">
        <w:rPr>
          <w:rtl w:val="0"/>
        </w:rPr>
        <w:t xml:space="preserve">The second scenario can be mitigated by having LBOs verify the redemption of subsidies by their intended recipient households. This measure is a part of iDE’s sales procedure, wherein the eligible household’s identity is verified by the LBO upon redemption of the product from the business. To ensure that the subsidy goes to its intended recipient, the LBO cross-checks the household’s identity against the information recorded in the orders provided to them by the sales agents.</w:t>
      </w:r>
    </w:p>
    <w:p w:rsidR="00000000" w:rsidDel="00000000" w:rsidP="00000000" w:rsidRDefault="00000000" w:rsidRPr="00000000" w14:paraId="000001C6">
      <w:pPr>
        <w:spacing w:after="0" w:before="0" w:line="276" w:lineRule="auto"/>
        <w:rPr/>
      </w:pPr>
      <w:r w:rsidDel="00000000" w:rsidR="00000000" w:rsidRPr="00000000">
        <w:rPr>
          <w:rtl w:val="0"/>
        </w:rPr>
      </w:r>
    </w:p>
    <w:p w:rsidR="00000000" w:rsidDel="00000000" w:rsidP="00000000" w:rsidRDefault="00000000" w:rsidRPr="00000000" w14:paraId="000001C7">
      <w:pPr>
        <w:spacing w:after="0" w:before="0" w:line="276" w:lineRule="auto"/>
        <w:rPr/>
      </w:pPr>
      <w:r w:rsidDel="00000000" w:rsidR="00000000" w:rsidRPr="00000000">
        <w:rPr>
          <w:b w:val="1"/>
          <w:bCs w:val="1"/>
          <w:rtl w:val="0"/>
        </w:rPr>
        <w:t xml:space="preserve">Negative spillovers</w:t>
      </w:r>
      <w:r w:rsidDel="00000000" w:rsidR="00000000" w:rsidRPr="00000000">
        <w:rPr>
          <w:rtl w:val="0"/>
        </w:rPr>
        <w:t xml:space="preserve"> can also occur when ineligible households in the treatment group reduce their likelihood of purchasing a latrine because of the subsidy program; for instance, if they wait in hopes of receiving a future subsidy when they otherwise would have purchased one. The FMoH is most concerned about this type of spillover: i.e., market distortions that arise when subsidies foster an expectation among households that they should receive a subsidy, even if they can afford to purchase a latrine themselves.</w:t>
      </w:r>
    </w:p>
    <w:p w:rsidR="00000000" w:rsidDel="00000000" w:rsidP="00000000" w:rsidRDefault="00000000" w:rsidRPr="00000000" w14:paraId="000001C8">
      <w:pPr>
        <w:spacing w:after="0" w:before="0" w:line="276" w:lineRule="auto"/>
        <w:rPr/>
      </w:pPr>
      <w:r w:rsidDel="00000000" w:rsidR="00000000" w:rsidRPr="00000000">
        <w:rPr>
          <w:rtl w:val="0"/>
        </w:rPr>
      </w:r>
    </w:p>
    <w:p w:rsidR="00000000" w:rsidDel="00000000" w:rsidP="00000000" w:rsidRDefault="00000000" w:rsidRPr="00000000" w14:paraId="000001C9">
      <w:pPr>
        <w:spacing w:after="0" w:before="0" w:line="276" w:lineRule="auto"/>
        <w:rPr/>
      </w:pPr>
      <w:r w:rsidDel="00000000" w:rsidR="00000000" w:rsidRPr="00000000">
        <w:rPr>
          <w:rtl w:val="0"/>
        </w:rPr>
        <w:t xml:space="preserve">Appropriate design and communication of subsidy protocols can mitigate this spillover. This requires both ensuring eligibility criteria are constructed to minimize targeting errors and capture truly economically disadvantaged and vulnerable households and communicating these criteria clearly to communities. Doing so can increase perceptions of fairness and reduce expectations of a subsidy among non-eligible households. This can be done by holding a community meeting at the village level before implementing the subsidy. During this meeting, facilitators should ensure that all households understand the household selection process and the criteria used to determine eligibility. Should such a negative spillover persist despite these measures, as with the positive spillover described above, it is measurable through our study design, by comparing outcomes among ineligible households in treatment villages compared to ineligible households in control villages. </w:t>
      </w:r>
    </w:p>
    <w:p w:rsidR="00000000" w:rsidDel="00000000" w:rsidP="00000000" w:rsidRDefault="00000000" w:rsidRPr="00000000" w14:paraId="000001CA">
      <w:pPr>
        <w:spacing w:after="0" w:before="0" w:line="276" w:lineRule="auto"/>
        <w:rPr/>
      </w:pPr>
      <w:r w:rsidDel="00000000" w:rsidR="00000000" w:rsidRPr="00000000">
        <w:rPr>
          <w:rtl w:val="0"/>
        </w:rPr>
      </w:r>
    </w:p>
    <w:p w:rsidR="00000000" w:rsidDel="00000000" w:rsidP="00000000" w:rsidRDefault="00000000" w:rsidRPr="00000000" w14:paraId="000001CB">
      <w:pPr>
        <w:spacing w:after="0" w:before="0" w:line="276" w:lineRule="auto"/>
        <w:rPr/>
      </w:pPr>
      <w:r w:rsidDel="00000000" w:rsidR="00000000" w:rsidRPr="00000000">
        <w:rPr>
          <w:rtl w:val="0"/>
        </w:rPr>
        <w:t xml:space="preserve">Negative spillovers may also occur when fewer eligible households in the control group purchase a latrine because of the subsidy program in treatment villages, i.e., if they decide to wait in hopes of receiving a future subsidy. This is concerning, as it directly affects the internal validity of the study and the interpretation of treatment effects. If eligible households in the control group, who would have otherwise purchased a latrine in the absence of the subsidy program, adopt a “wait and see” approach during the measurement period of the experiment, the estimates of the main treatment effect would be upwardly biased. It is promising to note that a recent subsidy evaluation by iDE in Cambodia found that when control group households were asked why they did not own a latrine, only three out of 2,352 households reported “waiting for a subsidy” as a reason (Kozole et al. 2023). </w:t>
      </w:r>
    </w:p>
    <w:p w:rsidR="00000000" w:rsidDel="00000000" w:rsidP="00000000" w:rsidRDefault="00000000" w:rsidRPr="00000000" w14:paraId="000001CC">
      <w:pPr>
        <w:spacing w:after="0" w:before="0" w:line="276" w:lineRule="auto"/>
        <w:rPr/>
      </w:pPr>
      <w:r w:rsidDel="00000000" w:rsidR="00000000" w:rsidRPr="00000000">
        <w:rPr>
          <w:rtl w:val="0"/>
        </w:rPr>
      </w:r>
    </w:p>
    <w:p w:rsidR="00000000" w:rsidDel="00000000" w:rsidP="00000000" w:rsidRDefault="00000000" w:rsidRPr="00000000" w14:paraId="000001CD">
      <w:pPr>
        <w:spacing w:after="0" w:before="0" w:line="276" w:lineRule="auto"/>
        <w:rPr/>
      </w:pPr>
      <w:r w:rsidDel="00000000" w:rsidR="00000000" w:rsidRPr="00000000">
        <w:rPr>
          <w:rtl w:val="0"/>
        </w:rPr>
        <w:t xml:space="preserve">We mitigate this spillover in the following ways: </w:t>
      </w:r>
    </w:p>
    <w:p w:rsidR="00000000" w:rsidDel="00000000" w:rsidP="00000000" w:rsidRDefault="00000000" w:rsidRPr="00000000" w14:paraId="000001CE">
      <w:pPr>
        <w:spacing w:after="0" w:before="0" w:line="276" w:lineRule="auto"/>
        <w:rPr/>
      </w:pPr>
      <w:r w:rsidDel="00000000" w:rsidR="00000000" w:rsidRPr="00000000">
        <w:rPr>
          <w:rtl w:val="0"/>
        </w:rPr>
      </w:r>
    </w:p>
    <w:p w:rsidR="00000000" w:rsidDel="00000000" w:rsidP="00000000" w:rsidRDefault="00000000" w:rsidRPr="00000000" w14:paraId="000001CF">
      <w:pPr>
        <w:numPr>
          <w:ilvl w:val="0"/>
          <w:numId w:val="3"/>
        </w:numPr>
        <w:spacing w:after="0" w:before="0" w:line="276" w:lineRule="auto"/>
        <w:ind w:left="720" w:hanging="360"/>
        <w:rPr>
          <w:u w:val="none"/>
        </w:rPr>
      </w:pPr>
      <w:r w:rsidDel="00000000" w:rsidR="00000000" w:rsidRPr="00000000">
        <w:rPr>
          <w:rtl w:val="0"/>
        </w:rPr>
        <w:t xml:space="preserve">In the research design stage by randomizing at the village (instead of household) level and by introducing geographic spacing among study villages. This ensures there is at least one village in between study villages, which would decrease the likelihood of neighbors or friends communicating about the experiment with each other. Without further information on the local social networks, however, it is difficult to predict how likely it is for people to communicate in this way. There is still a chance that people may communicate virtually or gather at kebele- or woreda-level community events to share information about the subsidy. </w:t>
      </w:r>
    </w:p>
    <w:p w:rsidR="00000000" w:rsidDel="00000000" w:rsidP="00000000" w:rsidRDefault="00000000" w:rsidRPr="00000000" w14:paraId="000001D0">
      <w:pPr>
        <w:numPr>
          <w:ilvl w:val="0"/>
          <w:numId w:val="3"/>
        </w:numPr>
        <w:spacing w:after="0" w:before="0" w:line="276" w:lineRule="auto"/>
        <w:ind w:left="720" w:hanging="360"/>
        <w:rPr>
          <w:u w:val="none"/>
        </w:rPr>
      </w:pPr>
      <w:r w:rsidDel="00000000" w:rsidR="00000000" w:rsidRPr="00000000">
        <w:rPr>
          <w:rtl w:val="0"/>
        </w:rPr>
        <w:t xml:space="preserve">Clear communication and community engagement of subsidy eligibility can also help reduce expectations of a subsidy from the control group. By communicating the random selection process (e.g., in the kebele-level engagement meetings), we can sensitize participants to the fact that the subsidy pool is limited and receiving a subsidy is determined by both random chance and eligibility status. </w:t>
      </w:r>
    </w:p>
    <w:p w:rsidR="00000000" w:rsidDel="00000000" w:rsidP="00000000" w:rsidRDefault="00000000" w:rsidRPr="00000000" w14:paraId="000001D1">
      <w:pPr>
        <w:numPr>
          <w:ilvl w:val="0"/>
          <w:numId w:val="3"/>
        </w:numPr>
        <w:spacing w:after="0" w:before="0" w:line="276" w:lineRule="auto"/>
        <w:ind w:left="720" w:hanging="360"/>
        <w:rPr>
          <w:u w:val="none"/>
        </w:rPr>
      </w:pPr>
      <w:r w:rsidDel="00000000" w:rsidR="00000000" w:rsidRPr="00000000">
        <w:rPr>
          <w:rtl w:val="0"/>
        </w:rPr>
        <w:t xml:space="preserve">Measuring outcomes 1 year post-subsidy implementation while households may be tempted to wait for a subsidy in the short term, extending outcomes measurement over a longer period increases the chances that any “wait and see” effects attenuate before measurement of our primary outcomes.</w:t>
      </w:r>
    </w:p>
    <w:p w:rsidR="00000000" w:rsidDel="00000000" w:rsidP="00000000" w:rsidRDefault="00000000" w:rsidRPr="00000000" w14:paraId="000001D2">
      <w:pPr>
        <w:numPr>
          <w:ilvl w:val="0"/>
          <w:numId w:val="3"/>
        </w:numPr>
        <w:spacing w:after="0" w:before="0" w:line="276" w:lineRule="auto"/>
        <w:ind w:left="720" w:hanging="360"/>
        <w:rPr>
          <w:u w:val="none"/>
        </w:rPr>
      </w:pPr>
      <w:r w:rsidDel="00000000" w:rsidR="00000000" w:rsidRPr="00000000">
        <w:rPr>
          <w:rtl w:val="0"/>
        </w:rPr>
        <w:t xml:space="preserve">Measurement: Lastly, as in the iDE study in Colombia (Kozole et al. 2023). We can include survey measures that capture this potential spillover at endline by including questions on reasons for not purchasing a latrine, as well as whether and the extent to which study participants communicate with people in a different village, are aware of any subsidy programs in other villages.</w:t>
      </w:r>
    </w:p>
    <w:p w:rsidR="00000000" w:rsidDel="00000000" w:rsidP="00000000" w:rsidRDefault="00000000" w:rsidRPr="00000000" w14:paraId="000001D3">
      <w:pPr>
        <w:spacing w:after="0" w:before="0" w:line="276" w:lineRule="auto"/>
        <w:rPr/>
      </w:pPr>
      <w:r w:rsidDel="00000000" w:rsidR="00000000" w:rsidRPr="00000000">
        <w:rPr>
          <w:rtl w:val="0"/>
        </w:rPr>
      </w:r>
    </w:p>
    <w:p w:rsidR="00000000" w:rsidDel="00000000" w:rsidP="00000000" w:rsidRDefault="00000000" w:rsidRPr="00000000" w14:paraId="000001D4">
      <w:pPr>
        <w:pStyle w:val="Heading3"/>
        <w:spacing w:after="0" w:before="0" w:line="276" w:lineRule="auto"/>
        <w:rPr/>
      </w:pPr>
      <w:bookmarkStart w:colFirst="0" w:colLast="0" w:name="_ttrsy5kcbq0o" w:id="31"/>
      <w:bookmarkEnd w:id="31"/>
      <w:r w:rsidDel="00000000" w:rsidR="00000000" w:rsidRPr="00000000">
        <w:rPr>
          <w:rtl w:val="0"/>
        </w:rPr>
        <w:t xml:space="preserve">Attrition </w:t>
      </w:r>
    </w:p>
    <w:p w:rsidR="00000000" w:rsidDel="00000000" w:rsidP="00000000" w:rsidRDefault="00000000" w:rsidRPr="00000000" w14:paraId="000001D5">
      <w:pPr>
        <w:spacing w:after="0" w:before="0" w:line="276" w:lineRule="auto"/>
        <w:rPr/>
      </w:pPr>
      <w:r w:rsidDel="00000000" w:rsidR="00000000" w:rsidRPr="00000000">
        <w:rPr>
          <w:rtl w:val="0"/>
        </w:rPr>
      </w:r>
    </w:p>
    <w:p w:rsidR="00000000" w:rsidDel="00000000" w:rsidP="00000000" w:rsidRDefault="00000000" w:rsidRPr="00000000" w14:paraId="000001D6">
      <w:pPr>
        <w:spacing w:after="0" w:before="0" w:line="276" w:lineRule="auto"/>
        <w:rPr/>
      </w:pPr>
      <w:r w:rsidDel="00000000" w:rsidR="00000000" w:rsidRPr="00000000">
        <w:rPr>
          <w:rtl w:val="0"/>
        </w:rPr>
        <w:t xml:space="preserve">Given 1 year elapsed between subsidy implementation and endline, some amount of attrition of study households is expected. We will utilize three main strategies for minimizing attrition: </w:t>
      </w:r>
    </w:p>
    <w:p w:rsidR="00000000" w:rsidDel="00000000" w:rsidP="00000000" w:rsidRDefault="00000000" w:rsidRPr="00000000" w14:paraId="000001D7">
      <w:pPr>
        <w:spacing w:after="0" w:before="0" w:line="276" w:lineRule="auto"/>
        <w:rPr/>
      </w:pPr>
      <w:r w:rsidDel="00000000" w:rsidR="00000000" w:rsidRPr="00000000">
        <w:rPr>
          <w:rtl w:val="0"/>
        </w:rPr>
      </w:r>
    </w:p>
    <w:p w:rsidR="00000000" w:rsidDel="00000000" w:rsidP="00000000" w:rsidRDefault="00000000" w:rsidRPr="00000000" w14:paraId="000001D8">
      <w:pPr>
        <w:numPr>
          <w:ilvl w:val="0"/>
          <w:numId w:val="1"/>
        </w:numPr>
        <w:spacing w:after="0" w:before="0" w:line="276" w:lineRule="auto"/>
        <w:ind w:left="720" w:hanging="360"/>
        <w:rPr>
          <w:u w:val="none"/>
        </w:rPr>
      </w:pPr>
      <w:r w:rsidDel="00000000" w:rsidR="00000000" w:rsidRPr="00000000">
        <w:rPr>
          <w:rtl w:val="0"/>
        </w:rPr>
        <w:t xml:space="preserve">Collected extra tracking data during listing. During household listing, iDE staff collected additional information on the household to improve IDinsight enumerator’s ability to track survey respondents at endline; they asked households for the names of two adults in the household, a household phone number, and the names and phone numbers for two local friends or family members. iDE staff also described the household’s location in the listing survey to further assist IDinsight’s tracking of survey respondents. </w:t>
      </w:r>
    </w:p>
    <w:p w:rsidR="00000000" w:rsidDel="00000000" w:rsidP="00000000" w:rsidRDefault="00000000" w:rsidRPr="00000000" w14:paraId="000001D9">
      <w:pPr>
        <w:numPr>
          <w:ilvl w:val="0"/>
          <w:numId w:val="1"/>
        </w:numPr>
        <w:spacing w:after="0" w:before="0" w:line="276" w:lineRule="auto"/>
        <w:ind w:left="720" w:hanging="360"/>
        <w:rPr>
          <w:u w:val="none"/>
        </w:rPr>
      </w:pPr>
      <w:r w:rsidDel="00000000" w:rsidR="00000000" w:rsidRPr="00000000">
        <w:rPr>
          <w:rtl w:val="0"/>
        </w:rPr>
        <w:t xml:space="preserve">Communicate clearly with local leaders. By communicating the purpose of the evaluation clearly to local leadership, we can sensitize all the villagers to the study and encourage their participation. Clear communication at the time of the endline survey should also decrease the number of respondents who refuse to answer questions. </w:t>
      </w:r>
    </w:p>
    <w:p w:rsidR="00000000" w:rsidDel="00000000" w:rsidP="00000000" w:rsidRDefault="00000000" w:rsidRPr="00000000" w14:paraId="000001DA">
      <w:pPr>
        <w:numPr>
          <w:ilvl w:val="0"/>
          <w:numId w:val="1"/>
        </w:numPr>
        <w:spacing w:after="0" w:before="0" w:line="276" w:lineRule="auto"/>
        <w:ind w:left="720" w:hanging="360"/>
        <w:rPr>
          <w:u w:val="none"/>
        </w:rPr>
      </w:pPr>
      <w:r w:rsidDel="00000000" w:rsidR="00000000" w:rsidRPr="00000000">
        <w:rPr>
          <w:rtl w:val="0"/>
        </w:rPr>
        <w:t xml:space="preserve">Offer a small incentive for completing the endline survey. We offer a small gift in the magnitude of a bar of soap or a bag of grain to compensate respondents for their time. </w:t>
      </w:r>
    </w:p>
    <w:p w:rsidR="00000000" w:rsidDel="00000000" w:rsidP="00000000" w:rsidRDefault="00000000" w:rsidRPr="00000000" w14:paraId="000001DB">
      <w:pPr>
        <w:spacing w:after="0" w:before="0" w:line="276" w:lineRule="auto"/>
        <w:rPr/>
      </w:pPr>
      <w:r w:rsidDel="00000000" w:rsidR="00000000" w:rsidRPr="00000000">
        <w:rPr>
          <w:rtl w:val="0"/>
        </w:rPr>
      </w:r>
    </w:p>
    <w:p w:rsidR="00000000" w:rsidDel="00000000" w:rsidP="00000000" w:rsidRDefault="00000000" w:rsidRPr="00000000" w14:paraId="000001DC">
      <w:pPr>
        <w:spacing w:after="0" w:before="0" w:line="276" w:lineRule="auto"/>
        <w:rPr/>
      </w:pPr>
      <w:r w:rsidDel="00000000" w:rsidR="00000000" w:rsidRPr="00000000">
        <w:rPr>
          <w:rtl w:val="0"/>
        </w:rPr>
        <w:t xml:space="preserve">Even with these strategies, some amount of attrition is inevitable. Attrition challenges the validity of the evaluation if: sample sizes diminish considerably, thereby reducing the study’s statistical power; and if there is differential attrition. Differential attrition occurs if those who drop out are systematically different in the control and treatment groups. To address the first challenge, we have increased our starting sample size accounting for a reasonable attrition rate. We will check for differential attrition to see if households differ across study arms. To do this, we will regress a binary variable representing response on treatment status, controlling for pre-specified covariates. We will also check if households who respond to our endline survey differ across listing variables across treatment arms. </w:t>
      </w:r>
    </w:p>
    <w:p w:rsidR="00000000" w:rsidDel="00000000" w:rsidP="00000000" w:rsidRDefault="00000000" w:rsidRPr="00000000" w14:paraId="000001DD">
      <w:pPr>
        <w:pStyle w:val="Heading3"/>
        <w:spacing w:after="0" w:before="0" w:line="276" w:lineRule="auto"/>
        <w:rPr/>
      </w:pPr>
      <w:bookmarkStart w:colFirst="0" w:colLast="0" w:name="_xrpvykbihems" w:id="32"/>
      <w:bookmarkEnd w:id="32"/>
      <w:r w:rsidDel="00000000" w:rsidR="00000000" w:rsidRPr="00000000">
        <w:rPr>
          <w:rtl w:val="0"/>
        </w:rPr>
      </w:r>
    </w:p>
    <w:p w:rsidR="00000000" w:rsidDel="00000000" w:rsidP="00000000" w:rsidRDefault="00000000" w:rsidRPr="00000000" w14:paraId="000001DE">
      <w:pPr>
        <w:pStyle w:val="Heading3"/>
        <w:spacing w:after="0" w:before="0" w:line="276" w:lineRule="auto"/>
        <w:rPr/>
      </w:pPr>
      <w:bookmarkStart w:colFirst="0" w:colLast="0" w:name="_ucau8ss9py5a" w:id="33"/>
      <w:bookmarkEnd w:id="33"/>
      <w:r w:rsidDel="00000000" w:rsidR="00000000" w:rsidRPr="00000000">
        <w:rPr>
          <w:rtl w:val="0"/>
        </w:rPr>
        <w:t xml:space="preserve">External Validity </w:t>
      </w:r>
    </w:p>
    <w:p w:rsidR="00000000" w:rsidDel="00000000" w:rsidP="00000000" w:rsidRDefault="00000000" w:rsidRPr="00000000" w14:paraId="000001DF">
      <w:pPr>
        <w:spacing w:after="0" w:before="0" w:line="276" w:lineRule="auto"/>
        <w:rPr/>
      </w:pPr>
      <w:r w:rsidDel="00000000" w:rsidR="00000000" w:rsidRPr="00000000">
        <w:rPr>
          <w:rtl w:val="0"/>
        </w:rPr>
      </w:r>
    </w:p>
    <w:p w:rsidR="00000000" w:rsidDel="00000000" w:rsidP="00000000" w:rsidRDefault="00000000" w:rsidRPr="00000000" w14:paraId="000001E0">
      <w:pPr>
        <w:spacing w:after="0" w:before="0" w:line="276" w:lineRule="auto"/>
        <w:rPr/>
      </w:pPr>
      <w:r w:rsidDel="00000000" w:rsidR="00000000" w:rsidRPr="00000000">
        <w:rPr>
          <w:rtl w:val="0"/>
        </w:rPr>
        <w:t xml:space="preserve">The study will be conducted in the 104 sampled villages within the 11 kebeles located in the three woredas (Kindo Koyisha, Bayra Koysha, Duguna Fango) in the Wolayita zone. These kebeles may not be culturally representative of the entire nation. These represent a threat to the study’s external validity. That said, the findings of this study may be applicable to households in a similar income stratum outside the intervention areas. If this intervention proves to be effective in improving sanitation outcomes among eligible households in these kebeles, it is possible that a similar intervention would yield comparable success among households in similar income strata in other regions.</w:t>
      </w:r>
    </w:p>
    <w:p w:rsidR="00000000" w:rsidDel="00000000" w:rsidP="00000000" w:rsidRDefault="00000000" w:rsidRPr="00000000" w14:paraId="000001E1">
      <w:pPr>
        <w:spacing w:after="0" w:before="0" w:line="276" w:lineRule="auto"/>
        <w:rPr/>
      </w:pPr>
      <w:r w:rsidDel="00000000" w:rsidR="00000000" w:rsidRPr="00000000">
        <w:rPr>
          <w:rtl w:val="0"/>
        </w:rPr>
      </w:r>
    </w:p>
    <w:p w:rsidR="00000000" w:rsidDel="00000000" w:rsidP="00000000" w:rsidRDefault="00000000" w:rsidRPr="00000000" w14:paraId="000001E2">
      <w:pPr>
        <w:pStyle w:val="Heading3"/>
        <w:spacing w:after="0" w:before="0" w:line="276" w:lineRule="auto"/>
        <w:rPr/>
      </w:pPr>
      <w:bookmarkStart w:colFirst="0" w:colLast="0" w:name="_f1qac4dainr8" w:id="34"/>
      <w:bookmarkEnd w:id="34"/>
      <w:r w:rsidDel="00000000" w:rsidR="00000000" w:rsidRPr="00000000">
        <w:rPr>
          <w:rtl w:val="0"/>
        </w:rPr>
        <w:t xml:space="preserve">Subsidy distribution after the study ends</w:t>
      </w:r>
    </w:p>
    <w:p w:rsidR="00000000" w:rsidDel="00000000" w:rsidP="00000000" w:rsidRDefault="00000000" w:rsidRPr="00000000" w14:paraId="000001E3">
      <w:pPr>
        <w:spacing w:after="0" w:before="0" w:line="276" w:lineRule="auto"/>
        <w:rPr/>
      </w:pPr>
      <w:r w:rsidDel="00000000" w:rsidR="00000000" w:rsidRPr="00000000">
        <w:rPr>
          <w:rtl w:val="0"/>
        </w:rPr>
      </w:r>
    </w:p>
    <w:p w:rsidR="00000000" w:rsidDel="00000000" w:rsidP="00000000" w:rsidRDefault="00000000" w:rsidRPr="00000000" w14:paraId="000001E4">
      <w:pPr>
        <w:spacing w:after="0" w:before="0" w:line="276" w:lineRule="auto"/>
        <w:rPr/>
      </w:pPr>
      <w:r w:rsidDel="00000000" w:rsidR="00000000" w:rsidRPr="00000000">
        <w:rPr>
          <w:rtl w:val="0"/>
        </w:rPr>
        <w:t xml:space="preserve">The planned implementation is for all eligible households in treatment villages to be offered a subsidy during the research study, and for eligible households in control villages to be offered the subsidy when the research concludes, for equity reasons, as requested by FMoH (while taking care to avoid any communication to encourage expectations of this in control villages). We estimate that iDE’s subsidy budget should be able to reasonably cover all households identified as eligible in the study villages. Initial estimates based on subsidizing the concrete slab with SaTo pan alone indicate the subsidy pool can reach 2,100 households. </w:t>
      </w:r>
    </w:p>
    <w:p w:rsidR="00000000" w:rsidDel="00000000" w:rsidP="00000000" w:rsidRDefault="00000000" w:rsidRPr="00000000" w14:paraId="000001E5">
      <w:pPr>
        <w:spacing w:after="0" w:before="0" w:line="276" w:lineRule="auto"/>
        <w:rPr/>
      </w:pPr>
      <w:r w:rsidDel="00000000" w:rsidR="00000000" w:rsidRPr="00000000">
        <w:rPr>
          <w:rtl w:val="0"/>
        </w:rPr>
      </w:r>
    </w:p>
    <w:p w:rsidR="00000000" w:rsidDel="00000000" w:rsidP="00000000" w:rsidRDefault="00000000" w:rsidRPr="00000000" w14:paraId="000001E6">
      <w:pPr>
        <w:spacing w:after="0" w:before="0" w:line="276" w:lineRule="auto"/>
        <w:rPr/>
      </w:pPr>
      <w:r w:rsidDel="00000000" w:rsidR="00000000" w:rsidRPr="00000000">
        <w:rPr>
          <w:rtl w:val="0"/>
        </w:rPr>
      </w:r>
    </w:p>
    <w:p w:rsidR="00000000" w:rsidDel="00000000" w:rsidP="00000000" w:rsidRDefault="00000000" w:rsidRPr="00000000" w14:paraId="000001E7">
      <w:pPr>
        <w:spacing w:after="0" w:before="0" w:line="276" w:lineRule="auto"/>
        <w:rPr/>
      </w:pPr>
      <w:r w:rsidDel="00000000" w:rsidR="00000000" w:rsidRPr="00000000">
        <w:rPr>
          <w:rtl w:val="0"/>
        </w:rPr>
      </w:r>
    </w:p>
    <w:p w:rsidR="00000000" w:rsidDel="00000000" w:rsidP="00000000" w:rsidRDefault="00000000" w:rsidRPr="00000000" w14:paraId="000001E8">
      <w:pPr>
        <w:spacing w:after="0" w:before="0" w:line="276" w:lineRule="auto"/>
        <w:rPr/>
      </w:pPr>
      <w:r w:rsidDel="00000000" w:rsidR="00000000" w:rsidRPr="00000000">
        <w:rPr>
          <w:rtl w:val="0"/>
        </w:rPr>
      </w:r>
    </w:p>
    <w:p w:rsidR="00000000" w:rsidDel="00000000" w:rsidP="00000000" w:rsidRDefault="00000000" w:rsidRPr="00000000" w14:paraId="000001E9">
      <w:pPr>
        <w:pStyle w:val="Heading1"/>
        <w:spacing w:before="0" w:line="276" w:lineRule="auto"/>
        <w:rPr/>
      </w:pPr>
      <w:r w:rsidDel="00000000" w:rsidR="00000000" w:rsidRPr="00000000">
        <w:rPr>
          <w:rtl w:val="0"/>
        </w:rPr>
      </w:r>
    </w:p>
    <w:p w:rsidR="00000000" w:rsidDel="00000000" w:rsidP="00000000" w:rsidRDefault="00000000" w:rsidRPr="00000000" w14:paraId="000001EA">
      <w:pPr>
        <w:pStyle w:val="Heading1"/>
        <w:spacing w:before="0" w:line="276" w:lineRule="auto"/>
        <w:rPr/>
      </w:pPr>
      <w:r w:rsidDel="00000000" w:rsidR="00000000" w:rsidRPr="00000000">
        <w:br w:type="page"/>
      </w:r>
      <w:r w:rsidDel="00000000" w:rsidR="00000000" w:rsidRPr="00000000">
        <w:rPr>
          <w:rtl w:val="0"/>
        </w:rPr>
      </w:r>
    </w:p>
    <w:p w:rsidR="00000000" w:rsidDel="00000000" w:rsidP="00000000" w:rsidRDefault="00000000" w:rsidRPr="00000000" w14:paraId="000001EB">
      <w:pPr>
        <w:pStyle w:val="Heading1"/>
        <w:spacing w:before="0" w:line="276" w:lineRule="auto"/>
        <w:rPr/>
      </w:pPr>
      <w:r w:rsidDel="00000000" w:rsidR="00000000" w:rsidRPr="00000000">
        <w:rPr>
          <w:rtl w:val="0"/>
        </w:rPr>
        <w:t xml:space="preserve">References</w:t>
      </w:r>
    </w:p>
    <w:p w:rsidR="00000000" w:rsidDel="00000000" w:rsidP="00000000" w:rsidRDefault="00000000" w:rsidRPr="00000000" w14:paraId="000001EC">
      <w:pPr>
        <w:spacing w:after="0" w:before="0" w:line="276" w:lineRule="auto"/>
        <w:rPr/>
      </w:pPr>
      <w:r w:rsidDel="00000000" w:rsidR="00000000" w:rsidRPr="00000000">
        <w:rPr>
          <w:rtl w:val="0"/>
        </w:rPr>
      </w:r>
    </w:p>
    <w:p w:rsidR="00000000" w:rsidDel="00000000" w:rsidP="00000000" w:rsidRDefault="00000000" w:rsidRPr="00000000" w14:paraId="000001ED">
      <w:pPr>
        <w:spacing w:after="160" w:before="0" w:line="276" w:lineRule="auto"/>
        <w:ind w:left="0" w:firstLine="0"/>
        <w:rPr/>
      </w:pPr>
      <w:r w:rsidDel="00000000" w:rsidR="00000000" w:rsidRPr="00000000">
        <w:rPr>
          <w:rtl w:val="0"/>
        </w:rPr>
        <w:t xml:space="preserve">Andres, Luis A., Michael Thibert, Camilo Lombana Cordoba, Alexander V. Danilenko, George Joseph, and Christian Borja-Vega. 2019. “Doing More with Less: Smarter Subsidies for Water Supply and Sanitation.” World Bank.</w:t>
      </w:r>
      <w:hyperlink r:id="rId8">
        <w:r w:rsidDel="00000000" w:rsidR="00000000" w:rsidRPr="00000000">
          <w:rPr>
            <w:rtl w:val="0"/>
          </w:rPr>
          <w:t xml:space="preserve"> </w:t>
        </w:r>
      </w:hyperlink>
      <w:hyperlink r:id="rId9">
        <w:r w:rsidDel="00000000" w:rsidR="00000000" w:rsidRPr="00000000">
          <w:rPr>
            <w:u w:val="single"/>
            <w:rtl w:val="0"/>
          </w:rPr>
          <w:t xml:space="preserve">http://hdl.handle.net/10986/32277</w:t>
        </w:r>
      </w:hyperlink>
      <w:r w:rsidDel="00000000" w:rsidR="00000000" w:rsidRPr="00000000">
        <w:rPr>
          <w:rtl w:val="0"/>
        </w:rPr>
        <w:t xml:space="preserve">.</w:t>
      </w:r>
    </w:p>
    <w:p w:rsidR="00000000" w:rsidDel="00000000" w:rsidP="00000000" w:rsidRDefault="00000000" w:rsidRPr="00000000" w14:paraId="000001EE">
      <w:pPr>
        <w:spacing w:after="160" w:before="0" w:line="276" w:lineRule="auto"/>
        <w:ind w:left="0" w:firstLine="0"/>
        <w:rPr/>
      </w:pPr>
      <w:r w:rsidDel="00000000" w:rsidR="00000000" w:rsidRPr="00000000">
        <w:rPr>
          <w:rtl w:val="0"/>
        </w:rPr>
        <w:t xml:space="preserve">Bantie, G. M., Woya, A. A., and Zewdie, B. M. 2020. “Community-Based Health Insurance and Associated Factors in North-Western Ethiopia. The Case of Bahir Dar City.” International journal of general medicine, 13, 1207–1217.</w:t>
      </w:r>
      <w:hyperlink r:id="rId10">
        <w:r w:rsidDel="00000000" w:rsidR="00000000" w:rsidRPr="00000000">
          <w:rPr>
            <w:rtl w:val="0"/>
          </w:rPr>
          <w:t xml:space="preserve"> https://doi.org/10.2147/IJGM.S264337</w:t>
        </w:r>
      </w:hyperlink>
      <w:r w:rsidDel="00000000" w:rsidR="00000000" w:rsidRPr="00000000">
        <w:rPr>
          <w:rtl w:val="0"/>
        </w:rPr>
        <w:t xml:space="preserve"> Cameron, Lisa, Paulo Santos, Milan Thomas, and Jeff Albert. 2021. “Sanitation, Financial Incentives and Health Spillovers: A Cluster Randomised Trial.” </w:t>
      </w:r>
      <w:r w:rsidDel="00000000" w:rsidR="00000000" w:rsidRPr="00000000">
        <w:rPr>
          <w:i w:val="1"/>
          <w:iCs w:val="1"/>
          <w:rtl w:val="0"/>
        </w:rPr>
        <w:t xml:space="preserve">Journal of Health Economics</w:t>
      </w:r>
      <w:r w:rsidDel="00000000" w:rsidR="00000000" w:rsidRPr="00000000">
        <w:rPr>
          <w:rtl w:val="0"/>
        </w:rPr>
        <w:t xml:space="preserve"> 77 (May): 102456.</w:t>
      </w:r>
      <w:hyperlink r:id="rId11">
        <w:r w:rsidDel="00000000" w:rsidR="00000000" w:rsidRPr="00000000">
          <w:rPr>
            <w:rtl w:val="0"/>
          </w:rPr>
          <w:t xml:space="preserve"> </w:t>
        </w:r>
      </w:hyperlink>
      <w:hyperlink r:id="rId12">
        <w:r w:rsidDel="00000000" w:rsidR="00000000" w:rsidRPr="00000000">
          <w:rPr>
            <w:u w:val="single"/>
            <w:rtl w:val="0"/>
          </w:rPr>
          <w:t xml:space="preserve">https://doi.org/10.1016/j.jhealeco.2021.102456</w:t>
        </w:r>
      </w:hyperlink>
      <w:r w:rsidDel="00000000" w:rsidR="00000000" w:rsidRPr="00000000">
        <w:rPr>
          <w:rtl w:val="0"/>
        </w:rPr>
        <w:t xml:space="preserve">.</w:t>
      </w:r>
    </w:p>
    <w:p w:rsidR="00000000" w:rsidDel="00000000" w:rsidP="00000000" w:rsidRDefault="00000000" w:rsidRPr="00000000" w14:paraId="000001EF">
      <w:pPr>
        <w:spacing w:after="160" w:before="0" w:line="276" w:lineRule="auto"/>
        <w:ind w:left="0" w:firstLine="0"/>
        <w:rPr/>
      </w:pPr>
      <w:r w:rsidDel="00000000" w:rsidR="00000000" w:rsidRPr="00000000">
        <w:rPr>
          <w:rtl w:val="0"/>
        </w:rPr>
        <w:t xml:space="preserve">Evans, B., C. van der Voorden, and A. Peal. 2009. “Public Funding for Sanitation: The Many Faces of Sanitation Subsidies: A Primer.” Switzerland: Water Supply and Sanitation Collaborative Council.</w:t>
      </w:r>
      <w:hyperlink r:id="rId13">
        <w:r w:rsidDel="00000000" w:rsidR="00000000" w:rsidRPr="00000000">
          <w:rPr>
            <w:rtl w:val="0"/>
          </w:rPr>
          <w:t xml:space="preserve"> </w:t>
        </w:r>
      </w:hyperlink>
      <w:hyperlink r:id="rId14">
        <w:r w:rsidDel="00000000" w:rsidR="00000000" w:rsidRPr="00000000">
          <w:rPr>
            <w:u w:val="single"/>
            <w:rtl w:val="0"/>
          </w:rPr>
          <w:t xml:space="preserve">https://www.ircwash.org/resources/public-funding-sanitation-many-faces-sanitation-subsidies-primer</w:t>
        </w:r>
      </w:hyperlink>
      <w:r w:rsidDel="00000000" w:rsidR="00000000" w:rsidRPr="00000000">
        <w:rPr>
          <w:rtl w:val="0"/>
        </w:rPr>
        <w:t xml:space="preserve">.</w:t>
      </w:r>
    </w:p>
    <w:p w:rsidR="00000000" w:rsidDel="00000000" w:rsidP="00000000" w:rsidRDefault="00000000" w:rsidRPr="00000000" w14:paraId="000001F0">
      <w:pPr>
        <w:spacing w:after="160" w:before="0" w:line="276" w:lineRule="auto"/>
        <w:ind w:left="0" w:firstLine="0"/>
        <w:rPr/>
      </w:pPr>
      <w:r w:rsidDel="00000000" w:rsidR="00000000" w:rsidRPr="00000000">
        <w:rPr>
          <w:rtl w:val="0"/>
        </w:rPr>
        <w:t xml:space="preserve">FMoH (Federal Ministry of Health). 2022. “National Sanitation Subsidy Protocol.” Addis Ababa.</w:t>
      </w:r>
      <w:hyperlink r:id="rId15">
        <w:r w:rsidDel="00000000" w:rsidR="00000000" w:rsidRPr="00000000">
          <w:rPr>
            <w:rtl w:val="0"/>
          </w:rPr>
          <w:t xml:space="preserve"> </w:t>
        </w:r>
      </w:hyperlink>
      <w:hyperlink r:id="rId16">
        <w:r w:rsidDel="00000000" w:rsidR="00000000" w:rsidRPr="00000000">
          <w:rPr>
            <w:u w:val="single"/>
            <w:rtl w:val="0"/>
          </w:rPr>
          <w:t xml:space="preserve">https://www.wateraid.org/et/sites/g/files/jkxoof401/files/2022-08/National%20Sanitation%20Subsidy%20Protocol%20%283%29.pdf</w:t>
        </w:r>
      </w:hyperlink>
      <w:r w:rsidDel="00000000" w:rsidR="00000000" w:rsidRPr="00000000">
        <w:rPr>
          <w:rtl w:val="0"/>
        </w:rPr>
        <w:t xml:space="preserve">.</w:t>
      </w:r>
    </w:p>
    <w:p w:rsidR="00000000" w:rsidDel="00000000" w:rsidP="00000000" w:rsidRDefault="00000000" w:rsidRPr="00000000" w14:paraId="000001F1">
      <w:pPr>
        <w:spacing w:after="160" w:before="0" w:line="276" w:lineRule="auto"/>
        <w:ind w:left="0" w:firstLine="0"/>
        <w:rPr/>
      </w:pPr>
      <w:r w:rsidDel="00000000" w:rsidR="00000000" w:rsidRPr="00000000">
        <w:rPr>
          <w:rtl w:val="0"/>
        </w:rPr>
        <w:t xml:space="preserve">Guiteras, Raymond, James Levinsohn, and Ahmed Mushfiq Mobarak. 2015. “Encouraging Sanitation Investment in the Developing World: A Cluster-Randomized Trial.” </w:t>
      </w:r>
      <w:r w:rsidDel="00000000" w:rsidR="00000000" w:rsidRPr="00000000">
        <w:rPr>
          <w:i w:val="1"/>
          <w:iCs w:val="1"/>
          <w:rtl w:val="0"/>
        </w:rPr>
        <w:t xml:space="preserve">Science</w:t>
      </w:r>
      <w:r w:rsidDel="00000000" w:rsidR="00000000" w:rsidRPr="00000000">
        <w:rPr>
          <w:rtl w:val="0"/>
        </w:rPr>
        <w:t xml:space="preserve"> 348 (6237): 903–906.</w:t>
      </w:r>
      <w:hyperlink r:id="rId17">
        <w:r w:rsidDel="00000000" w:rsidR="00000000" w:rsidRPr="00000000">
          <w:rPr>
            <w:rtl w:val="0"/>
          </w:rPr>
          <w:t xml:space="preserve"> </w:t>
        </w:r>
      </w:hyperlink>
      <w:hyperlink r:id="rId18">
        <w:r w:rsidDel="00000000" w:rsidR="00000000" w:rsidRPr="00000000">
          <w:rPr>
            <w:u w:val="single"/>
            <w:rtl w:val="0"/>
          </w:rPr>
          <w:t xml:space="preserve">https://www.science.org/doi/10.1126/science.aaa0491</w:t>
        </w:r>
      </w:hyperlink>
      <w:r w:rsidDel="00000000" w:rsidR="00000000" w:rsidRPr="00000000">
        <w:rPr>
          <w:rtl w:val="0"/>
        </w:rPr>
        <w:t xml:space="preserve">.</w:t>
      </w:r>
    </w:p>
    <w:p w:rsidR="00000000" w:rsidDel="00000000" w:rsidP="00000000" w:rsidRDefault="00000000" w:rsidRPr="00000000" w14:paraId="000001F2">
      <w:pPr>
        <w:spacing w:after="160" w:before="0" w:line="276" w:lineRule="auto"/>
        <w:ind w:left="0" w:firstLine="0"/>
        <w:rPr/>
      </w:pPr>
      <w:r w:rsidDel="00000000" w:rsidR="00000000" w:rsidRPr="00000000">
        <w:rPr>
          <w:rtl w:val="0"/>
        </w:rPr>
        <w:t xml:space="preserve">Hoo, Yi Rong, George Joseph, Rafael Rivera, Susanna Smets, Hanh Nguyen, Per Ljung, Sreymom Um, Georgia Davis, and Jeff Albert. 2022. “Strategic Complements: Poverty-Targeted Subsidy Programs Show Additive Benefits on Household Toilet Purchases in Rural Cambodia When Coupled with Sanitation Marketing.” </w:t>
      </w:r>
      <w:r w:rsidDel="00000000" w:rsidR="00000000" w:rsidRPr="00000000">
        <w:rPr>
          <w:i w:val="1"/>
          <w:iCs w:val="1"/>
          <w:rtl w:val="0"/>
        </w:rPr>
        <w:t xml:space="preserve">PLoS ONE</w:t>
      </w:r>
      <w:r w:rsidDel="00000000" w:rsidR="00000000" w:rsidRPr="00000000">
        <w:rPr>
          <w:rtl w:val="0"/>
        </w:rPr>
        <w:t xml:space="preserve"> 17 (6): 0269980.</w:t>
      </w:r>
      <w:hyperlink r:id="rId19">
        <w:r w:rsidDel="00000000" w:rsidR="00000000" w:rsidRPr="00000000">
          <w:rPr>
            <w:rtl w:val="0"/>
          </w:rPr>
          <w:t xml:space="preserve"> </w:t>
        </w:r>
      </w:hyperlink>
      <w:hyperlink r:id="rId20">
        <w:r w:rsidDel="00000000" w:rsidR="00000000" w:rsidRPr="00000000">
          <w:rPr>
            <w:u w:val="single"/>
            <w:rtl w:val="0"/>
          </w:rPr>
          <w:t xml:space="preserve">https://doi.org/10.1371/journal.pone.0269980</w:t>
        </w:r>
      </w:hyperlink>
      <w:r w:rsidDel="00000000" w:rsidR="00000000" w:rsidRPr="00000000">
        <w:rPr>
          <w:rtl w:val="0"/>
        </w:rPr>
        <w:t xml:space="preserve">.</w:t>
      </w:r>
    </w:p>
    <w:p w:rsidR="00000000" w:rsidDel="00000000" w:rsidP="00000000" w:rsidRDefault="00000000" w:rsidRPr="00000000" w14:paraId="000001F3">
      <w:pPr>
        <w:spacing w:after="160" w:before="0" w:line="276" w:lineRule="auto"/>
        <w:ind w:left="0" w:firstLine="0"/>
        <w:rPr/>
      </w:pPr>
      <w:r w:rsidDel="00000000" w:rsidR="00000000" w:rsidRPr="00000000">
        <w:rPr>
          <w:rtl w:val="0"/>
        </w:rPr>
        <w:t xml:space="preserve">iDE. 2019. “Learnings from a Randomized Controlled Trial on Targeted Subsidies: Increasing Sanitation Uptake among Poor Households in Rural Cambodia.” Policy Brief.</w:t>
      </w:r>
      <w:hyperlink r:id="rId21">
        <w:r w:rsidDel="00000000" w:rsidR="00000000" w:rsidRPr="00000000">
          <w:rPr>
            <w:rtl w:val="0"/>
          </w:rPr>
          <w:t xml:space="preserve"> </w:t>
        </w:r>
      </w:hyperlink>
      <w:hyperlink r:id="rId22">
        <w:r w:rsidDel="00000000" w:rsidR="00000000" w:rsidRPr="00000000">
          <w:rPr>
            <w:u w:val="single"/>
            <w:rtl w:val="0"/>
          </w:rPr>
          <w:t xml:space="preserve">https://beamexchange.org/uploads/filer_public/42/ce/42cee3f5-4f31-4288-ba1a-afef4b183b68/ide-pb_kh_wash_learningsfrom-rct_compressed.pdf</w:t>
        </w:r>
      </w:hyperlink>
      <w:r w:rsidDel="00000000" w:rsidR="00000000" w:rsidRPr="00000000">
        <w:rPr>
          <w:rtl w:val="0"/>
        </w:rPr>
        <w:t xml:space="preserve">.</w:t>
      </w:r>
    </w:p>
    <w:p w:rsidR="00000000" w:rsidDel="00000000" w:rsidP="00000000" w:rsidRDefault="00000000" w:rsidRPr="00000000" w14:paraId="000001F4">
      <w:pPr>
        <w:spacing w:after="160" w:before="0" w:line="276" w:lineRule="auto"/>
        <w:ind w:left="0" w:firstLine="0"/>
        <w:rPr/>
      </w:pPr>
      <w:r w:rsidDel="00000000" w:rsidR="00000000" w:rsidRPr="00000000">
        <w:rPr>
          <w:rtl w:val="0"/>
        </w:rPr>
        <w:t xml:space="preserve">Itad. 2023. “Health Village Impact Evaluation: Baseline Report.” Washington, DC. Submitted by Itad in association with S4SD, MMA and IDS.</w:t>
      </w:r>
    </w:p>
    <w:p w:rsidR="00000000" w:rsidDel="00000000" w:rsidP="00000000" w:rsidRDefault="00000000" w:rsidRPr="00000000" w14:paraId="000001F5">
      <w:pPr>
        <w:spacing w:after="160" w:before="0" w:line="276" w:lineRule="auto"/>
        <w:ind w:left="0" w:firstLine="0"/>
        <w:rPr/>
      </w:pPr>
      <w:r w:rsidDel="00000000" w:rsidR="00000000" w:rsidRPr="00000000">
        <w:rPr>
          <w:rtl w:val="0"/>
        </w:rPr>
        <w:t xml:space="preserve">Jenkins, M. W., and Sugden, S. 2006. “Rethinking Sanitation: Lessons and Innovation for Sustainability and Success in the New Millennium.” New York.</w:t>
      </w:r>
      <w:hyperlink r:id="rId23">
        <w:r w:rsidDel="00000000" w:rsidR="00000000" w:rsidRPr="00000000">
          <w:rPr>
            <w:rtl w:val="0"/>
          </w:rPr>
          <w:t xml:space="preserve"> </w:t>
        </w:r>
      </w:hyperlink>
      <w:hyperlink r:id="rId24">
        <w:r w:rsidDel="00000000" w:rsidR="00000000" w:rsidRPr="00000000">
          <w:rPr>
            <w:u w:val="single"/>
            <w:rtl w:val="0"/>
          </w:rPr>
          <w:t xml:space="preserve">https://hdr.undp.org/content/rethinking-sanitation-lessons-and-innovation-sustainability-and-success-new-millennium</w:t>
        </w:r>
      </w:hyperlink>
      <w:r w:rsidDel="00000000" w:rsidR="00000000" w:rsidRPr="00000000">
        <w:rPr>
          <w:rtl w:val="0"/>
        </w:rPr>
        <w:t xml:space="preserve"> </w:t>
      </w:r>
    </w:p>
    <w:p w:rsidR="00000000" w:rsidDel="00000000" w:rsidP="00000000" w:rsidRDefault="00000000" w:rsidRPr="00000000" w14:paraId="000001F6">
      <w:pPr>
        <w:spacing w:after="160" w:before="0" w:line="276" w:lineRule="auto"/>
        <w:ind w:left="0" w:firstLine="0"/>
        <w:rPr/>
      </w:pPr>
      <w:r w:rsidDel="00000000" w:rsidR="00000000" w:rsidRPr="00000000">
        <w:rPr>
          <w:rtl w:val="0"/>
        </w:rPr>
        <w:t xml:space="preserve">Kozole, T. and Ross, M. 2023. Targeted Sanitation Subsidies for Climate-Vulnerable Households. Presented at the Water, WASH &amp; Climate Virtual Symposium.</w:t>
      </w:r>
      <w:hyperlink r:id="rId25">
        <w:r w:rsidDel="00000000" w:rsidR="00000000" w:rsidRPr="00000000">
          <w:rPr>
            <w:rtl w:val="0"/>
          </w:rPr>
          <w:t xml:space="preserve"> https://washfutures.com/wp-content/uploads/2023/03/D1_Tyler-Kozole_Marlaina-Ross_audio.pdf</w:t>
        </w:r>
      </w:hyperlink>
      <w:r w:rsidDel="00000000" w:rsidR="00000000" w:rsidRPr="00000000">
        <w:rPr>
          <w:rtl w:val="0"/>
        </w:rPr>
        <w:t xml:space="preserve">  Robinson, Andrew, and Michael Gnilo. 2016. “Promoting Choice: Smart Finance for Rural Sanitation Development.” In </w:t>
      </w:r>
      <w:r w:rsidDel="00000000" w:rsidR="00000000" w:rsidRPr="00000000">
        <w:rPr>
          <w:i w:val="1"/>
          <w:iCs w:val="1"/>
          <w:rtl w:val="0"/>
        </w:rPr>
        <w:t xml:space="preserve">Sustainable Sanitation for All: Experiences, Challenges, and Innovations</w:t>
      </w:r>
      <w:r w:rsidDel="00000000" w:rsidR="00000000" w:rsidRPr="00000000">
        <w:rPr>
          <w:rtl w:val="0"/>
        </w:rPr>
        <w:t xml:space="preserve">, edited by Petra Bongartz, Naomi Vernon, and John Fox, 225–244. Rugby: Practical Action Publishing.</w:t>
      </w:r>
      <w:hyperlink r:id="rId26">
        <w:r w:rsidDel="00000000" w:rsidR="00000000" w:rsidRPr="00000000">
          <w:rPr>
            <w:rtl w:val="0"/>
          </w:rPr>
          <w:t xml:space="preserve"> </w:t>
        </w:r>
      </w:hyperlink>
      <w:hyperlink r:id="rId27">
        <w:r w:rsidDel="00000000" w:rsidR="00000000" w:rsidRPr="00000000">
          <w:rPr>
            <w:u w:val="single"/>
            <w:rtl w:val="0"/>
          </w:rPr>
          <w:t xml:space="preserve">https://sanitationlearninghub.org/resource/promoting-choice-smart-finance-for-rural-sanitation-development/</w:t>
        </w:r>
      </w:hyperlink>
      <w:r w:rsidDel="00000000" w:rsidR="00000000" w:rsidRPr="00000000">
        <w:rPr>
          <w:rtl w:val="0"/>
        </w:rPr>
        <w:t xml:space="preserve">.</w:t>
      </w:r>
    </w:p>
    <w:p w:rsidR="00000000" w:rsidDel="00000000" w:rsidP="00000000" w:rsidRDefault="00000000" w:rsidRPr="00000000" w14:paraId="000001F7">
      <w:pPr>
        <w:spacing w:after="160" w:before="0" w:line="276" w:lineRule="auto"/>
        <w:ind w:left="0" w:firstLine="0"/>
        <w:rPr/>
      </w:pPr>
      <w:r w:rsidDel="00000000" w:rsidR="00000000" w:rsidRPr="00000000">
        <w:rPr>
          <w:rtl w:val="0"/>
        </w:rPr>
        <w:t xml:space="preserve">Osterwalder, L. ‘Piloting Smart and Targeted Sanitation Subsidies’ [PowerPoint Presentation]. (Accessed: 20 May 2024).</w:t>
      </w:r>
    </w:p>
    <w:p w:rsidR="00000000" w:rsidDel="00000000" w:rsidP="00000000" w:rsidRDefault="00000000" w:rsidRPr="00000000" w14:paraId="000001F8">
      <w:pPr>
        <w:spacing w:after="160" w:before="0" w:line="276" w:lineRule="auto"/>
        <w:ind w:left="0" w:firstLine="0"/>
        <w:rPr/>
      </w:pPr>
      <w:r w:rsidDel="00000000" w:rsidR="00000000" w:rsidRPr="00000000">
        <w:rPr>
          <w:rtl w:val="0"/>
        </w:rPr>
        <w:t xml:space="preserve">Trémolet, Sophie, Pete Kolsky, and Eddy Perez. 2010. “Financing On-Site Sanitation for the Poor: A Six Country Comparative Review and Analysis.” WSP Sanitation Global Practice Team.</w:t>
      </w:r>
      <w:hyperlink r:id="rId28">
        <w:r w:rsidDel="00000000" w:rsidR="00000000" w:rsidRPr="00000000">
          <w:rPr>
            <w:rtl w:val="0"/>
          </w:rPr>
          <w:t xml:space="preserve"> </w:t>
        </w:r>
      </w:hyperlink>
      <w:hyperlink r:id="rId29">
        <w:r w:rsidDel="00000000" w:rsidR="00000000" w:rsidRPr="00000000">
          <w:rPr>
            <w:u w:val="single"/>
            <w:rtl w:val="0"/>
          </w:rPr>
          <w:t xml:space="preserve">https://documents1.worldbank.org/curated/en/165231468341112439/pdf/569430WP0finan101public10BOX353742B.pdf</w:t>
        </w:r>
      </w:hyperlink>
      <w:r w:rsidDel="00000000" w:rsidR="00000000" w:rsidRPr="00000000">
        <w:rPr>
          <w:rtl w:val="0"/>
        </w:rPr>
        <w:t xml:space="preserve">.</w:t>
      </w:r>
    </w:p>
    <w:p w:rsidR="00000000" w:rsidDel="00000000" w:rsidP="00000000" w:rsidRDefault="00000000" w:rsidRPr="00000000" w14:paraId="000001F9">
      <w:pPr>
        <w:spacing w:after="160" w:before="0" w:line="276" w:lineRule="auto"/>
        <w:ind w:left="0" w:firstLine="0"/>
        <w:rPr/>
      </w:pPr>
      <w:r w:rsidDel="00000000" w:rsidR="00000000" w:rsidRPr="00000000">
        <w:rPr>
          <w:rtl w:val="0"/>
        </w:rPr>
        <w:t xml:space="preserve">Trimmer, John T., Joyce Kisiangani, Rachel Peletz, Kara Stuart, Prince Antwi-Agyei, Jeff Albert, Ranjiv Khush, and Caroline Delaire. 2022. “The Impact of Pro-Poor Sanitation Subsidies in Open Defecation-Free Communities: A Randomized, Controlled Trial in Rural Ghana.” Environmental Health Perspectives 130 (6): 067004.</w:t>
      </w:r>
      <w:hyperlink r:id="rId30">
        <w:r w:rsidDel="00000000" w:rsidR="00000000" w:rsidRPr="00000000">
          <w:rPr>
            <w:rtl w:val="0"/>
          </w:rPr>
          <w:t xml:space="preserve"> </w:t>
        </w:r>
      </w:hyperlink>
      <w:hyperlink r:id="rId31">
        <w:r w:rsidDel="00000000" w:rsidR="00000000" w:rsidRPr="00000000">
          <w:rPr>
            <w:u w:val="single"/>
            <w:rtl w:val="0"/>
          </w:rPr>
          <w:t xml:space="preserve">https://doi.org/10.1289/EHP10443</w:t>
        </w:r>
      </w:hyperlink>
      <w:r w:rsidDel="00000000" w:rsidR="00000000" w:rsidRPr="00000000">
        <w:rPr>
          <w:rtl w:val="0"/>
        </w:rPr>
        <w:t xml:space="preserve">.</w:t>
      </w:r>
    </w:p>
    <w:p w:rsidR="00000000" w:rsidDel="00000000" w:rsidP="00000000" w:rsidRDefault="00000000" w:rsidRPr="00000000" w14:paraId="000001FA">
      <w:pPr>
        <w:spacing w:after="160" w:before="0" w:line="276" w:lineRule="auto"/>
        <w:ind w:left="0" w:firstLine="0"/>
        <w:rPr/>
      </w:pPr>
      <w:r w:rsidDel="00000000" w:rsidR="00000000" w:rsidRPr="00000000">
        <w:rPr>
          <w:rtl w:val="0"/>
        </w:rPr>
        <w:t xml:space="preserve">UNICEF (United Nations Children’s Fund). 2016. “Phased Approach to Total Sanitation (PhATS) in Haiyan-Affected Areas: End-line Assessment.”</w:t>
      </w:r>
      <w:hyperlink r:id="rId32">
        <w:r w:rsidDel="00000000" w:rsidR="00000000" w:rsidRPr="00000000">
          <w:rPr>
            <w:rtl w:val="0"/>
          </w:rPr>
          <w:t xml:space="preserve"> </w:t>
        </w:r>
      </w:hyperlink>
      <w:hyperlink r:id="rId33">
        <w:r w:rsidDel="00000000" w:rsidR="00000000" w:rsidRPr="00000000">
          <w:rPr>
            <w:u w:val="single"/>
            <w:rtl w:val="0"/>
          </w:rPr>
          <w:t xml:space="preserve">http://archive.ids.ac.uk/clts/sites/communityledtotalsanitation.org/files/PhasedApproach_endline_assessment.pdf</w:t>
        </w:r>
      </w:hyperlink>
      <w:r w:rsidDel="00000000" w:rsidR="00000000" w:rsidRPr="00000000">
        <w:rPr>
          <w:rtl w:val="0"/>
        </w:rPr>
        <w:t xml:space="preserve">.</w:t>
      </w:r>
    </w:p>
    <w:p w:rsidR="00000000" w:rsidDel="00000000" w:rsidP="00000000" w:rsidRDefault="00000000" w:rsidRPr="00000000" w14:paraId="000001FB">
      <w:pPr>
        <w:spacing w:after="160" w:before="0" w:line="276" w:lineRule="auto"/>
        <w:ind w:left="0" w:firstLine="0"/>
        <w:rPr/>
      </w:pPr>
      <w:r w:rsidDel="00000000" w:rsidR="00000000" w:rsidRPr="00000000">
        <w:rPr>
          <w:rtl w:val="0"/>
        </w:rPr>
        <w:t xml:space="preserve">UNICEF-Philippines. 2015. “WASH Pathway of Change after Yolanda - One Year On.”</w:t>
      </w:r>
      <w:hyperlink r:id="rId34">
        <w:r w:rsidDel="00000000" w:rsidR="00000000" w:rsidRPr="00000000">
          <w:rPr>
            <w:rtl w:val="0"/>
          </w:rPr>
          <w:t xml:space="preserve"> </w:t>
        </w:r>
      </w:hyperlink>
      <w:hyperlink r:id="rId35">
        <w:r w:rsidDel="00000000" w:rsidR="00000000" w:rsidRPr="00000000">
          <w:rPr>
            <w:u w:val="single"/>
            <w:rtl w:val="0"/>
          </w:rPr>
          <w:t xml:space="preserve">https://www.susana.org/_resources/documents/default/2-520-141-1512380688.pdf</w:t>
        </w:r>
      </w:hyperlink>
      <w:r w:rsidDel="00000000" w:rsidR="00000000" w:rsidRPr="00000000">
        <w:rPr>
          <w:rtl w:val="0"/>
        </w:rPr>
        <w:t xml:space="preserve">.</w:t>
      </w:r>
    </w:p>
    <w:p w:rsidR="00000000" w:rsidDel="00000000" w:rsidP="00000000" w:rsidRDefault="00000000" w:rsidRPr="00000000" w14:paraId="000001FC">
      <w:pPr>
        <w:spacing w:after="160" w:before="0" w:line="276" w:lineRule="auto"/>
        <w:ind w:left="0" w:firstLine="0"/>
        <w:rPr/>
      </w:pPr>
      <w:r w:rsidDel="00000000" w:rsidR="00000000" w:rsidRPr="00000000">
        <w:rPr>
          <w:rtl w:val="0"/>
        </w:rPr>
        <w:t xml:space="preserve">USAID Transform WASH. 2022. “Piloting Smart and Targeted Sanitation Subsidies in Ethiopia.” At 2022 UNC Water and Health Conference. Chapel Hill, NC.</w:t>
      </w:r>
      <w:hyperlink r:id="rId36">
        <w:r w:rsidDel="00000000" w:rsidR="00000000" w:rsidRPr="00000000">
          <w:rPr>
            <w:rtl w:val="0"/>
          </w:rPr>
          <w:t xml:space="preserve"> </w:t>
        </w:r>
      </w:hyperlink>
      <w:hyperlink r:id="rId37">
        <w:r w:rsidDel="00000000" w:rsidR="00000000" w:rsidRPr="00000000">
          <w:rPr>
            <w:u w:val="single"/>
            <w:rtl w:val="0"/>
          </w:rPr>
          <w:t xml:space="preserve">https://www.youtube.com/watch?v=f-2ZjZZ6hEA</w:t>
        </w:r>
      </w:hyperlink>
      <w:r w:rsidDel="00000000" w:rsidR="00000000" w:rsidRPr="00000000">
        <w:rPr>
          <w:rtl w:val="0"/>
        </w:rPr>
        <w:t xml:space="preserve">USAID (United States Agency for International Development). 2020. “Implementation of a Targeted Toilet Subsidy in Ghana.” Washington, DC., USAID Water, Sanitation, and Hygiene Partnerships and Learning for Sustainability (WASHPaLS) #1 Activity.</w:t>
      </w:r>
    </w:p>
    <w:p w:rsidR="00000000" w:rsidDel="00000000" w:rsidP="00000000" w:rsidRDefault="00000000" w:rsidRPr="00000000" w14:paraId="000001FD">
      <w:pPr>
        <w:spacing w:after="160" w:before="0" w:line="276" w:lineRule="auto"/>
        <w:ind w:left="0" w:firstLine="0"/>
        <w:rPr/>
      </w:pPr>
      <w:r w:rsidDel="00000000" w:rsidR="00000000" w:rsidRPr="00000000">
        <w:rPr>
          <w:rtl w:val="0"/>
        </w:rPr>
        <w:t xml:space="preserve">USAID (United States Agency for International Development). 2018. “Scaling Market-Based Sanitation: Desk Review on Market-Based Rural Sanitation Development Programs.” Washington, D.C.: USAID.</w:t>
      </w:r>
      <w:hyperlink r:id="rId38">
        <w:r w:rsidDel="00000000" w:rsidR="00000000" w:rsidRPr="00000000">
          <w:rPr>
            <w:rtl w:val="0"/>
          </w:rPr>
          <w:t xml:space="preserve"> </w:t>
        </w:r>
      </w:hyperlink>
      <w:hyperlink r:id="rId39">
        <w:r w:rsidDel="00000000" w:rsidR="00000000" w:rsidRPr="00000000">
          <w:rPr>
            <w:u w:val="single"/>
            <w:rtl w:val="0"/>
          </w:rPr>
          <w:t xml:space="preserve">https://www.globalwaters.org/sites/default/files/Scaling%20Market%20Based%20Sanitation%20JUNE2018.pdf</w:t>
        </w:r>
      </w:hyperlink>
      <w:r w:rsidDel="00000000" w:rsidR="00000000" w:rsidRPr="00000000">
        <w:rPr>
          <w:rtl w:val="0"/>
        </w:rPr>
        <w:t xml:space="preserve">.</w:t>
      </w:r>
    </w:p>
    <w:p w:rsidR="00000000" w:rsidDel="00000000" w:rsidP="00000000" w:rsidRDefault="00000000" w:rsidRPr="00000000" w14:paraId="000001FE">
      <w:pPr>
        <w:spacing w:after="160" w:before="0" w:line="276" w:lineRule="auto"/>
        <w:ind w:left="0" w:firstLine="0"/>
        <w:rPr/>
      </w:pPr>
      <w:r w:rsidDel="00000000" w:rsidR="00000000" w:rsidRPr="00000000">
        <w:rPr>
          <w:rtl w:val="0"/>
        </w:rPr>
        <w:t xml:space="preserve">———. 2021. “Creating Viable and Sustainable Sanitation Enterprises: Guidance for Practitioners.” Washington, DC: USAID.</w:t>
      </w:r>
      <w:hyperlink r:id="rId40">
        <w:r w:rsidDel="00000000" w:rsidR="00000000" w:rsidRPr="00000000">
          <w:rPr>
            <w:rtl w:val="0"/>
          </w:rPr>
          <w:t xml:space="preserve"> </w:t>
        </w:r>
      </w:hyperlink>
      <w:hyperlink r:id="rId41">
        <w:r w:rsidDel="00000000" w:rsidR="00000000" w:rsidRPr="00000000">
          <w:rPr>
            <w:u w:val="single"/>
            <w:rtl w:val="0"/>
          </w:rPr>
          <w:t xml:space="preserve">https://www.globalwaters.org/sites/default/files/creating_viable_and_sustainable_sanitation_enterprises_guidance_report.pdf</w:t>
        </w:r>
      </w:hyperlink>
      <w:r w:rsidDel="00000000" w:rsidR="00000000" w:rsidRPr="00000000">
        <w:rPr>
          <w:rtl w:val="0"/>
        </w:rPr>
        <w:t xml:space="preserve">.</w:t>
      </w:r>
    </w:p>
    <w:p w:rsidR="00000000" w:rsidDel="00000000" w:rsidP="00000000" w:rsidRDefault="00000000" w:rsidRPr="00000000" w14:paraId="000001FF">
      <w:pPr>
        <w:spacing w:after="160" w:before="0" w:line="276" w:lineRule="auto"/>
        <w:ind w:left="0" w:firstLine="0"/>
        <w:rPr/>
      </w:pPr>
      <w:r w:rsidDel="00000000" w:rsidR="00000000" w:rsidRPr="00000000">
        <w:rPr>
          <w:rtl w:val="0"/>
        </w:rPr>
        <w:t xml:space="preserve">Vyas, S., Srivastav, N., Mary, D., Goel, N., Srinivasan, S., Tannirkulam, A., Ban, R., Spears, D., and Coffey, D. 2019. “Measuring open defecation in India using survey questions: evidence from a randomised survey experiment.” BMJ open, 9(9), e030152.</w:t>
      </w:r>
      <w:hyperlink r:id="rId42">
        <w:r w:rsidDel="00000000" w:rsidR="00000000" w:rsidRPr="00000000">
          <w:rPr>
            <w:rtl w:val="0"/>
          </w:rPr>
          <w:t xml:space="preserve"> https://doi.org/10.1136/bmjopen-2019-030152</w:t>
        </w:r>
      </w:hyperlink>
      <w:r w:rsidDel="00000000" w:rsidR="00000000" w:rsidRPr="00000000">
        <w:rPr>
          <w:rtl w:val="0"/>
        </w:rPr>
      </w:r>
    </w:p>
    <w:p w:rsidR="00000000" w:rsidDel="00000000" w:rsidP="00000000" w:rsidRDefault="00000000" w:rsidRPr="00000000" w14:paraId="00000200">
      <w:pPr>
        <w:spacing w:after="160" w:before="0" w:line="276" w:lineRule="auto"/>
        <w:ind w:left="0" w:firstLine="0"/>
        <w:rPr/>
      </w:pPr>
      <w:r w:rsidDel="00000000" w:rsidR="00000000" w:rsidRPr="00000000">
        <w:rPr>
          <w:rtl w:val="0"/>
        </w:rPr>
        <w:t xml:space="preserve">WaterAid. 2017. “Learning Report: Sanitation Smart Subsidy Trial for Vulnerable Households in Timor-Leste.”</w:t>
      </w:r>
      <w:hyperlink r:id="rId43">
        <w:r w:rsidDel="00000000" w:rsidR="00000000" w:rsidRPr="00000000">
          <w:rPr>
            <w:rtl w:val="0"/>
          </w:rPr>
          <w:t xml:space="preserve"> </w:t>
        </w:r>
      </w:hyperlink>
      <w:hyperlink r:id="rId44">
        <w:r w:rsidDel="00000000" w:rsidR="00000000" w:rsidRPr="00000000">
          <w:rPr>
            <w:u w:val="single"/>
            <w:rtl w:val="0"/>
          </w:rPr>
          <w:t xml:space="preserve">https://besi.tl/learning-report-sanitation-smart-subsidy-trial-for-vulnerable-households-in-timor-leste</w:t>
        </w:r>
      </w:hyperlink>
      <w:r w:rsidDel="00000000" w:rsidR="00000000" w:rsidRPr="00000000">
        <w:rPr>
          <w:rtl w:val="0"/>
        </w:rPr>
        <w:t xml:space="preserve">.</w:t>
      </w:r>
    </w:p>
    <w:p w:rsidR="00000000" w:rsidDel="00000000" w:rsidP="00000000" w:rsidRDefault="00000000" w:rsidRPr="00000000" w14:paraId="00000201">
      <w:pPr>
        <w:spacing w:after="160" w:before="0" w:line="276" w:lineRule="auto"/>
        <w:ind w:left="0" w:firstLine="0"/>
        <w:rPr/>
      </w:pPr>
      <w:r w:rsidDel="00000000" w:rsidR="00000000" w:rsidRPr="00000000">
        <w:rPr>
          <w:rtl w:val="0"/>
        </w:rPr>
        <w:t xml:space="preserve">WHO/UNICEF. 2023. “Joint Monitoring Programme for Water Supply, Sanitation and Hygiene.”</w:t>
      </w:r>
      <w:hyperlink r:id="rId45">
        <w:r w:rsidDel="00000000" w:rsidR="00000000" w:rsidRPr="00000000">
          <w:rPr>
            <w:rtl w:val="0"/>
          </w:rPr>
          <w:t xml:space="preserve"> https://washdata.org/monitoring/sanitation</w:t>
        </w:r>
      </w:hyperlink>
      <w:r w:rsidDel="00000000" w:rsidR="00000000" w:rsidRPr="00000000">
        <w:rPr>
          <w:rtl w:val="0"/>
        </w:rPr>
      </w:r>
    </w:p>
    <w:p w:rsidR="00000000" w:rsidDel="00000000" w:rsidP="00000000" w:rsidRDefault="00000000" w:rsidRPr="00000000" w14:paraId="00000202">
      <w:pPr>
        <w:spacing w:after="0" w:before="0" w:line="276" w:lineRule="auto"/>
        <w:rPr/>
      </w:pPr>
      <w:r w:rsidDel="00000000" w:rsidR="00000000" w:rsidRPr="00000000">
        <w:rPr>
          <w:rtl w:val="0"/>
        </w:rPr>
      </w:r>
    </w:p>
    <w:sectPr>
      <w:headerReference r:id="rId46" w:type="default"/>
      <w:headerReference r:id="rId47" w:type="first"/>
      <w:headerReference r:id="rId48" w:type="even"/>
      <w:footerReference r:id="rId49" w:type="default"/>
      <w:footerReference r:id="rId50" w:type="first"/>
      <w:footerReference r:id="rId51" w:type="even"/>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Inter Ligh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Inter">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Inter Medium">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8">
    <w:pPr>
      <w:pageBreakBefore w:val="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B">
    <w:pPr>
      <w:pageBreakBefore w:val="0"/>
      <w:jc w:val="left"/>
      <w:rPr>
        <w:sz w:val="16"/>
        <w:szCs w:val="16"/>
      </w:rPr>
    </w:pPr>
    <w:r w:rsidDel="00000000" w:rsidR="00000000" w:rsidRPr="00000000">
      <w:rPr>
        <w:rtl w:val="0"/>
      </w:rPr>
    </w:r>
  </w:p>
  <w:tbl>
    <w:tblPr>
      <w:tblStyle w:val="Table4"/>
      <w:tblW w:w="420.0" w:type="dxa"/>
      <w:jc w:val="left"/>
      <w:tblBorders>
        <w:top w:color="156182" w:space="0" w:sz="8" w:val="single"/>
        <w:left w:color="156182" w:space="0" w:sz="8" w:val="single"/>
        <w:bottom w:color="156182" w:space="0" w:sz="8" w:val="single"/>
        <w:right w:color="156182" w:space="0" w:sz="8" w:val="single"/>
        <w:insideH w:color="156182" w:space="0" w:sz="8" w:val="single"/>
        <w:insideV w:color="156182" w:space="0" w:sz="8" w:val="single"/>
      </w:tblBorders>
      <w:tblLayout w:type="fixed"/>
      <w:tblLook w:val="0600"/>
    </w:tblPr>
    <w:tblGrid>
      <w:gridCol w:w="420"/>
      <w:tblGridChange w:id="0">
        <w:tblGrid>
          <w:gridCol w:w="420"/>
        </w:tblGrid>
      </w:tblGridChange>
    </w:tblGrid>
    <w:tr>
      <w:trPr>
        <w:cantSplit w:val="0"/>
        <w:trHeight w:val="362.88" w:hRule="atLeast"/>
        <w:tblHeader w:val="0"/>
      </w:trPr>
      <w:tc>
        <w:tcPr>
          <w:tcBorders>
            <w:top w:color="1c2f62" w:space="0" w:sz="8" w:val="single"/>
            <w:left w:color="1c2f62" w:space="0" w:sz="8" w:val="single"/>
            <w:bottom w:color="1c2f62" w:space="0" w:sz="8" w:val="single"/>
            <w:right w:color="1c2f62" w:space="0" w:sz="8" w:val="single"/>
          </w:tcBorders>
          <w:shd w:fill="1c2f62" w:val="clear"/>
          <w:tcMar>
            <w:top w:w="0.0" w:type="dxa"/>
            <w:left w:w="0.0" w:type="dxa"/>
            <w:bottom w:w="0.0" w:type="dxa"/>
            <w:right w:w="0.0" w:type="dxa"/>
          </w:tcMar>
          <w:vAlign w:val="center"/>
        </w:tcPr>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ffffff"/>
              <w:sz w:val="16"/>
              <w:szCs w:val="16"/>
            </w:rPr>
          </w:pPr>
          <w:r w:rsidDel="00000000" w:rsidR="00000000" w:rsidRPr="00000000">
            <w:rPr>
              <w:color w:val="ffffff"/>
              <w:sz w:val="16"/>
              <w:szCs w:val="16"/>
            </w:rPr>
            <w:fldChar w:fldCharType="begin"/>
            <w:instrText xml:space="preserve">PAGE</w:instrText>
            <w:fldChar w:fldCharType="separate"/>
            <w:fldChar w:fldCharType="end"/>
          </w:r>
          <w:r w:rsidDel="00000000" w:rsidR="00000000" w:rsidRPr="00000000">
            <w:rPr>
              <w:rtl w:val="0"/>
            </w:rPr>
          </w:r>
        </w:p>
      </w:tc>
    </w:tr>
  </w:tbl>
  <w:p w:rsidR="00000000" w:rsidDel="00000000" w:rsidP="00000000" w:rsidRDefault="00000000" w:rsidRPr="00000000" w14:paraId="0000020D">
    <w:pPr>
      <w:pageBreakBefore w:val="0"/>
      <w:jc w:val="left"/>
      <w:rPr>
        <w:sz w:val="16"/>
        <w:szCs w:val="16"/>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E">
    <w:pPr>
      <w:pageBreakBefore w:val="0"/>
      <w:rPr>
        <w:sz w:val="16"/>
        <w:szCs w:val="16"/>
      </w:rPr>
    </w:pPr>
    <w:r w:rsidDel="00000000" w:rsidR="00000000" w:rsidRPr="00000000">
      <w:rPr>
        <w:rtl w:val="0"/>
      </w:rPr>
    </w:r>
  </w:p>
  <w:tbl>
    <w:tblPr>
      <w:tblStyle w:val="Table5"/>
      <w:tblW w:w="435.0" w:type="dxa"/>
      <w:jc w:val="right"/>
      <w:tblBorders>
        <w:top w:color="156182" w:space="0" w:sz="8" w:val="single"/>
        <w:left w:color="156182" w:space="0" w:sz="8" w:val="single"/>
        <w:bottom w:color="156182" w:space="0" w:sz="8" w:val="single"/>
        <w:right w:color="156182" w:space="0" w:sz="8" w:val="single"/>
        <w:insideH w:color="156182" w:space="0" w:sz="8" w:val="single"/>
        <w:insideV w:color="156182" w:space="0" w:sz="8" w:val="single"/>
      </w:tblBorders>
      <w:tblLayout w:type="fixed"/>
      <w:tblLook w:val="0600"/>
    </w:tblPr>
    <w:tblGrid>
      <w:gridCol w:w="435"/>
      <w:tblGridChange w:id="0">
        <w:tblGrid>
          <w:gridCol w:w="435"/>
        </w:tblGrid>
      </w:tblGridChange>
    </w:tblGrid>
    <w:tr>
      <w:trPr>
        <w:cantSplit w:val="0"/>
        <w:trHeight w:val="362.88" w:hRule="atLeast"/>
        <w:tblHeader w:val="0"/>
      </w:trPr>
      <w:tc>
        <w:tcPr>
          <w:tcBorders>
            <w:top w:color="1c2f62" w:space="0" w:sz="8" w:val="single"/>
            <w:left w:color="1c2f62" w:space="0" w:sz="8" w:val="single"/>
            <w:bottom w:color="1c2f62" w:space="0" w:sz="8" w:val="single"/>
            <w:right w:color="1c2f62" w:space="0" w:sz="8" w:val="single"/>
          </w:tcBorders>
          <w:shd w:fill="1c2f62" w:val="clear"/>
          <w:tcMar>
            <w:top w:w="0.0" w:type="dxa"/>
            <w:left w:w="0.0" w:type="dxa"/>
            <w:bottom w:w="0.0" w:type="dxa"/>
            <w:right w:w="0.0" w:type="dxa"/>
          </w:tcMar>
          <w:vAlign w:val="center"/>
        </w:tcPr>
        <w:p w:rsidR="00000000" w:rsidDel="00000000" w:rsidP="00000000" w:rsidRDefault="00000000" w:rsidRPr="00000000" w14:paraId="0000020F">
          <w:pPr>
            <w:pageBreakBefore w:val="0"/>
            <w:spacing w:after="0" w:before="0" w:lineRule="auto"/>
            <w:jc w:val="center"/>
            <w:rPr>
              <w:sz w:val="16"/>
              <w:szCs w:val="16"/>
            </w:rPr>
          </w:pPr>
          <w:r w:rsidDel="00000000" w:rsidR="00000000" w:rsidRPr="00000000">
            <w:rPr>
              <w:color w:val="ffffff"/>
              <w:sz w:val="16"/>
              <w:szCs w:val="16"/>
            </w:rPr>
            <w:fldChar w:fldCharType="begin"/>
            <w:instrText xml:space="preserve">PAGE</w:instrText>
            <w:fldChar w:fldCharType="separate"/>
            <w:fldChar w:fldCharType="end"/>
          </w:r>
          <w:r w:rsidDel="00000000" w:rsidR="00000000" w:rsidRPr="00000000">
            <w:rPr>
              <w:rtl w:val="0"/>
            </w:rPr>
          </w:r>
        </w:p>
      </w:tc>
    </w:tr>
  </w:tbl>
  <w:p w:rsidR="00000000" w:rsidDel="00000000" w:rsidP="00000000" w:rsidRDefault="00000000" w:rsidRPr="00000000" w14:paraId="00000210">
    <w:pPr>
      <w:pageBreakBefore w:val="0"/>
      <w:rPr>
        <w:sz w:val="16"/>
        <w:szCs w:val="16"/>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11">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The LPP was a behavior change program modeled after CLTS, with the main difference being that LPP emphasized hygienic latrine ownership in addition to ending OD practices (Guiteras, Levinsohn, and Mobarak 2015).</w:t>
      </w:r>
    </w:p>
  </w:footnote>
  <w:footnote w:id="1">
    <w:p w:rsidR="00000000" w:rsidDel="00000000" w:rsidP="00000000" w:rsidRDefault="00000000" w:rsidRPr="00000000" w14:paraId="00000212">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The vouchers offering a 75 percent discount on a package of components to build any of three hygienic latrine models, priced (post-subsidy) at USD 5.5, USD 6.5, and USD 12. Vouchers were awarded via a public lottery. Households were responsible for financing delivery and installation costs (USD 7-10) and paying the balance (Guiteras, Levinsohn, and Mobarak 2015).</w:t>
      </w:r>
    </w:p>
  </w:footnote>
  <w:footnote w:id="2">
    <w:p w:rsidR="00000000" w:rsidDel="00000000" w:rsidP="00000000" w:rsidRDefault="00000000" w:rsidRPr="00000000" w14:paraId="00000213">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Kampong Cham, Kampot, Kandal, Kratie, Prey Veng, and Pursat (Hoo et al. 2022).</w:t>
      </w:r>
    </w:p>
  </w:footnote>
  <w:footnote w:id="3">
    <w:p w:rsidR="00000000" w:rsidDel="00000000" w:rsidP="00000000" w:rsidRDefault="00000000" w:rsidRPr="00000000" w14:paraId="00000214">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According to the JMP, “unimproved” latrines are “pit latrines without a slab or platform, hanging latrines or bucket latrines.” Meanwhile, “improved” latrines are “those designed to hygienically separate excreta from human contact” and comprise three categories: “limited” (improved facilities shared between two or three households), “basic” (improved facilities not shared with other households), and “safely managed” (improved facilities not shared with other households, and where excreta are safely disposed in situ or treated offsite) (WHO &amp; UNICEF, 2023).</w:t>
      </w:r>
    </w:p>
  </w:footnote>
  <w:footnote w:id="4">
    <w:p w:rsidR="00000000" w:rsidDel="00000000" w:rsidP="00000000" w:rsidRDefault="00000000" w:rsidRPr="00000000" w14:paraId="00000215">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The IDP is the national system used by the Cambodian government to identify poor households in order to determine eligibility for targeted subsidy. Through an assessment of households’ wealth, the system places households in one of three categories: IDP 1, IDP 2, and Non-Poor, with IDP 1 being the poorest (iDE 2019).</w:t>
      </w:r>
    </w:p>
  </w:footnote>
  <w:footnote w:id="5">
    <w:p w:rsidR="00000000" w:rsidDel="00000000" w:rsidP="00000000" w:rsidRDefault="00000000" w:rsidRPr="00000000" w14:paraId="00000216">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The cited figures represent the percentages of households owning and having access to hygienic latrines in “LPP + subsidy” treatment villages (Guiteras, Levinsohn, and Mobarak 2015; see Table S1 in the Supplementary Material for details).</w:t>
      </w:r>
    </w:p>
  </w:footnote>
  <w:footnote w:id="6">
    <w:p w:rsidR="00000000" w:rsidDel="00000000" w:rsidP="00000000" w:rsidRDefault="00000000" w:rsidRPr="00000000" w14:paraId="00000217">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These subsidies were implemented alongside an LPP in one arm, and alongside a Latrine Promotion Program and Supply in another.</w:t>
      </w:r>
    </w:p>
  </w:footnote>
  <w:footnote w:id="7">
    <w:p w:rsidR="00000000" w:rsidDel="00000000" w:rsidP="00000000" w:rsidRDefault="00000000" w:rsidRPr="00000000" w14:paraId="00000218">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The authors randomized the share of voucher lottery winners at the neighborhood level into low (25 percent), medium (50 percent), and high intensity (75 percent) categories.</w:t>
      </w:r>
    </w:p>
  </w:footnote>
  <w:footnote w:id="8">
    <w:p w:rsidR="00000000" w:rsidDel="00000000" w:rsidP="00000000" w:rsidRDefault="00000000" w:rsidRPr="00000000" w14:paraId="00000219">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Exchange rate used: 1 USD = 55 ETB (June 2023).</w:t>
      </w:r>
    </w:p>
  </w:footnote>
  <w:footnote w:id="9">
    <w:p w:rsidR="00000000" w:rsidDel="00000000" w:rsidP="00000000" w:rsidRDefault="00000000" w:rsidRPr="00000000" w14:paraId="0000021A">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This program design choice is motivated by iDE’s experience in Ethiopia, where households have shown a preference for assuming the task of pit digging themselves, or hiring informal labor to do it, rather than incurring additional service costs. The household contribution amount of the concrete slab with lid and concrete slab with the SaTo pan is the same despite the small difference in price in the product amounts to encourage uptake of the concrete slab with the SaTo pan.</w:t>
      </w:r>
    </w:p>
  </w:footnote>
  <w:footnote w:id="12">
    <w:p w:rsidR="00000000" w:rsidDel="00000000" w:rsidP="00000000" w:rsidRDefault="00000000" w:rsidRPr="00000000" w14:paraId="0000021B">
      <w:pPr>
        <w:spacing w:after="0" w:before="0" w:line="240" w:lineRule="auto"/>
        <w:rPr>
          <w:b w:val="1"/>
          <w:bCs w:val="1"/>
        </w:rPr>
      </w:pPr>
      <w:r w:rsidDel="00000000" w:rsidR="00000000" w:rsidRPr="00000000">
        <w:rPr>
          <w:rStyle w:val="FootnoteReference"/>
          <w:vertAlign w:val="superscript"/>
        </w:rPr>
        <w:footnoteRef/>
      </w:r>
      <w:r w:rsidDel="00000000" w:rsidR="00000000" w:rsidRPr="00000000">
        <w:rPr>
          <w:rtl w:val="0"/>
        </w:rPr>
        <w:t xml:space="preserve"> Indeed, with five outcomes the probability of finding at least one false significant result (rejecting the null when it is true), would be 1 - (1 - 0.05)5 = ~22.6 percent.</w:t>
      </w:r>
      <w:r w:rsidDel="00000000" w:rsidR="00000000" w:rsidRPr="00000000">
        <w:rPr>
          <w:rtl w:val="0"/>
        </w:rPr>
      </w:r>
    </w:p>
  </w:footnote>
  <w:footnote w:id="10">
    <w:p w:rsidR="00000000" w:rsidDel="00000000" w:rsidP="00000000" w:rsidRDefault="00000000" w:rsidRPr="00000000" w14:paraId="0000021C">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The National Sanitation Subsidy Protocol states that: “If deemed necessary, eligible households may be exempted from monetary payment. Instead, their labor contribution in terms of domestic activities (e.g., digging toilet pit, preparing for instance gravel and sand) can be converted into monetary value, but it must be the equivalent of at least 20 percent cash contribution” (FMoH 2022).</w:t>
      </w:r>
    </w:p>
  </w:footnote>
  <w:footnote w:id="11">
    <w:p w:rsidR="00000000" w:rsidDel="00000000" w:rsidP="00000000" w:rsidRDefault="00000000" w:rsidRPr="00000000" w14:paraId="0000021D">
      <w:pPr>
        <w:spacing w:after="0" w:before="0" w:line="240" w:lineRule="auto"/>
        <w:rPr/>
      </w:pPr>
      <w:r w:rsidDel="00000000" w:rsidR="00000000" w:rsidRPr="00000000">
        <w:rPr>
          <w:rStyle w:val="FootnoteReference"/>
          <w:vertAlign w:val="superscript"/>
        </w:rPr>
        <w:footnoteRef/>
      </w:r>
      <w:r w:rsidDel="00000000" w:rsidR="00000000" w:rsidRPr="00000000">
        <w:rPr>
          <w:rtl w:val="0"/>
        </w:rPr>
        <w:t xml:space="preserve"> The PPI is a poverty measurement tool used to compute the likelihood that a household is living below the poverty line. The PPI for Ethiopia was created by Innovations for Poverty Action. Indicators in this PPI are based on data from the Ethiopia Socioeconomic Survey 2015/16 produced by the Central Statistical Agency of Ethiopia.</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3">
    <w:pPr>
      <w:pageBreakBefore w:val="0"/>
      <w:tabs>
        <w:tab w:val="center" w:leader="none" w:pos="6930"/>
        <w:tab w:val="right" w:leader="none" w:pos="8910"/>
        <w:tab w:val="left" w:leader="none" w:pos="6030"/>
      </w:tabs>
      <w:jc w:val="center"/>
      <w:rPr/>
    </w:pPr>
    <w:r w:rsidDel="00000000" w:rsidR="00000000" w:rsidRPr="00000000">
      <w:rPr/>
      <w:drawing>
        <wp:anchor allowOverlap="1" behindDoc="1" distB="114300" distT="114300" distL="114300" distR="114300" hidden="0" layoutInCell="1" locked="0" relativeHeight="0" simplePos="0">
          <wp:simplePos x="0" y="0"/>
          <wp:positionH relativeFrom="page">
            <wp:posOffset>5343525</wp:posOffset>
          </wp:positionH>
          <wp:positionV relativeFrom="page">
            <wp:posOffset>488706</wp:posOffset>
          </wp:positionV>
          <wp:extent cx="1385888" cy="559685"/>
          <wp:effectExtent b="0" l="0" r="0" t="0"/>
          <wp:wrapNone/>
          <wp:docPr id="6"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385888" cy="559685"/>
                  </a:xfrm>
                  <a:prstGeom prst="rect"/>
                  <a:ln/>
                </pic:spPr>
              </pic:pic>
            </a:graphicData>
          </a:graphic>
        </wp:anchor>
      </w:drawing>
    </w:r>
    <w:r w:rsidDel="00000000" w:rsidR="00000000" w:rsidRPr="00000000">
      <w:rPr>
        <w:rtl w:val="0"/>
      </w:rPr>
      <w:tab/>
    </w:r>
  </w:p>
  <w:p w:rsidR="00000000" w:rsidDel="00000000" w:rsidP="00000000" w:rsidRDefault="00000000" w:rsidRPr="00000000" w14:paraId="00000204">
    <w:pPr>
      <w:pageBreakBefore w:val="0"/>
      <w:tabs>
        <w:tab w:val="center" w:leader="none" w:pos="6930"/>
        <w:tab w:val="right" w:leader="none" w:pos="8910"/>
        <w:tab w:val="left" w:leader="none" w:pos="6030"/>
      </w:tabs>
      <w:jc w:val="center"/>
      <w:rPr/>
    </w:pPr>
    <w:r w:rsidDel="00000000" w:rsidR="00000000" w:rsidRPr="00000000">
      <w:rPr/>
      <w:drawing>
        <wp:anchor allowOverlap="1" behindDoc="0" distB="0" distT="0" distL="0" distR="0" hidden="0" layoutInCell="1" locked="0" relativeHeight="0" simplePos="0">
          <wp:simplePos x="0" y="0"/>
          <wp:positionH relativeFrom="page">
            <wp:posOffset>6858000</wp:posOffset>
          </wp:positionH>
          <wp:positionV relativeFrom="page">
            <wp:posOffset>574431</wp:posOffset>
          </wp:positionV>
          <wp:extent cx="1085850" cy="390525"/>
          <wp:effectExtent b="0" l="0" r="0" t="0"/>
          <wp:wrapSquare wrapText="bothSides" distB="0" distT="0" distL="0" distR="0"/>
          <wp:docPr id="3"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085850" cy="39052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5">
    <w:pPr>
      <w:pageBreakBefore w:val="0"/>
      <w:ind w:right="-1440"/>
      <w:jc w:val="right"/>
      <w:rPr/>
    </w:pPr>
    <w:r w:rsidDel="00000000" w:rsidR="00000000" w:rsidRPr="00000000">
      <w:rPr>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6019800</wp:posOffset>
          </wp:positionH>
          <wp:positionV relativeFrom="paragraph">
            <wp:posOffset>19051</wp:posOffset>
          </wp:positionV>
          <wp:extent cx="1085850" cy="390525"/>
          <wp:effectExtent b="0" l="0" r="0" t="0"/>
          <wp:wrapSquare wrapText="bothSides" distB="114300" distT="114300" distL="114300" distR="114300"/>
          <wp:docPr id="4"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085850" cy="390525"/>
                  </a:xfrm>
                  <a:prstGeom prst="rect"/>
                  <a:ln/>
                </pic:spPr>
              </pic:pic>
            </a:graphicData>
          </a:graphic>
        </wp:anchor>
      </w:drawing>
    </w:r>
  </w:p>
  <w:p w:rsidR="00000000" w:rsidDel="00000000" w:rsidP="00000000" w:rsidRDefault="00000000" w:rsidRPr="00000000" w14:paraId="00000206">
    <w:pPr>
      <w:pageBreakBefore w:val="0"/>
      <w:ind w:right="-1440"/>
      <w:jc w:val="right"/>
      <w:rPr/>
    </w:pPr>
    <w:r w:rsidDel="00000000" w:rsidR="00000000" w:rsidRPr="00000000">
      <w:rPr>
        <w:rtl w:val="0"/>
      </w:rPr>
    </w:r>
  </w:p>
  <w:p w:rsidR="00000000" w:rsidDel="00000000" w:rsidP="00000000" w:rsidRDefault="00000000" w:rsidRPr="00000000" w14:paraId="00000207">
    <w:pPr>
      <w:pageBreakBefore w:val="0"/>
      <w:ind w:right="-1440"/>
      <w:jc w:val="right"/>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9">
    <w:pPr>
      <w:pageBreakBefore w:val="0"/>
      <w:tabs>
        <w:tab w:val="center" w:leader="none" w:pos="6930"/>
        <w:tab w:val="right" w:leader="none" w:pos="8910"/>
        <w:tab w:val="left" w:leader="none" w:pos="6030"/>
      </w:tabs>
      <w:jc w:val="left"/>
      <w:rPr/>
    </w:pPr>
    <w:r w:rsidDel="00000000" w:rsidR="00000000" w:rsidRPr="00000000">
      <w:rPr/>
      <w:drawing>
        <wp:anchor allowOverlap="1" behindDoc="1" distB="114300" distT="114300" distL="114300" distR="114300" hidden="0" layoutInCell="1" locked="0" relativeHeight="0" simplePos="0">
          <wp:simplePos x="0" y="0"/>
          <wp:positionH relativeFrom="page">
            <wp:posOffset>914400</wp:posOffset>
          </wp:positionH>
          <wp:positionV relativeFrom="page">
            <wp:posOffset>400050</wp:posOffset>
          </wp:positionV>
          <wp:extent cx="1385888" cy="559685"/>
          <wp:effectExtent b="0" l="0" r="0" t="0"/>
          <wp:wrapNone/>
          <wp:docPr id="1"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385888" cy="559685"/>
                  </a:xfrm>
                  <a:prstGeom prst="rect"/>
                  <a:ln/>
                </pic:spPr>
              </pic:pic>
            </a:graphicData>
          </a:graphic>
        </wp:anchor>
      </w:drawing>
    </w:r>
    <w:r w:rsidDel="00000000" w:rsidR="00000000" w:rsidRPr="00000000">
      <w:rPr/>
      <w:drawing>
        <wp:anchor allowOverlap="1" behindDoc="0" distB="57150" distT="57150" distL="57150" distR="57150" hidden="0" layoutInCell="1" locked="0" relativeHeight="0" simplePos="0">
          <wp:simplePos x="0" y="0"/>
          <wp:positionH relativeFrom="page">
            <wp:posOffset>-261746</wp:posOffset>
          </wp:positionH>
          <wp:positionV relativeFrom="page">
            <wp:posOffset>485775</wp:posOffset>
          </wp:positionV>
          <wp:extent cx="1085850" cy="390525"/>
          <wp:effectExtent b="0" l="0" r="0" t="0"/>
          <wp:wrapSquare wrapText="bothSides" distB="57150" distT="57150" distL="57150" distR="57150"/>
          <wp:docPr id="5"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085850" cy="390525"/>
                  </a:xfrm>
                  <a:prstGeom prst="rect"/>
                  <a:ln/>
                </pic:spPr>
              </pic:pic>
            </a:graphicData>
          </a:graphic>
        </wp:anchor>
      </w:drawing>
    </w:r>
    <w:r w:rsidDel="00000000" w:rsidR="00000000" w:rsidRPr="00000000">
      <w:rPr>
        <w:rtl w:val="0"/>
      </w:rPr>
    </w:r>
  </w:p>
  <w:p w:rsidR="00000000" w:rsidDel="00000000" w:rsidP="00000000" w:rsidRDefault="00000000" w:rsidRPr="00000000" w14:paraId="0000020A">
    <w:pPr>
      <w:pageBreakBefore w:val="0"/>
      <w:tabs>
        <w:tab w:val="center" w:leader="none" w:pos="6930"/>
        <w:tab w:val="right" w:leader="none" w:pos="8910"/>
        <w:tab w:val="left" w:leader="none" w:pos="6030"/>
      </w:tabs>
      <w:jc w:val="lef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Inter" w:cs="Inter" w:eastAsia="Inter" w:hAnsi="Inter"/>
        <w:lang w:val="en"/>
      </w:rPr>
    </w:rPrDefault>
    <w:pPrDefault>
      <w:pPr>
        <w:spacing w:after="240" w:before="240"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0" w:lineRule="auto"/>
    </w:pPr>
    <w:rPr>
      <w:b w:val="1"/>
      <w:bCs w:val="1"/>
      <w:color w:val="1c2f62"/>
      <w:sz w:val="26"/>
      <w:szCs w:val="26"/>
    </w:rPr>
  </w:style>
  <w:style w:type="paragraph" w:styleId="Heading2">
    <w:name w:val="heading 2"/>
    <w:basedOn w:val="Normal"/>
    <w:next w:val="Normal"/>
    <w:pPr>
      <w:keepNext w:val="1"/>
      <w:keepLines w:val="1"/>
      <w:pageBreakBefore w:val="0"/>
    </w:pPr>
    <w:rPr>
      <w:b w:val="1"/>
      <w:bCs w:val="1"/>
      <w:color w:val="212e38"/>
      <w:sz w:val="22"/>
      <w:szCs w:val="22"/>
    </w:rPr>
  </w:style>
  <w:style w:type="paragraph" w:styleId="Heading3">
    <w:name w:val="heading 3"/>
    <w:basedOn w:val="Normal"/>
    <w:next w:val="Normal"/>
    <w:pPr>
      <w:keepNext w:val="1"/>
      <w:keepLines w:val="1"/>
      <w:pageBreakBefore w:val="0"/>
    </w:pPr>
    <w:rPr>
      <w:i w:val="1"/>
      <w:iCs w:val="1"/>
      <w:color w:val="434343"/>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pPr>
    <w:rPr>
      <w:b w:val="1"/>
      <w:bCs w:val="1"/>
      <w:color w:val="1c2f62"/>
      <w:sz w:val="48"/>
      <w:szCs w:val="48"/>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40" Type="http://schemas.openxmlformats.org/officeDocument/2006/relationships/hyperlink" Target="https://www.globalwaters.org/sites/default/files/creating_viable_and_sustainable_sanitation_enterprises_guidance_report.pdf" TargetMode="External"/><Relationship Id="rId42" Type="http://schemas.openxmlformats.org/officeDocument/2006/relationships/hyperlink" Target="https://doi.org/10.1136/bmjopen-2019-030152" TargetMode="External"/><Relationship Id="rId41" Type="http://schemas.openxmlformats.org/officeDocument/2006/relationships/hyperlink" Target="https://www.globalwaters.org/sites/default/files/creating_viable_and_sustainable_sanitation_enterprises_guidance_report.pdf" TargetMode="External"/><Relationship Id="rId44" Type="http://schemas.openxmlformats.org/officeDocument/2006/relationships/hyperlink" Target="https://besi.tl/learning-report-sanitation-smart-subsidy-trial-for-vulnerable-households-in-timor-leste" TargetMode="External"/><Relationship Id="rId43" Type="http://schemas.openxmlformats.org/officeDocument/2006/relationships/hyperlink" Target="https://besi.tl/learning-report-sanitation-smart-subsidy-trial-for-vulnerable-households-in-timor-leste" TargetMode="External"/><Relationship Id="rId46" Type="http://schemas.openxmlformats.org/officeDocument/2006/relationships/header" Target="header1.xml"/><Relationship Id="rId45" Type="http://schemas.openxmlformats.org/officeDocument/2006/relationships/hyperlink" Target="https://washdata.org/monitoring/sanita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hdl.handle.net/10986/32277" TargetMode="External"/><Relationship Id="rId48" Type="http://schemas.openxmlformats.org/officeDocument/2006/relationships/header" Target="header3.xml"/><Relationship Id="rId47" Type="http://schemas.openxmlformats.org/officeDocument/2006/relationships/header" Target="header2.xml"/><Relationship Id="rId49"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4.png"/><Relationship Id="rId8" Type="http://schemas.openxmlformats.org/officeDocument/2006/relationships/hyperlink" Target="http://hdl.handle.net/10986/32277" TargetMode="External"/><Relationship Id="rId31" Type="http://schemas.openxmlformats.org/officeDocument/2006/relationships/hyperlink" Target="https://doi.org/10.1289/EHP10443" TargetMode="External"/><Relationship Id="rId30" Type="http://schemas.openxmlformats.org/officeDocument/2006/relationships/hyperlink" Target="https://doi.org/10.1289/EHP10443" TargetMode="External"/><Relationship Id="rId33" Type="http://schemas.openxmlformats.org/officeDocument/2006/relationships/hyperlink" Target="http://archive.ids.ac.uk/clts/sites/communityledtotalsanitation.org/files/PhasedApproach_endline_assessment.pdf" TargetMode="External"/><Relationship Id="rId32" Type="http://schemas.openxmlformats.org/officeDocument/2006/relationships/hyperlink" Target="http://archive.ids.ac.uk/clts/sites/communityledtotalsanitation.org/files/PhasedApproach_endline_assessment.pdf" TargetMode="External"/><Relationship Id="rId35" Type="http://schemas.openxmlformats.org/officeDocument/2006/relationships/hyperlink" Target="https://www.susana.org/_resources/documents/default/2-520-141-1512380688.pdf" TargetMode="External"/><Relationship Id="rId34" Type="http://schemas.openxmlformats.org/officeDocument/2006/relationships/hyperlink" Target="https://www.susana.org/_resources/documents/default/2-520-141-1512380688.pdf" TargetMode="External"/><Relationship Id="rId37" Type="http://schemas.openxmlformats.org/officeDocument/2006/relationships/hyperlink" Target="https://www.youtube.com/watch?v=f-2ZjZZ6hEA" TargetMode="External"/><Relationship Id="rId36" Type="http://schemas.openxmlformats.org/officeDocument/2006/relationships/hyperlink" Target="https://www.youtube.com/watch?v=f-2ZjZZ6hEA" TargetMode="External"/><Relationship Id="rId39" Type="http://schemas.openxmlformats.org/officeDocument/2006/relationships/hyperlink" Target="https://www.globalwaters.org/sites/default/files/Scaling%20Market%20Based%20Sanitation%20JUNE2018.pdf" TargetMode="External"/><Relationship Id="rId38" Type="http://schemas.openxmlformats.org/officeDocument/2006/relationships/hyperlink" Target="https://www.globalwaters.org/sites/default/files/Scaling%20Market%20Based%20Sanitation%20JUNE2018.pdf" TargetMode="External"/><Relationship Id="rId20" Type="http://schemas.openxmlformats.org/officeDocument/2006/relationships/hyperlink" Target="https://doi.org/10.1371/journal.pone.0269980" TargetMode="External"/><Relationship Id="rId22" Type="http://schemas.openxmlformats.org/officeDocument/2006/relationships/hyperlink" Target="https://beamexchange.org/uploads/filer_public/42/ce/42cee3f5-4f31-4288-ba1a-afef4b183b68/ide-pb_kh_wash_learningsfrom-rct_compressed.pdf" TargetMode="External"/><Relationship Id="rId21" Type="http://schemas.openxmlformats.org/officeDocument/2006/relationships/hyperlink" Target="https://beamexchange.org/uploads/filer_public/42/ce/42cee3f5-4f31-4288-ba1a-afef4b183b68/ide-pb_kh_wash_learningsfrom-rct_compressed.pdf" TargetMode="External"/><Relationship Id="rId24" Type="http://schemas.openxmlformats.org/officeDocument/2006/relationships/hyperlink" Target="https://hdr.undp.org/content/rethinking-sanitation-lessons-and-innovation-sustainability-and-success-new-millennium" TargetMode="External"/><Relationship Id="rId23" Type="http://schemas.openxmlformats.org/officeDocument/2006/relationships/hyperlink" Target="https://hdr.undp.org/content/rethinking-sanitation-lessons-and-innovation-sustainability-and-success-new-millennium" TargetMode="External"/><Relationship Id="rId26" Type="http://schemas.openxmlformats.org/officeDocument/2006/relationships/hyperlink" Target="https://sanitationlearninghub.org/resource/promoting-choice-smart-finance-for-rural-sanitation-development/" TargetMode="External"/><Relationship Id="rId25" Type="http://schemas.openxmlformats.org/officeDocument/2006/relationships/hyperlink" Target="https://washfutures.com/wp-content/uploads/2023/03/D1_Tyler-Kozole_Marlaina-Ross_audio.pdf" TargetMode="External"/><Relationship Id="rId28" Type="http://schemas.openxmlformats.org/officeDocument/2006/relationships/hyperlink" Target="https://documents1.worldbank.org/curated/en/165231468341112439/pdf/569430WP0finan101public10BOX353742B.pdf" TargetMode="External"/><Relationship Id="rId27" Type="http://schemas.openxmlformats.org/officeDocument/2006/relationships/hyperlink" Target="https://sanitationlearninghub.org/resource/promoting-choice-smart-finance-for-rural-sanitation-development/" TargetMode="External"/><Relationship Id="rId29" Type="http://schemas.openxmlformats.org/officeDocument/2006/relationships/hyperlink" Target="https://documents1.worldbank.org/curated/en/165231468341112439/pdf/569430WP0finan101public10BOX353742B.pdf" TargetMode="External"/><Relationship Id="rId51" Type="http://schemas.openxmlformats.org/officeDocument/2006/relationships/footer" Target="footer2.xml"/><Relationship Id="rId50" Type="http://schemas.openxmlformats.org/officeDocument/2006/relationships/footer" Target="footer1.xml"/><Relationship Id="rId11" Type="http://schemas.openxmlformats.org/officeDocument/2006/relationships/hyperlink" Target="https://doi.org/10.1016/j.jhealeco.2021.102456" TargetMode="External"/><Relationship Id="rId10" Type="http://schemas.openxmlformats.org/officeDocument/2006/relationships/hyperlink" Target="https://doi.org/10.2147/IJGM.S264337" TargetMode="External"/><Relationship Id="rId13" Type="http://schemas.openxmlformats.org/officeDocument/2006/relationships/hyperlink" Target="https://www.ircwash.org/resources/public-funding-sanitation-many-faces-sanitation-subsidies-primer" TargetMode="External"/><Relationship Id="rId12" Type="http://schemas.openxmlformats.org/officeDocument/2006/relationships/hyperlink" Target="https://doi.org/10.1016/j.jhealeco.2021.102456" TargetMode="External"/><Relationship Id="rId15" Type="http://schemas.openxmlformats.org/officeDocument/2006/relationships/hyperlink" Target="https://www.wateraid.org/et/sites/g/files/jkxoof401/files/2022-08/National%20Sanitation%20Subsidy%20Protocol%20%283%29.pdf" TargetMode="External"/><Relationship Id="rId14" Type="http://schemas.openxmlformats.org/officeDocument/2006/relationships/hyperlink" Target="https://www.ircwash.org/resources/public-funding-sanitation-many-faces-sanitation-subsidies-primer" TargetMode="External"/><Relationship Id="rId17" Type="http://schemas.openxmlformats.org/officeDocument/2006/relationships/hyperlink" Target="https://www.science.org/doi/10.1126/science.aaa0491" TargetMode="External"/><Relationship Id="rId16" Type="http://schemas.openxmlformats.org/officeDocument/2006/relationships/hyperlink" Target="https://www.wateraid.org/et/sites/g/files/jkxoof401/files/2022-08/National%20Sanitation%20Subsidy%20Protocol%20%283%29.pdf" TargetMode="External"/><Relationship Id="rId19" Type="http://schemas.openxmlformats.org/officeDocument/2006/relationships/hyperlink" Target="https://doi.org/10.1371/journal.pone.0269980" TargetMode="External"/><Relationship Id="rId18" Type="http://schemas.openxmlformats.org/officeDocument/2006/relationships/hyperlink" Target="https://www.science.org/doi/10.1126/science.aaa049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InterLight-regular.ttf"/><Relationship Id="rId2" Type="http://schemas.openxmlformats.org/officeDocument/2006/relationships/font" Target="fonts/InterLight-bold.ttf"/><Relationship Id="rId3" Type="http://schemas.openxmlformats.org/officeDocument/2006/relationships/font" Target="fonts/InterLight-italic.ttf"/><Relationship Id="rId4" Type="http://schemas.openxmlformats.org/officeDocument/2006/relationships/font" Target="fonts/InterLight-boldItalic.ttf"/><Relationship Id="rId11" Type="http://schemas.openxmlformats.org/officeDocument/2006/relationships/font" Target="fonts/InterMedium-italic.ttf"/><Relationship Id="rId10" Type="http://schemas.openxmlformats.org/officeDocument/2006/relationships/font" Target="fonts/InterMedium-bold.ttf"/><Relationship Id="rId12" Type="http://schemas.openxmlformats.org/officeDocument/2006/relationships/font" Target="fonts/InterMedium-boldItalic.ttf"/><Relationship Id="rId9" Type="http://schemas.openxmlformats.org/officeDocument/2006/relationships/font" Target="fonts/InterMedium-regular.ttf"/><Relationship Id="rId5" Type="http://schemas.openxmlformats.org/officeDocument/2006/relationships/font" Target="fonts/Inter-regular.ttf"/><Relationship Id="rId6" Type="http://schemas.openxmlformats.org/officeDocument/2006/relationships/font" Target="fonts/Inter-bold.ttf"/><Relationship Id="rId7" Type="http://schemas.openxmlformats.org/officeDocument/2006/relationships/font" Target="fonts/Inter-italic.ttf"/><Relationship Id="rId8" Type="http://schemas.openxmlformats.org/officeDocument/2006/relationships/font" Target="fonts/Inter-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