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00A42" w:rsidRDefault="00000000">
      <w:pPr>
        <w:pStyle w:val="Heading1"/>
      </w:pPr>
      <w:r>
        <w:t>Pre-Analysis Plan</w:t>
      </w:r>
    </w:p>
    <w:p w14:paraId="00000002" w14:textId="77777777" w:rsidR="00C00A42" w:rsidRDefault="00000000">
      <w:pPr>
        <w:pBdr>
          <w:top w:val="nil"/>
          <w:left w:val="nil"/>
          <w:bottom w:val="nil"/>
          <w:right w:val="nil"/>
          <w:between w:val="nil"/>
        </w:pBdr>
        <w:rPr>
          <w:color w:val="000000"/>
        </w:rPr>
      </w:pPr>
      <w:r>
        <w:rPr>
          <w:color w:val="000000"/>
        </w:rPr>
        <w:t>Downstream Effects of Housing Improvements: Evidence from a Nationwide Randomized Experiment</w:t>
      </w:r>
    </w:p>
    <w:p w14:paraId="00000003" w14:textId="77777777" w:rsidR="00C00A42" w:rsidRDefault="00000000">
      <w:pPr>
        <w:pStyle w:val="Heading2"/>
      </w:pPr>
      <w:r>
        <w:t>Introduction</w:t>
      </w:r>
    </w:p>
    <w:p w14:paraId="00000004" w14:textId="77777777" w:rsidR="00C00A42" w:rsidRDefault="00000000">
      <w:pPr>
        <w:spacing w:before="280" w:after="280" w:line="240" w:lineRule="auto"/>
      </w:pPr>
      <w:r>
        <w:t xml:space="preserve">Inadequate housing is a defining dimension of poverty in Latin America, and governments have invested heavily in improvement programmes aimed at closing material deficits at the household level. The theoretical case for broad downstream effects is compelling: the physical home is not merely a shelter but a productive environment that shapes daily routines, health exposures, cognitive development, and social interactions. Overcrowding, structural deficiencies, and lack of basic services generate chronic stress and undermine sleep quality, with direct consequences for mental health and subjective wellbeing (Cattaneo et al., 2009; </w:t>
      </w:r>
      <w:proofErr w:type="spellStart"/>
      <w:r>
        <w:t>Galiani</w:t>
      </w:r>
      <w:proofErr w:type="spellEnd"/>
      <w:r>
        <w:t xml:space="preserve">, Gertler and </w:t>
      </w:r>
      <w:proofErr w:type="spellStart"/>
      <w:r>
        <w:t>Undurraga</w:t>
      </w:r>
      <w:proofErr w:type="spellEnd"/>
      <w:r>
        <w:t xml:space="preserve">, 2018; Ludwig et al., 2012). Children in inadequate housing face disrupted study environments, limiting educational attainment and cognitive development (Goux and Maurin, 2005; Newman and </w:t>
      </w:r>
      <w:proofErr w:type="spellStart"/>
      <w:r>
        <w:t>Holupka</w:t>
      </w:r>
      <w:proofErr w:type="spellEnd"/>
      <w:r>
        <w:t>, 2014). For adults, poor housing conditions can constrain labour market participation by affecting health, productivity, and the capacity to maintain stable employment (Chyn, 2018; Rojas-Ampuero and Carrera, 2025). Beyond these direct pathways, housing improvements may affect households' sense of agency and self-esteem, changes that could reinforce engagement with labour markets, public health systems, and social programmes more broadly (Kling, Liebman and Katz, 2007). Despite this body of evidence, most existing studies examine either relocation programmes or single-domain outcomes, and evidence on the broader socioeconomic effects of in-situ housing improvements, particularly in Latin America, remains scarce.</w:t>
      </w:r>
    </w:p>
    <w:p w14:paraId="00000005" w14:textId="77777777" w:rsidR="00C00A42" w:rsidRDefault="00000000">
      <w:pPr>
        <w:spacing w:before="280" w:after="280" w:line="240" w:lineRule="auto"/>
      </w:pPr>
      <w:r>
        <w:t xml:space="preserve">This paper studies </w:t>
      </w:r>
      <w:proofErr w:type="spellStart"/>
      <w:r>
        <w:t>Programa</w:t>
      </w:r>
      <w:proofErr w:type="spellEnd"/>
      <w:r>
        <w:t xml:space="preserve"> </w:t>
      </w:r>
      <w:proofErr w:type="spellStart"/>
      <w:r>
        <w:t>Habitabilidad</w:t>
      </w:r>
      <w:proofErr w:type="spellEnd"/>
      <w:r>
        <w:t>, a nationwide housing intervention in Chile targeting highly vulnerable households. The programme combines material upgrades to dwelling conditions with family-level support aimed at strengthening household practices. Exploiting randomised assignment at the household level, we estimate ITT and TOT effects on a pre-specified set of outcomes spanning household income, social transfers, health system contributions, school attendance, and fertility. Our contribution is twofold. First, we provide a comprehensive, multi-domain evaluation of the broader socioeconomic effects of housing improvement, adding to a still limited body of evidence on this question. Second, to the best of our knowledge, this is the first randomised evaluation of a nationwide government-run housing improvement programme, addressing a key gap in the external validity of existing evidence, which has relied predominantly on NGO pilots or geographically limited programmes.</w:t>
      </w:r>
    </w:p>
    <w:p w14:paraId="00000006" w14:textId="77777777" w:rsidR="00C00A42" w:rsidRDefault="00C00A42">
      <w:pPr>
        <w:spacing w:before="280" w:after="280" w:line="240" w:lineRule="auto"/>
      </w:pPr>
    </w:p>
    <w:p w14:paraId="00000007" w14:textId="77777777" w:rsidR="00C00A42" w:rsidRDefault="00000000">
      <w:pPr>
        <w:pStyle w:val="Heading2"/>
      </w:pPr>
      <w:r>
        <w:t>Summary table</w:t>
      </w:r>
    </w:p>
    <w:tbl>
      <w:tblPr>
        <w:tblStyle w:val="a"/>
        <w:tblW w:w="9026" w:type="dxa"/>
        <w:tblBorders>
          <w:top w:val="single" w:sz="4" w:space="0" w:color="7F7F7F"/>
          <w:bottom w:val="single" w:sz="4" w:space="0" w:color="7F7F7F"/>
        </w:tblBorders>
        <w:tblLayout w:type="fixed"/>
        <w:tblLook w:val="04A0" w:firstRow="1" w:lastRow="0" w:firstColumn="1" w:lastColumn="0" w:noHBand="0" w:noVBand="1"/>
      </w:tblPr>
      <w:tblGrid>
        <w:gridCol w:w="2008"/>
        <w:gridCol w:w="7018"/>
      </w:tblGrid>
      <w:tr w:rsidR="00C00A42" w14:paraId="4A124B5E" w14:textId="77777777" w:rsidTr="00C00A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8" w:type="dxa"/>
          </w:tcPr>
          <w:p w14:paraId="00000008" w14:textId="77777777" w:rsidR="00C00A42" w:rsidRDefault="00000000">
            <w:r>
              <w:t>Item</w:t>
            </w:r>
          </w:p>
        </w:tc>
        <w:tc>
          <w:tcPr>
            <w:tcW w:w="7018" w:type="dxa"/>
          </w:tcPr>
          <w:p w14:paraId="00000009" w14:textId="77777777" w:rsidR="00C00A42" w:rsidRDefault="00000000">
            <w:pPr>
              <w:cnfStyle w:val="100000000000" w:firstRow="1" w:lastRow="0" w:firstColumn="0" w:lastColumn="0" w:oddVBand="0" w:evenVBand="0" w:oddHBand="0" w:evenHBand="0" w:firstRowFirstColumn="0" w:firstRowLastColumn="0" w:lastRowFirstColumn="0" w:lastRowLastColumn="0"/>
            </w:pPr>
            <w:r>
              <w:t>Description</w:t>
            </w:r>
          </w:p>
        </w:tc>
      </w:tr>
      <w:tr w:rsidR="00C00A42" w14:paraId="3AE2326F" w14:textId="77777777" w:rsidTr="00C00A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8" w:type="dxa"/>
          </w:tcPr>
          <w:p w14:paraId="0000000A" w14:textId="77777777" w:rsidR="00C00A42" w:rsidRDefault="00000000">
            <w:r>
              <w:t>Study design</w:t>
            </w:r>
          </w:p>
        </w:tc>
        <w:tc>
          <w:tcPr>
            <w:tcW w:w="7018" w:type="dxa"/>
          </w:tcPr>
          <w:p w14:paraId="0000000B" w14:textId="77777777" w:rsidR="00C00A42" w:rsidRDefault="00000000">
            <w:pPr>
              <w:cnfStyle w:val="000000100000" w:firstRow="0" w:lastRow="0" w:firstColumn="0" w:lastColumn="0" w:oddVBand="0" w:evenVBand="0" w:oddHBand="1" w:evenHBand="0" w:firstRowFirstColumn="0" w:firstRowLastColumn="0" w:lastRowFirstColumn="0" w:lastRowLastColumn="0"/>
            </w:pPr>
            <w:r>
              <w:t xml:space="preserve">Two-arm randomized evaluation </w:t>
            </w:r>
          </w:p>
        </w:tc>
      </w:tr>
      <w:tr w:rsidR="00C00A42" w:rsidRPr="00B81ACE" w14:paraId="12B5ABA3" w14:textId="77777777" w:rsidTr="00C00A42">
        <w:tc>
          <w:tcPr>
            <w:cnfStyle w:val="001000000000" w:firstRow="0" w:lastRow="0" w:firstColumn="1" w:lastColumn="0" w:oddVBand="0" w:evenVBand="0" w:oddHBand="0" w:evenHBand="0" w:firstRowFirstColumn="0" w:firstRowLastColumn="0" w:lastRowFirstColumn="0" w:lastRowLastColumn="0"/>
            <w:tcW w:w="2008" w:type="dxa"/>
          </w:tcPr>
          <w:p w14:paraId="0000000C" w14:textId="77777777" w:rsidR="00C00A42" w:rsidRDefault="00000000">
            <w:r>
              <w:lastRenderedPageBreak/>
              <w:t>Research team</w:t>
            </w:r>
          </w:p>
        </w:tc>
        <w:tc>
          <w:tcPr>
            <w:tcW w:w="7018" w:type="dxa"/>
          </w:tcPr>
          <w:p w14:paraId="0000000D" w14:textId="77777777" w:rsidR="00C00A42" w:rsidRPr="004B110B" w:rsidRDefault="00000000">
            <w:pPr>
              <w:cnfStyle w:val="000000000000" w:firstRow="0" w:lastRow="0" w:firstColumn="0" w:lastColumn="0" w:oddVBand="0" w:evenVBand="0" w:oddHBand="0" w:evenHBand="0" w:firstRowFirstColumn="0" w:firstRowLastColumn="0" w:lastRowFirstColumn="0" w:lastRowLastColumn="0"/>
              <w:rPr>
                <w:lang w:val="es-419"/>
              </w:rPr>
            </w:pPr>
            <w:r w:rsidRPr="004B110B">
              <w:rPr>
                <w:lang w:val="es-419"/>
              </w:rPr>
              <w:t>Natalia Valdes, Dante Contreras, Ryan Cooper, Mohit Karnani</w:t>
            </w:r>
          </w:p>
        </w:tc>
      </w:tr>
      <w:tr w:rsidR="00C00A42" w14:paraId="5E86417D" w14:textId="77777777" w:rsidTr="00C00A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8" w:type="dxa"/>
          </w:tcPr>
          <w:p w14:paraId="0000000E" w14:textId="77777777" w:rsidR="00C00A42" w:rsidRDefault="00000000">
            <w:r>
              <w:t>Unit of randomisation</w:t>
            </w:r>
          </w:p>
        </w:tc>
        <w:tc>
          <w:tcPr>
            <w:tcW w:w="7018" w:type="dxa"/>
          </w:tcPr>
          <w:p w14:paraId="0000000F" w14:textId="77777777" w:rsidR="00C00A42" w:rsidRDefault="00000000">
            <w:pPr>
              <w:cnfStyle w:val="000000100000" w:firstRow="0" w:lastRow="0" w:firstColumn="0" w:lastColumn="0" w:oddVBand="0" w:evenVBand="0" w:oddHBand="1" w:evenHBand="0" w:firstRowFirstColumn="0" w:firstRowLastColumn="0" w:lastRowFirstColumn="0" w:lastRowLastColumn="0"/>
            </w:pPr>
            <w:r>
              <w:t>Household</w:t>
            </w:r>
          </w:p>
        </w:tc>
      </w:tr>
      <w:tr w:rsidR="00C00A42" w14:paraId="5F8B37DE" w14:textId="77777777" w:rsidTr="00C00A42">
        <w:tc>
          <w:tcPr>
            <w:cnfStyle w:val="001000000000" w:firstRow="0" w:lastRow="0" w:firstColumn="1" w:lastColumn="0" w:oddVBand="0" w:evenVBand="0" w:oddHBand="0" w:evenHBand="0" w:firstRowFirstColumn="0" w:firstRowLastColumn="0" w:lastRowFirstColumn="0" w:lastRowLastColumn="0"/>
            <w:tcW w:w="2008" w:type="dxa"/>
          </w:tcPr>
          <w:p w14:paraId="00000010" w14:textId="77777777" w:rsidR="00C00A42" w:rsidRDefault="00000000">
            <w:r>
              <w:t>Unit of analysis</w:t>
            </w:r>
          </w:p>
        </w:tc>
        <w:tc>
          <w:tcPr>
            <w:tcW w:w="7018" w:type="dxa"/>
          </w:tcPr>
          <w:p w14:paraId="00000011" w14:textId="77777777" w:rsidR="00C00A42" w:rsidRDefault="00000000">
            <w:pPr>
              <w:cnfStyle w:val="000000000000" w:firstRow="0" w:lastRow="0" w:firstColumn="0" w:lastColumn="0" w:oddVBand="0" w:evenVBand="0" w:oddHBand="0" w:evenHBand="0" w:firstRowFirstColumn="0" w:firstRowLastColumn="0" w:lastRowFirstColumn="0" w:lastRowLastColumn="0"/>
            </w:pPr>
            <w:r>
              <w:t>Household and individuals</w:t>
            </w:r>
          </w:p>
        </w:tc>
      </w:tr>
      <w:tr w:rsidR="00C00A42" w14:paraId="7AEB2938" w14:textId="77777777" w:rsidTr="00C00A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8" w:type="dxa"/>
          </w:tcPr>
          <w:p w14:paraId="00000012" w14:textId="77777777" w:rsidR="00C00A42" w:rsidRDefault="00000000">
            <w:r>
              <w:t xml:space="preserve">Primary </w:t>
            </w:r>
            <w:proofErr w:type="spellStart"/>
            <w:r>
              <w:t>estimand</w:t>
            </w:r>
            <w:proofErr w:type="spellEnd"/>
          </w:p>
        </w:tc>
        <w:tc>
          <w:tcPr>
            <w:tcW w:w="7018" w:type="dxa"/>
          </w:tcPr>
          <w:p w14:paraId="00000013" w14:textId="77777777" w:rsidR="00C00A42" w:rsidRDefault="00000000">
            <w:pPr>
              <w:cnfStyle w:val="000000100000" w:firstRow="0" w:lastRow="0" w:firstColumn="0" w:lastColumn="0" w:oddVBand="0" w:evenVBand="0" w:oddHBand="1" w:evenHBand="0" w:firstRowFirstColumn="0" w:firstRowLastColumn="0" w:lastRowFirstColumn="0" w:lastRowLastColumn="0"/>
            </w:pPr>
            <w:r>
              <w:t xml:space="preserve">Intention-to-treat (ITT): effect of assignment to </w:t>
            </w:r>
            <w:proofErr w:type="spellStart"/>
            <w:r>
              <w:t>Habitabilidad</w:t>
            </w:r>
            <w:proofErr w:type="spellEnd"/>
          </w:p>
        </w:tc>
      </w:tr>
      <w:tr w:rsidR="00C00A42" w14:paraId="2A9946ED" w14:textId="77777777" w:rsidTr="00C00A42">
        <w:tc>
          <w:tcPr>
            <w:cnfStyle w:val="001000000000" w:firstRow="0" w:lastRow="0" w:firstColumn="1" w:lastColumn="0" w:oddVBand="0" w:evenVBand="0" w:oddHBand="0" w:evenHBand="0" w:firstRowFirstColumn="0" w:firstRowLastColumn="0" w:lastRowFirstColumn="0" w:lastRowLastColumn="0"/>
            <w:tcW w:w="2008" w:type="dxa"/>
          </w:tcPr>
          <w:p w14:paraId="00000014" w14:textId="77777777" w:rsidR="00C00A42" w:rsidRDefault="00000000">
            <w:r>
              <w:t xml:space="preserve">Secondary </w:t>
            </w:r>
            <w:proofErr w:type="spellStart"/>
            <w:r>
              <w:t>estimand</w:t>
            </w:r>
            <w:proofErr w:type="spellEnd"/>
          </w:p>
        </w:tc>
        <w:tc>
          <w:tcPr>
            <w:tcW w:w="7018" w:type="dxa"/>
          </w:tcPr>
          <w:p w14:paraId="00000015" w14:textId="77777777" w:rsidR="00C00A42" w:rsidRDefault="00000000">
            <w:pPr>
              <w:cnfStyle w:val="000000000000" w:firstRow="0" w:lastRow="0" w:firstColumn="0" w:lastColumn="0" w:oddVBand="0" w:evenVBand="0" w:oddHBand="0" w:evenHBand="0" w:firstRowFirstColumn="0" w:firstRowLastColumn="0" w:lastRowFirstColumn="0" w:lastRowLastColumn="0"/>
            </w:pPr>
            <w:r>
              <w:t>Treatment-on-the-treated (TOT): effect of treatment receipt among compliers, using assignment as an instrument</w:t>
            </w:r>
          </w:p>
        </w:tc>
      </w:tr>
      <w:tr w:rsidR="00C00A42" w14:paraId="5542B60F" w14:textId="77777777" w:rsidTr="00C00A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8" w:type="dxa"/>
          </w:tcPr>
          <w:p w14:paraId="00000016" w14:textId="77777777" w:rsidR="00C00A42" w:rsidRDefault="00000000">
            <w:r>
              <w:t>Immediate outcomes</w:t>
            </w:r>
          </w:p>
        </w:tc>
        <w:tc>
          <w:tcPr>
            <w:tcW w:w="7018" w:type="dxa"/>
          </w:tcPr>
          <w:p w14:paraId="00000017" w14:textId="77777777" w:rsidR="00C00A42" w:rsidRDefault="00000000">
            <w:pPr>
              <w:cnfStyle w:val="000000100000" w:firstRow="0" w:lastRow="0" w:firstColumn="0" w:lastColumn="0" w:oddVBand="0" w:evenVBand="0" w:oddHBand="1" w:evenHBand="0" w:firstRowFirstColumn="0" w:firstRowLastColumn="0" w:lastRowFirstColumn="0" w:lastRowLastColumn="0"/>
            </w:pPr>
            <w:r>
              <w:t>Housing conditions, measured through indicators constructed from the Wellbeing Indicators Matrix — reported to document program implementation and verify that treatment improved housing</w:t>
            </w:r>
          </w:p>
        </w:tc>
      </w:tr>
      <w:tr w:rsidR="00C00A42" w14:paraId="7B4F2D9F" w14:textId="77777777" w:rsidTr="00C00A42">
        <w:tc>
          <w:tcPr>
            <w:tcW w:w="2008" w:type="dxa"/>
          </w:tcPr>
          <w:p w14:paraId="00000018" w14:textId="77777777" w:rsidR="00C00A42" w:rsidRDefault="00000000">
            <w:pPr>
              <w:cnfStyle w:val="001000000000" w:firstRow="0" w:lastRow="0" w:firstColumn="1" w:lastColumn="0" w:oddVBand="0" w:evenVBand="0" w:oddHBand="0" w:evenHBand="0" w:firstRowFirstColumn="0" w:firstRowLastColumn="0" w:lastRowFirstColumn="0" w:lastRowLastColumn="0"/>
            </w:pPr>
            <w:r>
              <w:t>Primary outcomes</w:t>
            </w:r>
          </w:p>
        </w:tc>
        <w:tc>
          <w:tcPr>
            <w:tcW w:w="7018" w:type="dxa"/>
          </w:tcPr>
          <w:p w14:paraId="00000019" w14:textId="02AA51EC" w:rsidR="00C00A42" w:rsidRDefault="00057E5B">
            <w:r>
              <w:t>E</w:t>
            </w:r>
            <w:r w:rsidR="00000000">
              <w:t>ffects on household wellbeing, including household income, social transfers received, contributions to the health system, school attendance of children and adolescents, and fertility</w:t>
            </w:r>
          </w:p>
        </w:tc>
      </w:tr>
      <w:tr w:rsidR="00C00A42" w14:paraId="40B91B67" w14:textId="77777777" w:rsidTr="00C00A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8" w:type="dxa"/>
          </w:tcPr>
          <w:p w14:paraId="0000001A" w14:textId="77777777" w:rsidR="00C00A42" w:rsidRDefault="00000000">
            <w:r>
              <w:t>Stratification</w:t>
            </w:r>
          </w:p>
        </w:tc>
        <w:tc>
          <w:tcPr>
            <w:tcW w:w="7018" w:type="dxa"/>
          </w:tcPr>
          <w:p w14:paraId="0000001B" w14:textId="77777777" w:rsidR="00C00A42" w:rsidRDefault="00000000">
            <w:pPr>
              <w:cnfStyle w:val="000000100000" w:firstRow="0" w:lastRow="0" w:firstColumn="0" w:lastColumn="0" w:oddVBand="0" w:evenVBand="0" w:oddHBand="1" w:evenHBand="0" w:firstRowFirstColumn="0" w:firstRowLastColumn="0" w:lastRowFirstColumn="0" w:lastRowLastColumn="0"/>
            </w:pPr>
            <w:r>
              <w:t>Municipality × programme of origin within SSyOO</w:t>
            </w:r>
            <w:r>
              <w:rPr>
                <w:vertAlign w:val="superscript"/>
              </w:rPr>
              <w:footnoteReference w:id="1"/>
            </w:r>
            <w:r>
              <w:t xml:space="preserve">, and Chile </w:t>
            </w:r>
            <w:proofErr w:type="spellStart"/>
            <w:r>
              <w:t>Crece</w:t>
            </w:r>
            <w:proofErr w:type="spellEnd"/>
            <w:r>
              <w:t xml:space="preserve"> Contigo</w:t>
            </w:r>
            <w:r>
              <w:rPr>
                <w:vertAlign w:val="superscript"/>
              </w:rPr>
              <w:footnoteReference w:id="2"/>
            </w:r>
            <w:r>
              <w:t xml:space="preserve"> status</w:t>
            </w:r>
          </w:p>
        </w:tc>
      </w:tr>
      <w:tr w:rsidR="00C00A42" w14:paraId="4619A8EB" w14:textId="77777777" w:rsidTr="00C00A42">
        <w:tc>
          <w:tcPr>
            <w:cnfStyle w:val="001000000000" w:firstRow="0" w:lastRow="0" w:firstColumn="1" w:lastColumn="0" w:oddVBand="0" w:evenVBand="0" w:oddHBand="0" w:evenHBand="0" w:firstRowFirstColumn="0" w:firstRowLastColumn="0" w:lastRowFirstColumn="0" w:lastRowLastColumn="0"/>
            <w:tcW w:w="2008" w:type="dxa"/>
          </w:tcPr>
          <w:p w14:paraId="0000001C" w14:textId="77777777" w:rsidR="00C00A42" w:rsidRDefault="00000000">
            <w:sdt>
              <w:sdtPr>
                <w:tag w:val="goog_rdk_0"/>
                <w:id w:val="-461371261"/>
              </w:sdtPr>
              <w:sdtContent/>
            </w:sdt>
            <w:r>
              <w:t>Inference</w:t>
            </w:r>
          </w:p>
        </w:tc>
        <w:tc>
          <w:tcPr>
            <w:tcW w:w="7018" w:type="dxa"/>
          </w:tcPr>
          <w:p w14:paraId="0000001D" w14:textId="77777777" w:rsidR="00C00A42" w:rsidRDefault="00000000">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rPr>
            </w:pPr>
            <w:r>
              <w:t xml:space="preserve">Because randomisation occurs at the household level, primary inference for household-level outcomes uses heteroskedasticity-robust standard errors. For individual-level outcomes, standard errors are clustered at the household level to account for within-household correlation induced by shared treatment assignment. As a robustness </w:t>
            </w:r>
            <w:r>
              <w:lastRenderedPageBreak/>
              <w:t>check for all outcomes, we additionally report standard errors clustered at the level of the randomisation strata.</w:t>
            </w:r>
          </w:p>
        </w:tc>
      </w:tr>
    </w:tbl>
    <w:p w14:paraId="0000001E" w14:textId="77777777" w:rsidR="00C00A42" w:rsidRDefault="00C00A42">
      <w:pPr>
        <w:pBdr>
          <w:top w:val="nil"/>
          <w:left w:val="nil"/>
          <w:bottom w:val="nil"/>
          <w:right w:val="nil"/>
          <w:between w:val="nil"/>
        </w:pBdr>
        <w:rPr>
          <w:b/>
          <w:bCs/>
          <w:color w:val="000000"/>
        </w:rPr>
      </w:pPr>
    </w:p>
    <w:p w14:paraId="0000001F" w14:textId="77777777" w:rsidR="00C00A42" w:rsidRDefault="00000000">
      <w:pPr>
        <w:pStyle w:val="Heading2"/>
      </w:pPr>
      <w:r>
        <w:t>Pre-Analysis Plan Commitments</w:t>
      </w:r>
    </w:p>
    <w:p w14:paraId="00000020" w14:textId="77777777" w:rsidR="00C00A42" w:rsidRDefault="00000000">
      <w:pPr>
        <w:pBdr>
          <w:top w:val="nil"/>
          <w:left w:val="nil"/>
          <w:bottom w:val="nil"/>
          <w:right w:val="nil"/>
          <w:between w:val="nil"/>
        </w:pBdr>
        <w:rPr>
          <w:color w:val="000000"/>
        </w:rPr>
      </w:pPr>
      <w:r>
        <w:rPr>
          <w:color w:val="000000"/>
        </w:rPr>
        <w:t>At the time of writing this PAP, the research team has not had access to the evaluation data, th</w:t>
      </w:r>
      <w:r>
        <w:t>is is the</w:t>
      </w:r>
      <w:r>
        <w:rPr>
          <w:color w:val="000000"/>
        </w:rPr>
        <w:t xml:space="preserve"> outcome data associated with the </w:t>
      </w:r>
      <w:r>
        <w:t>assignment</w:t>
      </w:r>
      <w:r>
        <w:rPr>
          <w:color w:val="000000"/>
        </w:rPr>
        <w:t xml:space="preserve"> or reception of the program </w:t>
      </w:r>
      <w:proofErr w:type="spellStart"/>
      <w:r>
        <w:rPr>
          <w:color w:val="000000"/>
        </w:rPr>
        <w:t>Habitabilidad</w:t>
      </w:r>
      <w:proofErr w:type="spellEnd"/>
      <w:r>
        <w:rPr>
          <w:color w:val="000000"/>
        </w:rPr>
        <w:t>. Access to the required datasets is subject to authorisation by the Ministry of Social Development and Family of Chile and to the completion of the corresponding data-sharing and confidentiality agreements.</w:t>
      </w:r>
    </w:p>
    <w:p w14:paraId="00000021" w14:textId="77777777" w:rsidR="00C00A42" w:rsidRDefault="00000000">
      <w:pPr>
        <w:pBdr>
          <w:top w:val="nil"/>
          <w:left w:val="nil"/>
          <w:bottom w:val="nil"/>
          <w:right w:val="nil"/>
          <w:between w:val="nil"/>
        </w:pBdr>
        <w:rPr>
          <w:color w:val="000000"/>
        </w:rPr>
      </w:pPr>
      <w:r>
        <w:rPr>
          <w:color w:val="000000"/>
        </w:rPr>
        <w:t xml:space="preserve">All primary </w:t>
      </w:r>
      <w:proofErr w:type="spellStart"/>
      <w:r>
        <w:rPr>
          <w:color w:val="000000"/>
        </w:rPr>
        <w:t>estimands</w:t>
      </w:r>
      <w:proofErr w:type="spellEnd"/>
      <w:r>
        <w:rPr>
          <w:color w:val="000000"/>
        </w:rPr>
        <w:t>, outcome definitions, main model specifications, and approaches to missing data and robustness checks are specified ex ante in this document. Any deviations from this plan will be explicitly documented and justified in the final paper.</w:t>
      </w:r>
    </w:p>
    <w:p w14:paraId="00000022" w14:textId="77777777" w:rsidR="00C00A42" w:rsidRDefault="00000000">
      <w:pPr>
        <w:pStyle w:val="Heading2"/>
      </w:pPr>
      <w:r>
        <w:t>Evaluation Aim</w:t>
      </w:r>
    </w:p>
    <w:p w14:paraId="00000023" w14:textId="77777777" w:rsidR="00C00A42" w:rsidRDefault="00000000">
      <w:r>
        <w:t xml:space="preserve">The evaluation estimates the causal effects of </w:t>
      </w:r>
      <w:proofErr w:type="spellStart"/>
      <w:r>
        <w:t>Programa</w:t>
      </w:r>
      <w:proofErr w:type="spellEnd"/>
      <w:r>
        <w:t xml:space="preserve"> </w:t>
      </w:r>
      <w:proofErr w:type="spellStart"/>
      <w:r>
        <w:t>Habitabilidad</w:t>
      </w:r>
      <w:proofErr w:type="spellEnd"/>
      <w:r>
        <w:t xml:space="preserve"> on broader dimensions of household well-being, using random assignment in 2020. In particular, the analysis examines whether improvements in housing conditions translate into changes in households’ socioeconomic outcomes, interactions with the social protection and health systems, educational participation of children and adolescents, and demographic </w:t>
      </w:r>
      <w:proofErr w:type="spellStart"/>
      <w:r>
        <w:t>behavior</w:t>
      </w:r>
      <w:proofErr w:type="spellEnd"/>
      <w:r>
        <w:t xml:space="preserve">. Housing conditions are </w:t>
      </w:r>
      <w:proofErr w:type="spellStart"/>
      <w:r>
        <w:t>analyzed</w:t>
      </w:r>
      <w:proofErr w:type="spellEnd"/>
      <w:r>
        <w:t xml:space="preserve"> as immediate outcomes that document program implementation and help interpret effects in these broader domains.</w:t>
      </w:r>
    </w:p>
    <w:p w14:paraId="00000024" w14:textId="77777777" w:rsidR="00C00A42" w:rsidRDefault="00000000">
      <w:pPr>
        <w:pStyle w:val="Heading2"/>
        <w:rPr>
          <w:b/>
          <w:bCs/>
        </w:rPr>
      </w:pPr>
      <w:r>
        <w:t>Hypotheses</w:t>
      </w:r>
    </w:p>
    <w:p w14:paraId="00000025" w14:textId="77777777" w:rsidR="00C00A42" w:rsidRDefault="00000000">
      <w:pPr>
        <w:spacing w:before="240" w:after="240" w:line="240" w:lineRule="auto"/>
      </w:pPr>
      <w:r>
        <w:t xml:space="preserve">The primary hypotheses are that assignment to </w:t>
      </w:r>
      <w:proofErr w:type="spellStart"/>
      <w:r>
        <w:t>Habitabilidad</w:t>
      </w:r>
      <w:proofErr w:type="spellEnd"/>
      <w:r>
        <w:t xml:space="preserve"> affects dimensions of household well-being beyond housing conditions. Specifically, assignment is expected to influence household income, </w:t>
      </w:r>
      <w:proofErr w:type="spellStart"/>
      <w:r>
        <w:t>labor</w:t>
      </w:r>
      <w:proofErr w:type="spellEnd"/>
      <w:r>
        <w:t xml:space="preserve"> market participation, access to social transfers, participation in the health system, school attendance of children and adolescents, and fertility.</w:t>
      </w:r>
    </w:p>
    <w:p w14:paraId="00000026" w14:textId="77777777" w:rsidR="00C00A42" w:rsidRDefault="00000000">
      <w:pPr>
        <w:spacing w:before="240" w:after="240" w:line="240" w:lineRule="auto"/>
      </w:pPr>
      <w:r>
        <w:t>We additionally hypothesise that treatment effects are heterogeneous across household characteristics. Specifically:</w:t>
      </w:r>
    </w:p>
    <w:p w14:paraId="62881D5E" w14:textId="77777777" w:rsidR="00891857" w:rsidRPr="00891857" w:rsidRDefault="00891857" w:rsidP="00891857">
      <w:pPr>
        <w:spacing w:before="240" w:after="240" w:line="240" w:lineRule="auto"/>
      </w:pPr>
      <w:r w:rsidRPr="00891857">
        <w:rPr>
          <w:b/>
          <w:bCs/>
          <w:color w:val="000000"/>
        </w:rPr>
        <w:t>Female-headed households:</w:t>
      </w:r>
      <w:r w:rsidRPr="00891857">
        <w:rPr>
          <w:color w:val="000000"/>
        </w:rPr>
        <w:t xml:space="preserve"> Housing improvements may have larger effects on labour market participation and health for female heads, who tend to spend more time at home and face different constraints on formal employment.</w:t>
      </w:r>
    </w:p>
    <w:p w14:paraId="1ADB8E58" w14:textId="30DE8D69" w:rsidR="00891857" w:rsidRPr="00891857" w:rsidRDefault="00891857" w:rsidP="00891857">
      <w:pPr>
        <w:spacing w:before="240" w:after="240" w:line="240" w:lineRule="auto"/>
      </w:pPr>
      <w:r w:rsidRPr="00891857">
        <w:rPr>
          <w:b/>
          <w:bCs/>
          <w:color w:val="000000"/>
        </w:rPr>
        <w:t xml:space="preserve">Presence and </w:t>
      </w:r>
      <w:r w:rsidR="004B778E" w:rsidRPr="00891857">
        <w:rPr>
          <w:b/>
          <w:bCs/>
          <w:color w:val="000000"/>
        </w:rPr>
        <w:t>number</w:t>
      </w:r>
      <w:r w:rsidRPr="00891857">
        <w:rPr>
          <w:b/>
          <w:bCs/>
          <w:color w:val="000000"/>
        </w:rPr>
        <w:t xml:space="preserve"> of young children:</w:t>
      </w:r>
      <w:r w:rsidRPr="00891857">
        <w:rPr>
          <w:color w:val="000000"/>
        </w:rPr>
        <w:t xml:space="preserve"> Effects on child health, cognitive development, and school attendance are likely larger for households with children in early childhood, given the well-documented sensitivity of this developmental period to environmental conditions.</w:t>
      </w:r>
    </w:p>
    <w:p w14:paraId="73F08EB9" w14:textId="77777777" w:rsidR="00891857" w:rsidRDefault="00891857" w:rsidP="00891857">
      <w:pPr>
        <w:spacing w:before="240" w:after="240" w:line="240" w:lineRule="auto"/>
        <w:rPr>
          <w:color w:val="000000"/>
        </w:rPr>
      </w:pPr>
      <w:r w:rsidRPr="00891857">
        <w:rPr>
          <w:b/>
          <w:bCs/>
          <w:color w:val="000000"/>
        </w:rPr>
        <w:t>Geographic location:</w:t>
      </w:r>
      <w:r w:rsidRPr="00891857">
        <w:rPr>
          <w:color w:val="000000"/>
        </w:rPr>
        <w:t xml:space="preserve"> Labour market and income effects may differ by geography, given differences in opportunity structures, formal employment rates, and access to public services.</w:t>
      </w:r>
    </w:p>
    <w:p w14:paraId="1FA2C893" w14:textId="736CCF65" w:rsidR="00891857" w:rsidRPr="00891857" w:rsidRDefault="00891857" w:rsidP="00891857">
      <w:pPr>
        <w:spacing w:before="240" w:after="240" w:line="240" w:lineRule="auto"/>
      </w:pPr>
      <w:r w:rsidRPr="0089749C">
        <w:rPr>
          <w:b/>
          <w:bCs/>
          <w:color w:val="000000"/>
        </w:rPr>
        <w:lastRenderedPageBreak/>
        <w:t>Initial housing condition</w:t>
      </w:r>
      <w:r w:rsidR="0089749C" w:rsidRPr="0089749C">
        <w:rPr>
          <w:b/>
          <w:bCs/>
          <w:color w:val="000000"/>
        </w:rPr>
        <w:t>s</w:t>
      </w:r>
      <w:r w:rsidRPr="0089749C">
        <w:rPr>
          <w:b/>
          <w:bCs/>
          <w:color w:val="000000"/>
        </w:rPr>
        <w:t>:</w:t>
      </w:r>
      <w:r>
        <w:rPr>
          <w:color w:val="000000"/>
        </w:rPr>
        <w:t xml:space="preserve"> </w:t>
      </w:r>
      <w:r w:rsidR="0089749C">
        <w:t>Effects are expected to be larger for households with poorer initial housing conditions, as the marginal benefits of housing improvements are likely greater where baseline deficits are more severe.</w:t>
      </w:r>
    </w:p>
    <w:p w14:paraId="6EA0375B" w14:textId="77777777" w:rsidR="00891857" w:rsidRPr="00891857" w:rsidRDefault="00891857" w:rsidP="00891857">
      <w:pPr>
        <w:spacing w:before="0" w:after="0" w:line="240" w:lineRule="auto"/>
      </w:pPr>
    </w:p>
    <w:p w14:paraId="0000002A" w14:textId="77777777" w:rsidR="00C00A42" w:rsidRDefault="00000000">
      <w:pPr>
        <w:spacing w:before="240" w:after="240" w:line="240" w:lineRule="auto"/>
      </w:pPr>
      <w:r>
        <w:t>We also examine whether effects vary with the characteristics and intensity of the intervention. Treatment effects may differ by type of housing solution received, reflecting the distinct pathways through which different improvements affect household wellbeing. Effects may also vary with the severity of the household deficit diagnosed at baseline and the share of identified needs addressed through delivered solutions, both measured using programme administrative data. These analyses are interpreted as descriptive and mechanism-oriented, given that treatment intensity is a post-assignment variable and does not have a causal interpretation.</w:t>
      </w:r>
    </w:p>
    <w:p w14:paraId="0000002B" w14:textId="77777777" w:rsidR="00C00A42" w:rsidRDefault="00C00A42">
      <w:pPr>
        <w:spacing w:before="280" w:after="280" w:line="240" w:lineRule="auto"/>
      </w:pPr>
    </w:p>
    <w:p w14:paraId="0000002C" w14:textId="77777777" w:rsidR="00C00A42" w:rsidRDefault="00000000">
      <w:pPr>
        <w:pStyle w:val="Heading2"/>
      </w:pPr>
      <w:r>
        <w:rPr>
          <w:b/>
          <w:bCs/>
        </w:rPr>
        <w:t>Randomization</w:t>
      </w:r>
    </w:p>
    <w:p w14:paraId="0000002D" w14:textId="77777777" w:rsidR="00C00A42" w:rsidRDefault="00000000">
      <w:pPr>
        <w:spacing w:before="280" w:after="280" w:line="240" w:lineRule="auto"/>
      </w:pPr>
      <w:r>
        <w:t>Municipalities were instructed to pre-select approximately twice the number of households that could ultimately be served, provided that sufficient eligible households meeting the program criteria were available. Random assignment was then used to allocate available program slots among these pre-selected households. Households identified as urgent or critical cases that were prioritized for entry were not subject to randomization and are excluded from this evaluation (13.7% of the households).</w:t>
      </w:r>
    </w:p>
    <w:p w14:paraId="0000002E" w14:textId="77777777" w:rsidR="00C00A42" w:rsidRDefault="00000000">
      <w:pPr>
        <w:spacing w:before="280" w:after="280" w:line="240" w:lineRule="auto"/>
      </w:pPr>
      <w:r>
        <w:t xml:space="preserve">Eligibility was restricted to households participating in the </w:t>
      </w:r>
      <w:proofErr w:type="spellStart"/>
      <w:r>
        <w:t>Subsistema</w:t>
      </w:r>
      <w:proofErr w:type="spellEnd"/>
      <w:r>
        <w:t xml:space="preserve"> </w:t>
      </w:r>
      <w:proofErr w:type="spellStart"/>
      <w:r>
        <w:t>Seguridades</w:t>
      </w:r>
      <w:proofErr w:type="spellEnd"/>
      <w:r>
        <w:t xml:space="preserve"> y </w:t>
      </w:r>
      <w:proofErr w:type="spellStart"/>
      <w:r>
        <w:t>Oportunidades</w:t>
      </w:r>
      <w:proofErr w:type="spellEnd"/>
      <w:r>
        <w:t xml:space="preserve"> (SSyOO), Chile’s social protection system for vulnerable households. Randomization was stratified by municipality, SSyOO program of origin, and Chile </w:t>
      </w:r>
      <w:proofErr w:type="spellStart"/>
      <w:r>
        <w:t>Crece</w:t>
      </w:r>
      <w:proofErr w:type="spellEnd"/>
      <w:r>
        <w:t xml:space="preserve"> Contigo status. Program of origin refers to the entry track through which the household participates in SSyOO (</w:t>
      </w:r>
      <w:proofErr w:type="spellStart"/>
      <w:r>
        <w:t>Familias</w:t>
      </w:r>
      <w:proofErr w:type="spellEnd"/>
      <w:r>
        <w:t xml:space="preserve"> or </w:t>
      </w:r>
      <w:proofErr w:type="spellStart"/>
      <w:r>
        <w:t>Grupos</w:t>
      </w:r>
      <w:proofErr w:type="spellEnd"/>
      <w:r>
        <w:t xml:space="preserve"> </w:t>
      </w:r>
      <w:proofErr w:type="spellStart"/>
      <w:r>
        <w:t>Vulnerables</w:t>
      </w:r>
      <w:proofErr w:type="spellEnd"/>
      <w:r>
        <w:t>).</w:t>
      </w:r>
    </w:p>
    <w:p w14:paraId="0000002F" w14:textId="77777777" w:rsidR="00C00A42" w:rsidRDefault="00000000">
      <w:pPr>
        <w:pStyle w:val="Heading2"/>
        <w:rPr>
          <w:b/>
          <w:bCs/>
        </w:rPr>
      </w:pPr>
      <w:r>
        <w:rPr>
          <w:b/>
          <w:bCs/>
        </w:rPr>
        <w:t>Sample size and consort diagram</w:t>
      </w:r>
    </w:p>
    <w:p w14:paraId="00000030" w14:textId="77777777" w:rsidR="00C00A42" w:rsidRDefault="00000000">
      <w:pPr>
        <w:spacing w:before="280" w:after="280" w:line="240" w:lineRule="auto"/>
      </w:pPr>
      <w:r>
        <w:t>A total of 8,095 households (50,194 individuals</w:t>
      </w:r>
      <w:r>
        <w:rPr>
          <w:vertAlign w:val="superscript"/>
        </w:rPr>
        <w:footnoteReference w:id="3"/>
      </w:r>
      <w:r>
        <w:t>) were considered in the selection process. Of these, 1,108 households were classified as critical cases and were not subject to randomization. The remaining 6,987 households were randomly assigned to treatment (3,030 households) or control (3,957 households).</w:t>
      </w:r>
    </w:p>
    <w:p w14:paraId="00000031" w14:textId="77777777" w:rsidR="00C00A42" w:rsidRDefault="00000000">
      <w:pPr>
        <w:spacing w:before="240"/>
      </w:pPr>
      <w:r>
        <w:t xml:space="preserve">Among households assigned to treatment, 1,986 (65.6%) received </w:t>
      </w:r>
      <w:proofErr w:type="spellStart"/>
      <w:r>
        <w:t>Habitabilidad</w:t>
      </w:r>
      <w:proofErr w:type="spellEnd"/>
      <w:r>
        <w:t>, while 1,044 did not. Among households assigned to control, 246 (6.2%) received the program. The following figure presents the CONSORT flow diagram.</w:t>
      </w:r>
    </w:p>
    <w:p w14:paraId="00000032" w14:textId="77777777" w:rsidR="00C00A42" w:rsidRDefault="00000000">
      <w:pPr>
        <w:spacing w:before="240" w:line="301" w:lineRule="auto"/>
        <w:jc w:val="center"/>
      </w:pPr>
      <w:r>
        <w:t xml:space="preserve">Figure 1: Consort flow diagram for </w:t>
      </w:r>
      <w:proofErr w:type="spellStart"/>
      <w:r>
        <w:t>Habitabilidad</w:t>
      </w:r>
      <w:proofErr w:type="spellEnd"/>
      <w:r>
        <w:t xml:space="preserve"> program</w:t>
      </w:r>
    </w:p>
    <w:p w14:paraId="00000033" w14:textId="26297465" w:rsidR="00C00A42" w:rsidRDefault="00ED0391">
      <w:pPr>
        <w:spacing w:before="280" w:after="280" w:line="240" w:lineRule="auto"/>
      </w:pPr>
      <w:r>
        <w:rPr>
          <w:noProof/>
        </w:rPr>
        <w:lastRenderedPageBreak/>
        <w:drawing>
          <wp:inline distT="0" distB="0" distL="0" distR="0" wp14:anchorId="1F6306E8" wp14:editId="6870F15A">
            <wp:extent cx="5486400" cy="3200400"/>
            <wp:effectExtent l="0" t="0" r="12700" b="0"/>
            <wp:docPr id="56674091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0000034" w14:textId="4DB28F2D" w:rsidR="00C00A42" w:rsidRDefault="00C00A42">
      <w:pPr>
        <w:spacing w:before="280" w:after="280" w:line="240" w:lineRule="auto"/>
      </w:pPr>
    </w:p>
    <w:p w14:paraId="00000035" w14:textId="77777777" w:rsidR="00C00A42" w:rsidRDefault="00000000">
      <w:pPr>
        <w:pStyle w:val="Heading2"/>
      </w:pPr>
      <w:r>
        <w:rPr>
          <w:b/>
          <w:bCs/>
        </w:rPr>
        <w:t>Ethics and Consent</w:t>
      </w:r>
    </w:p>
    <w:p w14:paraId="00000036" w14:textId="77777777" w:rsidR="00C00A42" w:rsidRDefault="00000000">
      <w:pPr>
        <w:pBdr>
          <w:top w:val="nil"/>
          <w:left w:val="nil"/>
          <w:bottom w:val="nil"/>
          <w:right w:val="nil"/>
          <w:between w:val="nil"/>
        </w:pBdr>
        <w:rPr>
          <w:color w:val="000000"/>
        </w:rPr>
      </w:pPr>
      <w:r>
        <w:rPr>
          <w:color w:val="000000"/>
        </w:rPr>
        <w:t xml:space="preserve">This evaluation relies primarily on administrative and program data and is designed to estimate the impacts of an existing social program assignment process. The evaluation will comply with applicable data protection and confidentiality protocols, including safeguards for handling personally identifiable information during data linkage and analysis, secure data storage, controlled access, and disclosure limitation in reporting. Access to the data is granted through the RIS (Registro de </w:t>
      </w:r>
      <w:proofErr w:type="spellStart"/>
      <w:r>
        <w:rPr>
          <w:color w:val="000000"/>
        </w:rPr>
        <w:t>Informacion</w:t>
      </w:r>
      <w:proofErr w:type="spellEnd"/>
      <w:r>
        <w:rPr>
          <w:color w:val="000000"/>
        </w:rPr>
        <w:t xml:space="preserve"> Social) mechanism, a public call administered by the Ministry of Social Development and Family of Chile.</w:t>
      </w:r>
    </w:p>
    <w:p w14:paraId="00000037" w14:textId="77777777" w:rsidR="00C00A42" w:rsidRDefault="00000000">
      <w:pPr>
        <w:pBdr>
          <w:top w:val="nil"/>
          <w:left w:val="nil"/>
          <w:bottom w:val="nil"/>
          <w:right w:val="nil"/>
          <w:between w:val="nil"/>
        </w:pBdr>
        <w:rPr>
          <w:color w:val="000000"/>
        </w:rPr>
      </w:pPr>
      <w:r>
        <w:rPr>
          <w:color w:val="000000"/>
        </w:rPr>
        <w:t>In addition, the study has been approved by the Ethics Committee of the Faculty of Economics and Business of the Universidad de Chile (Approval number N°06/2025).</w:t>
      </w:r>
    </w:p>
    <w:p w14:paraId="00000038" w14:textId="77777777" w:rsidR="00C00A42" w:rsidRDefault="00000000">
      <w:pPr>
        <w:pStyle w:val="Heading2"/>
      </w:pPr>
      <w:r>
        <w:rPr>
          <w:b/>
          <w:bCs/>
        </w:rPr>
        <w:t>Outcome Measures and Construction</w:t>
      </w:r>
    </w:p>
    <w:p w14:paraId="00000039" w14:textId="77777777" w:rsidR="00C00A42" w:rsidRDefault="00000000">
      <w:pPr>
        <w:pStyle w:val="Heading3"/>
      </w:pPr>
      <w:r>
        <w:t>Primary outcomes</w:t>
      </w:r>
    </w:p>
    <w:p w14:paraId="0000003A" w14:textId="77777777" w:rsidR="00C00A42" w:rsidRDefault="00000000">
      <w:pPr>
        <w:spacing w:before="280" w:after="280" w:line="240" w:lineRule="auto"/>
      </w:pPr>
      <w:r>
        <w:t>The primary outcomes capture broader dimensions of household well-being beyond housing conditions. These outcomes are measured using linked national administrative data available annually for both treatment and control households, allowing the evaluation to trace households’ socioeconomic trajectories and interactions with public systems over time.</w:t>
      </w:r>
    </w:p>
    <w:p w14:paraId="0000003B" w14:textId="77777777" w:rsidR="00C00A42" w:rsidRDefault="00000000">
      <w:pPr>
        <w:spacing w:before="280" w:after="280" w:line="240" w:lineRule="auto"/>
      </w:pPr>
      <w:r>
        <w:t>The main outcome domains are:</w:t>
      </w:r>
    </w:p>
    <w:p w14:paraId="0000003C" w14:textId="77777777" w:rsidR="00C00A42" w:rsidRDefault="00000000">
      <w:pPr>
        <w:numPr>
          <w:ilvl w:val="0"/>
          <w:numId w:val="1"/>
        </w:numPr>
        <w:pBdr>
          <w:top w:val="nil"/>
          <w:left w:val="nil"/>
          <w:bottom w:val="nil"/>
          <w:right w:val="nil"/>
          <w:between w:val="nil"/>
        </w:pBdr>
        <w:spacing w:after="0"/>
      </w:pPr>
      <w:r>
        <w:rPr>
          <w:b/>
          <w:bCs/>
          <w:color w:val="000000"/>
        </w:rPr>
        <w:t>Labor market and income:</w:t>
      </w:r>
      <w:r>
        <w:rPr>
          <w:color w:val="000000"/>
        </w:rPr>
        <w:t xml:space="preserve"> Equivalized household income constructed from formal earnings records, and indicators of formal </w:t>
      </w:r>
      <w:proofErr w:type="spellStart"/>
      <w:r>
        <w:rPr>
          <w:color w:val="000000"/>
        </w:rPr>
        <w:t>labor</w:t>
      </w:r>
      <w:proofErr w:type="spellEnd"/>
      <w:r>
        <w:rPr>
          <w:color w:val="000000"/>
        </w:rPr>
        <w:t xml:space="preserve"> market participation measured through pension (AFP) and unemployment insurance contributions (AFC).</w:t>
      </w:r>
    </w:p>
    <w:p w14:paraId="0000003D" w14:textId="77777777" w:rsidR="00C00A42" w:rsidRDefault="00000000">
      <w:pPr>
        <w:numPr>
          <w:ilvl w:val="0"/>
          <w:numId w:val="1"/>
        </w:numPr>
        <w:pBdr>
          <w:top w:val="nil"/>
          <w:left w:val="nil"/>
          <w:bottom w:val="nil"/>
          <w:right w:val="nil"/>
          <w:between w:val="nil"/>
        </w:pBdr>
        <w:spacing w:before="0" w:after="0"/>
      </w:pPr>
      <w:r>
        <w:rPr>
          <w:b/>
          <w:bCs/>
          <w:color w:val="000000"/>
        </w:rPr>
        <w:lastRenderedPageBreak/>
        <w:t>Cash transfers:</w:t>
      </w:r>
      <w:r>
        <w:rPr>
          <w:color w:val="000000"/>
        </w:rPr>
        <w:t xml:space="preserve"> total annual social transfers received by the household.</w:t>
      </w:r>
    </w:p>
    <w:p w14:paraId="0000003E" w14:textId="77777777" w:rsidR="00C00A42" w:rsidRDefault="00000000">
      <w:pPr>
        <w:numPr>
          <w:ilvl w:val="0"/>
          <w:numId w:val="1"/>
        </w:numPr>
        <w:pBdr>
          <w:top w:val="nil"/>
          <w:left w:val="nil"/>
          <w:bottom w:val="nil"/>
          <w:right w:val="nil"/>
          <w:between w:val="nil"/>
        </w:pBdr>
        <w:spacing w:before="0" w:after="0"/>
      </w:pPr>
      <w:r>
        <w:rPr>
          <w:b/>
          <w:bCs/>
          <w:color w:val="000000"/>
        </w:rPr>
        <w:t>Health system participation:</w:t>
      </w:r>
      <w:r>
        <w:rPr>
          <w:color w:val="000000"/>
        </w:rPr>
        <w:t xml:space="preserve"> affiliation to the public (FONASA) or private (ISAPRE) health insurance systems and contribution-based participation where observable.</w:t>
      </w:r>
    </w:p>
    <w:p w14:paraId="0000003F" w14:textId="77777777" w:rsidR="00C00A42" w:rsidRDefault="00000000">
      <w:pPr>
        <w:numPr>
          <w:ilvl w:val="0"/>
          <w:numId w:val="1"/>
        </w:numPr>
        <w:pBdr>
          <w:top w:val="nil"/>
          <w:left w:val="nil"/>
          <w:bottom w:val="nil"/>
          <w:right w:val="nil"/>
          <w:between w:val="nil"/>
        </w:pBdr>
        <w:spacing w:before="0" w:after="0"/>
      </w:pPr>
      <w:r>
        <w:rPr>
          <w:b/>
          <w:bCs/>
          <w:color w:val="000000"/>
        </w:rPr>
        <w:t>Education (children and adolescents):</w:t>
      </w:r>
      <w:r>
        <w:rPr>
          <w:color w:val="000000"/>
        </w:rPr>
        <w:t xml:space="preserve"> school enrolment and attendance derived from administrative education records.</w:t>
      </w:r>
    </w:p>
    <w:p w14:paraId="00000040" w14:textId="77777777" w:rsidR="00C00A42" w:rsidRDefault="00000000">
      <w:pPr>
        <w:numPr>
          <w:ilvl w:val="0"/>
          <w:numId w:val="1"/>
        </w:numPr>
        <w:pBdr>
          <w:top w:val="nil"/>
          <w:left w:val="nil"/>
          <w:bottom w:val="nil"/>
          <w:right w:val="nil"/>
          <w:between w:val="nil"/>
        </w:pBdr>
        <w:spacing w:before="0"/>
      </w:pPr>
      <w:r>
        <w:rPr>
          <w:b/>
          <w:bCs/>
          <w:color w:val="000000"/>
        </w:rPr>
        <w:t>Demography:</w:t>
      </w:r>
      <w:r>
        <w:rPr>
          <w:color w:val="000000"/>
        </w:rPr>
        <w:t xml:space="preserve"> fertility outcomes measured through births registered to household members.</w:t>
      </w:r>
    </w:p>
    <w:p w14:paraId="00000041" w14:textId="28E756DA" w:rsidR="00C00A42" w:rsidRDefault="00000000">
      <w:r>
        <w:t xml:space="preserve">Outcomes are measured annually and available </w:t>
      </w:r>
      <w:r w:rsidR="004B778E">
        <w:t>individually,</w:t>
      </w:r>
      <w:r>
        <w:t xml:space="preserve"> but we will construct the household level when it is needed. Calendar year 2019 is defined as the pre-treatment baseline period. Outcomes are observed from 2020 onward, allowing the evaluation to examine short- and medium-term effects.</w:t>
      </w:r>
    </w:p>
    <w:p w14:paraId="00000042" w14:textId="77777777" w:rsidR="00C00A42" w:rsidRDefault="00000000">
      <w:pPr>
        <w:pStyle w:val="Heading3"/>
      </w:pPr>
      <w:r>
        <w:t>Secondary outcomes</w:t>
      </w:r>
    </w:p>
    <w:p w14:paraId="00000043" w14:textId="77777777" w:rsidR="00C00A42" w:rsidRDefault="00000000">
      <w:pPr>
        <w:spacing w:before="280" w:after="280" w:line="240" w:lineRule="auto"/>
      </w:pPr>
      <w:r>
        <w:t xml:space="preserve">Secondary outcomes capture additional dimensions of households’ socioeconomic conditions and interactions with public systems that may be affected by </w:t>
      </w:r>
      <w:proofErr w:type="spellStart"/>
      <w:r>
        <w:t>Programa</w:t>
      </w:r>
      <w:proofErr w:type="spellEnd"/>
      <w:r>
        <w:t xml:space="preserve"> </w:t>
      </w:r>
      <w:proofErr w:type="spellStart"/>
      <w:r>
        <w:t>Habitabilidad</w:t>
      </w:r>
      <w:proofErr w:type="spellEnd"/>
      <w:r>
        <w:t xml:space="preserve"> but are not designated as primary outcomes. These measures provide complementary evidence on households’ trajectories within the social protection system.</w:t>
      </w:r>
    </w:p>
    <w:p w14:paraId="00000044" w14:textId="77777777" w:rsidR="00C00A42" w:rsidRDefault="00000000">
      <w:pPr>
        <w:spacing w:before="280" w:after="280" w:line="240" w:lineRule="auto"/>
      </w:pPr>
      <w:r>
        <w:t>The main secondary outcome domains include:</w:t>
      </w:r>
    </w:p>
    <w:p w14:paraId="00000045" w14:textId="77777777" w:rsidR="00C00A42" w:rsidRDefault="00000000">
      <w:pPr>
        <w:numPr>
          <w:ilvl w:val="0"/>
          <w:numId w:val="2"/>
        </w:numPr>
        <w:pBdr>
          <w:top w:val="nil"/>
          <w:left w:val="nil"/>
          <w:bottom w:val="nil"/>
          <w:right w:val="nil"/>
          <w:between w:val="nil"/>
        </w:pBdr>
      </w:pPr>
      <w:r>
        <w:rPr>
          <w:b/>
          <w:bCs/>
          <w:color w:val="000000"/>
        </w:rPr>
        <w:t>Labor market attachment:</w:t>
      </w:r>
      <w:r>
        <w:rPr>
          <w:color w:val="000000"/>
        </w:rPr>
        <w:t xml:space="preserve"> indicators of formal </w:t>
      </w:r>
      <w:proofErr w:type="spellStart"/>
      <w:r>
        <w:rPr>
          <w:color w:val="000000"/>
        </w:rPr>
        <w:t>labor</w:t>
      </w:r>
      <w:proofErr w:type="spellEnd"/>
      <w:r>
        <w:rPr>
          <w:color w:val="000000"/>
        </w:rPr>
        <w:t xml:space="preserve"> market participation measured as the proportion of months in which household members ages 15–65 make pension or unemployment insurance contributions.</w:t>
      </w:r>
    </w:p>
    <w:p w14:paraId="00000046" w14:textId="77777777" w:rsidR="00C00A42" w:rsidRDefault="00000000">
      <w:pPr>
        <w:numPr>
          <w:ilvl w:val="0"/>
          <w:numId w:val="2"/>
        </w:numPr>
        <w:pBdr>
          <w:top w:val="nil"/>
          <w:left w:val="nil"/>
          <w:bottom w:val="nil"/>
          <w:right w:val="nil"/>
          <w:between w:val="nil"/>
        </w:pBdr>
      </w:pPr>
      <w:r>
        <w:rPr>
          <w:b/>
          <w:bCs/>
          <w:color w:val="000000"/>
        </w:rPr>
        <w:t>Socioeconomic vulnerability:</w:t>
      </w:r>
      <w:r>
        <w:rPr>
          <w:color w:val="000000"/>
        </w:rPr>
        <w:t xml:space="preserve"> household vulnerability classification and score as defined by the Registro Social de </w:t>
      </w:r>
      <w:proofErr w:type="spellStart"/>
      <w:r>
        <w:rPr>
          <w:color w:val="000000"/>
        </w:rPr>
        <w:t>Hogares</w:t>
      </w:r>
      <w:proofErr w:type="spellEnd"/>
      <w:r>
        <w:rPr>
          <w:color w:val="000000"/>
        </w:rPr>
        <w:t xml:space="preserve"> (RSH), including changes in vulnerability tranche over time.</w:t>
      </w:r>
    </w:p>
    <w:p w14:paraId="00000047" w14:textId="77777777" w:rsidR="00C00A42" w:rsidRDefault="00000000">
      <w:pPr>
        <w:numPr>
          <w:ilvl w:val="0"/>
          <w:numId w:val="2"/>
        </w:numPr>
        <w:pBdr>
          <w:top w:val="nil"/>
          <w:left w:val="nil"/>
          <w:bottom w:val="nil"/>
          <w:right w:val="nil"/>
          <w:between w:val="nil"/>
        </w:pBdr>
      </w:pPr>
      <w:r>
        <w:rPr>
          <w:b/>
          <w:bCs/>
          <w:color w:val="000000"/>
        </w:rPr>
        <w:t>Social protection participation:</w:t>
      </w:r>
      <w:r>
        <w:rPr>
          <w:color w:val="000000"/>
        </w:rPr>
        <w:t xml:space="preserve"> participation in social programs, particularly other housing programs.</w:t>
      </w:r>
    </w:p>
    <w:p w14:paraId="00000048" w14:textId="77777777" w:rsidR="00C00A42" w:rsidRDefault="00000000">
      <w:pPr>
        <w:numPr>
          <w:ilvl w:val="0"/>
          <w:numId w:val="2"/>
        </w:numPr>
        <w:pBdr>
          <w:top w:val="nil"/>
          <w:left w:val="nil"/>
          <w:bottom w:val="nil"/>
          <w:right w:val="nil"/>
          <w:between w:val="nil"/>
        </w:pBdr>
      </w:pPr>
      <w:r>
        <w:rPr>
          <w:b/>
          <w:bCs/>
          <w:color w:val="000000"/>
        </w:rPr>
        <w:t>Education outcomes (children and adolescents):</w:t>
      </w:r>
      <w:r>
        <w:rPr>
          <w:color w:val="000000"/>
        </w:rPr>
        <w:t xml:space="preserve"> school </w:t>
      </w:r>
      <w:proofErr w:type="spellStart"/>
      <w:r>
        <w:rPr>
          <w:color w:val="000000"/>
        </w:rPr>
        <w:t>enrollment</w:t>
      </w:r>
      <w:proofErr w:type="spellEnd"/>
      <w:r>
        <w:rPr>
          <w:color w:val="000000"/>
        </w:rPr>
        <w:t xml:space="preserve"> and academic performance based on administrative education records.</w:t>
      </w:r>
    </w:p>
    <w:p w14:paraId="00000049" w14:textId="77777777" w:rsidR="00C00A42" w:rsidRDefault="00000000">
      <w:pPr>
        <w:pStyle w:val="Heading3"/>
      </w:pPr>
      <w:r>
        <w:t>Housing conditions (Immediate outcomes)</w:t>
      </w:r>
    </w:p>
    <w:p w14:paraId="0000004A" w14:textId="77777777" w:rsidR="00C00A42" w:rsidRDefault="00000000">
      <w:pPr>
        <w:pBdr>
          <w:top w:val="nil"/>
          <w:left w:val="nil"/>
          <w:bottom w:val="nil"/>
          <w:right w:val="nil"/>
          <w:between w:val="nil"/>
        </w:pBdr>
        <w:rPr>
          <w:color w:val="000000"/>
        </w:rPr>
      </w:pPr>
      <w:r>
        <w:rPr>
          <w:color w:val="000000"/>
        </w:rPr>
        <w:t xml:space="preserve">Housing conditions are </w:t>
      </w:r>
      <w:proofErr w:type="spellStart"/>
      <w:r>
        <w:rPr>
          <w:color w:val="000000"/>
        </w:rPr>
        <w:t>analyzed</w:t>
      </w:r>
      <w:proofErr w:type="spellEnd"/>
      <w:r>
        <w:rPr>
          <w:color w:val="000000"/>
        </w:rPr>
        <w:t xml:space="preserve"> as intermediate outcomes that document program implementation and help interpret effects in broader well-being domains. These outcomes are measured using indicators constructed from the SSyOO Wellbeing Indicators Matrix, which is collected at baseline, midline, and endline during households’ participation in SSyOO.</w:t>
      </w:r>
    </w:p>
    <w:p w14:paraId="0000004B" w14:textId="77777777" w:rsidR="00C00A42" w:rsidRDefault="00000000">
      <w:pPr>
        <w:pBdr>
          <w:top w:val="nil"/>
          <w:left w:val="nil"/>
          <w:bottom w:val="nil"/>
          <w:right w:val="nil"/>
          <w:between w:val="nil"/>
        </w:pBdr>
        <w:rPr>
          <w:color w:val="000000"/>
        </w:rPr>
      </w:pPr>
      <w:r>
        <w:rPr>
          <w:color w:val="000000"/>
        </w:rPr>
        <w:t xml:space="preserve">The baseline Wellbeing Indicators Matrix is observed prior to assignment to </w:t>
      </w:r>
      <w:proofErr w:type="spellStart"/>
      <w:r>
        <w:rPr>
          <w:color w:val="000000"/>
        </w:rPr>
        <w:t>Programa</w:t>
      </w:r>
      <w:proofErr w:type="spellEnd"/>
      <w:r>
        <w:rPr>
          <w:color w:val="000000"/>
        </w:rPr>
        <w:t xml:space="preserve"> </w:t>
      </w:r>
      <w:proofErr w:type="spellStart"/>
      <w:r>
        <w:rPr>
          <w:color w:val="000000"/>
        </w:rPr>
        <w:t>Habitabilidad</w:t>
      </w:r>
      <w:proofErr w:type="spellEnd"/>
      <w:r>
        <w:rPr>
          <w:color w:val="000000"/>
        </w:rPr>
        <w:t xml:space="preserve">. The primary housing outcome measure is the first available post-assignment Wellbeing Indicators Matrix observation (typically the SSyOO endline). For some </w:t>
      </w:r>
      <w:r>
        <w:rPr>
          <w:color w:val="000000"/>
        </w:rPr>
        <w:lastRenderedPageBreak/>
        <w:t xml:space="preserve">households, this measurement may occur before full receipt of the </w:t>
      </w:r>
      <w:proofErr w:type="spellStart"/>
      <w:r>
        <w:rPr>
          <w:color w:val="000000"/>
        </w:rPr>
        <w:t>Habitabilidad</w:t>
      </w:r>
      <w:proofErr w:type="spellEnd"/>
      <w:r>
        <w:rPr>
          <w:color w:val="000000"/>
        </w:rPr>
        <w:t xml:space="preserve"> intervention. This timing reflects the administrative structure of SSyOO data collection rather than program-specific measurement.</w:t>
      </w:r>
    </w:p>
    <w:p w14:paraId="0000004C" w14:textId="77777777" w:rsidR="00C00A42" w:rsidRDefault="00000000">
      <w:pPr>
        <w:pBdr>
          <w:top w:val="nil"/>
          <w:left w:val="nil"/>
          <w:bottom w:val="nil"/>
          <w:right w:val="nil"/>
          <w:between w:val="nil"/>
        </w:pBdr>
        <w:rPr>
          <w:color w:val="000000"/>
        </w:rPr>
      </w:pPr>
      <w:r>
        <w:rPr>
          <w:color w:val="000000"/>
        </w:rPr>
        <w:t>Housing outcomes will be reported as a set of clearly defined indicators capturing different dimensions of housing conditions and the physical household environment. If a summary index is constructed, the rules for indicator selection, coding, and aggregation will be defined ex ante and documented transparently. Results will be reported for individual indicators and for any pre-specified index.</w:t>
      </w:r>
    </w:p>
    <w:p w14:paraId="0000004D" w14:textId="77777777" w:rsidR="00C00A42" w:rsidRDefault="00C00A42">
      <w:pPr>
        <w:pBdr>
          <w:top w:val="nil"/>
          <w:left w:val="nil"/>
          <w:bottom w:val="nil"/>
          <w:right w:val="nil"/>
          <w:between w:val="nil"/>
        </w:pBdr>
        <w:rPr>
          <w:color w:val="000000"/>
        </w:rPr>
      </w:pPr>
    </w:p>
    <w:p w14:paraId="0000004E" w14:textId="77777777" w:rsidR="00C00A42" w:rsidRDefault="00000000">
      <w:pPr>
        <w:pStyle w:val="Heading2"/>
      </w:pPr>
      <w:r>
        <w:rPr>
          <w:b/>
          <w:bCs/>
        </w:rPr>
        <w:t>Method of Analysis</w:t>
      </w:r>
    </w:p>
    <w:p w14:paraId="0000004F" w14:textId="77777777" w:rsidR="00C00A42" w:rsidRDefault="00000000">
      <w:pPr>
        <w:pBdr>
          <w:top w:val="nil"/>
          <w:left w:val="nil"/>
          <w:bottom w:val="nil"/>
          <w:right w:val="nil"/>
          <w:between w:val="nil"/>
        </w:pBdr>
        <w:rPr>
          <w:color w:val="000000"/>
        </w:rPr>
      </w:pPr>
      <w:r>
        <w:rPr>
          <w:color w:val="000000"/>
        </w:rPr>
        <w:t>All specifications will include strata fixed effects corresponding to the randomization design.</w:t>
      </w:r>
    </w:p>
    <w:p w14:paraId="00000050" w14:textId="77777777" w:rsidR="00C00A42" w:rsidRDefault="00000000">
      <w:pPr>
        <w:pStyle w:val="Heading3"/>
      </w:pPr>
      <w:r>
        <w:rPr>
          <w:b/>
          <w:bCs/>
        </w:rPr>
        <w:t xml:space="preserve">Intention-to-Treat (ITT) </w:t>
      </w:r>
      <w:r>
        <w:t>Analysis</w:t>
      </w:r>
    </w:p>
    <w:p w14:paraId="00000051" w14:textId="77777777" w:rsidR="00C00A42" w:rsidRDefault="00000000">
      <w:pPr>
        <w:pBdr>
          <w:top w:val="nil"/>
          <w:left w:val="nil"/>
          <w:bottom w:val="nil"/>
          <w:right w:val="nil"/>
          <w:between w:val="nil"/>
        </w:pBdr>
        <w:rPr>
          <w:b/>
          <w:bCs/>
          <w:color w:val="000000"/>
        </w:rPr>
      </w:pPr>
      <w:r>
        <w:rPr>
          <w:b/>
          <w:bCs/>
          <w:color w:val="000000"/>
        </w:rPr>
        <w:t xml:space="preserve">ITT Specification 1: </w:t>
      </w:r>
      <w:r>
        <w:rPr>
          <w:color w:val="000000"/>
        </w:rPr>
        <w:t>design-based post model. For outcomes observed only post-treatment, the primary model is:</w:t>
      </w:r>
    </w:p>
    <w:p w14:paraId="00000052" w14:textId="77777777" w:rsidR="00C00A42"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Y</m:t>
              </m:r>
            </m:e>
            <m:sub>
              <m:r>
                <w:rPr>
                  <w:rFonts w:ascii="Cambria Math" w:eastAsia="Cambria Math" w:hAnsi="Cambria Math" w:cs="Cambria Math"/>
                  <w:color w:val="000000"/>
                </w:rPr>
                <m:t>its</m:t>
              </m:r>
            </m:sub>
          </m:sSub>
          <m:r>
            <w:rPr>
              <w:rFonts w:ascii="Cambria Math" w:eastAsia="Cambria Math" w:hAnsi="Cambria Math" w:cs="Cambria Math"/>
              <w:color w:val="000000"/>
            </w:rPr>
            <m:t xml:space="preserve">= α+ </m:t>
          </m:r>
          <m:sSub>
            <m:sSubPr>
              <m:ctrlPr>
                <w:rPr>
                  <w:rFonts w:ascii="Cambria Math" w:eastAsia="Cambria Math" w:hAnsi="Cambria Math" w:cs="Cambria Math"/>
                  <w:color w:val="000000"/>
                </w:rPr>
              </m:ctrlPr>
            </m:sSubPr>
            <m:e>
              <m:r>
                <w:rPr>
                  <w:rFonts w:ascii="Cambria Math" w:eastAsia="Cambria Math" w:hAnsi="Cambria Math" w:cs="Cambria Math"/>
                  <w:color w:val="000000"/>
                </w:rPr>
                <m:t>βZ</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sSub>
            <m:sSubPr>
              <m:ctrlPr>
                <w:rPr>
                  <w:rFonts w:ascii="Cambria Math" w:eastAsia="Cambria Math" w:hAnsi="Cambria Math" w:cs="Cambria Math"/>
                  <w:color w:val="000000"/>
                </w:rPr>
              </m:ctrlPr>
            </m:sSubPr>
            <m:e>
              <m:r>
                <w:rPr>
                  <w:rFonts w:ascii="Cambria Math" w:eastAsia="Cambria Math" w:hAnsi="Cambria Math" w:cs="Cambria Math"/>
                  <w:color w:val="000000"/>
                </w:rPr>
                <m:t>δ</m:t>
              </m:r>
            </m:e>
            <m:sub>
              <m:r>
                <w:rPr>
                  <w:rFonts w:ascii="Cambria Math" w:eastAsia="Cambria Math" w:hAnsi="Cambria Math" w:cs="Cambria Math"/>
                  <w:color w:val="000000"/>
                </w:rPr>
                <m:t>s</m:t>
              </m:r>
            </m:sub>
          </m:sSub>
          <m:r>
            <w:rPr>
              <w:rFonts w:ascii="Cambria Math" w:eastAsia="Cambria Math" w:hAnsi="Cambria Math" w:cs="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ε</m:t>
              </m:r>
            </m:e>
            <m:sub>
              <m:r>
                <w:rPr>
                  <w:rFonts w:ascii="Cambria Math" w:eastAsia="Cambria Math" w:hAnsi="Cambria Math" w:cs="Cambria Math"/>
                  <w:color w:val="000000"/>
                </w:rPr>
                <m:t>its</m:t>
              </m:r>
            </m:sub>
          </m:sSub>
        </m:oMath>
      </m:oMathPara>
    </w:p>
    <w:p w14:paraId="00000053" w14:textId="77777777" w:rsidR="00C00A42" w:rsidRDefault="00000000">
      <w:pPr>
        <w:pBdr>
          <w:top w:val="nil"/>
          <w:left w:val="nil"/>
          <w:bottom w:val="nil"/>
          <w:right w:val="nil"/>
          <w:between w:val="nil"/>
        </w:pBdr>
        <w:rPr>
          <w:color w:val="000000"/>
        </w:rPr>
      </w:pPr>
      <w:r>
        <w:rPr>
          <w:color w:val="000000"/>
        </w:rPr>
        <w:t xml:space="preserve">where </w:t>
      </w:r>
      <m:oMath>
        <m:sSub>
          <m:sSubPr>
            <m:ctrlPr>
              <w:rPr>
                <w:rFonts w:ascii="Cambria Math" w:eastAsia="Cambria Math" w:hAnsi="Cambria Math" w:cs="Cambria Math"/>
              </w:rPr>
            </m:ctrlPr>
          </m:sSubPr>
          <m:e>
            <m:r>
              <w:rPr>
                <w:rFonts w:ascii="Cambria Math" w:eastAsia="Cambria Math" w:hAnsi="Cambria Math" w:cs="Cambria Math"/>
                <w:color w:val="000000"/>
              </w:rPr>
              <m:t>Y</m:t>
            </m:r>
          </m:e>
          <m:sub>
            <m:r>
              <w:rPr>
                <w:rFonts w:ascii="Cambria Math" w:eastAsia="Cambria Math" w:hAnsi="Cambria Math" w:cs="Cambria Math"/>
                <w:color w:val="000000"/>
              </w:rPr>
              <m:t>i</m:t>
            </m:r>
            <m:r>
              <w:rPr>
                <w:rFonts w:ascii="Cambria Math" w:eastAsia="Cambria Math" w:hAnsi="Cambria Math" w:cs="Cambria Math"/>
              </w:rPr>
              <m:t>ts</m:t>
            </m:r>
          </m:sub>
        </m:sSub>
      </m:oMath>
      <w:r>
        <w:rPr>
          <w:color w:val="000000"/>
        </w:rPr>
        <w:t xml:space="preserve"> is the outcome for household or individual i at time t,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Z</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oMath>
      <w:r>
        <w:rPr>
          <w:color w:val="000000"/>
        </w:rPr>
        <w:t xml:space="preserve">is an indicator for assignment of Habitabilidad 2020, and </w:t>
      </w:r>
      <m:oMath>
        <m:sSub>
          <m:sSubPr>
            <m:ctrlPr>
              <w:rPr>
                <w:rFonts w:ascii="Cambria Math" w:eastAsia="Cambria Math" w:hAnsi="Cambria Math" w:cs="Cambria Math"/>
                <w:color w:val="000000"/>
              </w:rPr>
            </m:ctrlPr>
          </m:sSubPr>
          <m:e>
            <m:r>
              <w:rPr>
                <w:rFonts w:ascii="Cambria Math" w:hAnsi="Cambria Math"/>
              </w:rPr>
              <m:t>δ</m:t>
            </m:r>
          </m:e>
          <m:sub>
            <m:r>
              <w:rPr>
                <w:rFonts w:ascii="Cambria Math" w:eastAsia="Cambria Math" w:hAnsi="Cambria Math" w:cs="Cambria Math"/>
                <w:color w:val="000000"/>
              </w:rPr>
              <m:t>s</m:t>
            </m:r>
          </m:sub>
        </m:sSub>
        <m:r>
          <w:rPr>
            <w:rFonts w:ascii="Cambria Math" w:eastAsia="Cambria Math" w:hAnsi="Cambria Math" w:cs="Cambria Math"/>
            <w:color w:val="000000"/>
          </w:rPr>
          <m:t xml:space="preserve"> </m:t>
        </m:r>
      </m:oMath>
      <w:r>
        <w:rPr>
          <w:color w:val="000000"/>
        </w:rPr>
        <w:t xml:space="preserve"> are strata fixed effects.</w:t>
      </w:r>
    </w:p>
    <w:p w14:paraId="00000054" w14:textId="77777777" w:rsidR="00C00A42" w:rsidRDefault="00000000">
      <w:r>
        <w:rPr>
          <w:b/>
          <w:bCs/>
        </w:rPr>
        <w:t>ITT Specification 2:</w:t>
      </w:r>
      <w:r>
        <w:t xml:space="preserve"> ANCOVA specification that conditions on baseline values measures to improve precision.</w:t>
      </w:r>
    </w:p>
    <w:p w14:paraId="00000055" w14:textId="77777777" w:rsidR="00C00A42"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rPr>
              </m:ctrlPr>
            </m:sSubPr>
            <m:e>
              <m:r>
                <w:rPr>
                  <w:rFonts w:ascii="Cambria Math" w:eastAsia="Cambria Math" w:hAnsi="Cambria Math" w:cs="Cambria Math"/>
                  <w:color w:val="000000"/>
                </w:rPr>
                <m:t>Y</m:t>
              </m:r>
            </m:e>
            <m:sub>
              <m:r>
                <w:rPr>
                  <w:rFonts w:ascii="Cambria Math" w:eastAsia="Cambria Math" w:hAnsi="Cambria Math" w:cs="Cambria Math"/>
                  <w:color w:val="000000"/>
                </w:rPr>
                <m:t>i</m:t>
              </m:r>
              <m:r>
                <w:rPr>
                  <w:rFonts w:ascii="Cambria Math" w:eastAsia="Cambria Math" w:hAnsi="Cambria Math" w:cs="Cambria Math"/>
                </w:rPr>
                <m:t>ts</m:t>
              </m:r>
            </m:sub>
          </m:sSub>
          <m:r>
            <w:rPr>
              <w:rFonts w:ascii="Cambria Math" w:eastAsia="Cambria Math" w:hAnsi="Cambria Math" w:cs="Cambria Math"/>
              <w:color w:val="000000"/>
            </w:rPr>
            <m:t xml:space="preserve"> = α+ </m:t>
          </m:r>
          <m:sSub>
            <m:sSubPr>
              <m:ctrlPr>
                <w:rPr>
                  <w:rFonts w:ascii="Cambria Math" w:eastAsia="Cambria Math" w:hAnsi="Cambria Math" w:cs="Cambria Math"/>
                  <w:color w:val="000000"/>
                </w:rPr>
              </m:ctrlPr>
            </m:sSubPr>
            <m:e>
              <m:r>
                <w:rPr>
                  <w:rFonts w:ascii="Cambria Math" w:eastAsia="Cambria Math" w:hAnsi="Cambria Math" w:cs="Cambria Math"/>
                  <w:color w:val="000000"/>
                </w:rPr>
                <m:t>βZ</m:t>
              </m:r>
            </m:e>
            <m:sub>
              <m:r>
                <w:rPr>
                  <w:rFonts w:ascii="Cambria Math" w:eastAsia="Cambria Math" w:hAnsi="Cambria Math" w:cs="Cambria Math"/>
                  <w:color w:val="000000"/>
                </w:rPr>
                <m:t>i</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 γY</m:t>
              </m:r>
            </m:e>
            <m:sub>
              <m:r>
                <w:rPr>
                  <w:rFonts w:ascii="Cambria Math" w:eastAsia="Cambria Math" w:hAnsi="Cambria Math" w:cs="Cambria Math"/>
                  <w:color w:val="000000"/>
                </w:rPr>
                <m:t>i0</m:t>
              </m:r>
            </m:sub>
          </m:sSub>
          <m:r>
            <w:rPr>
              <w:rFonts w:ascii="Cambria Math" w:eastAsia="Cambria Math" w:hAnsi="Cambria Math" w:cs="Cambria Math"/>
              <w:color w:val="000000"/>
            </w:rPr>
            <m:t xml:space="preserve">  </m:t>
          </m:r>
          <m:sSub>
            <m:sSubPr>
              <m:ctrlPr>
                <w:rPr>
                  <w:rFonts w:ascii="Cambria Math" w:eastAsia="Cambria Math" w:hAnsi="Cambria Math" w:cs="Cambria Math"/>
                  <w:color w:val="000000"/>
                </w:rPr>
              </m:ctrlPr>
            </m:sSubPr>
            <m:e>
              <m:r>
                <w:rPr>
                  <w:rFonts w:ascii="Cambria Math" w:eastAsia="Cambria Math" w:hAnsi="Cambria Math" w:cs="Cambria Math"/>
                  <w:color w:val="000000"/>
                </w:rPr>
                <m:t>+ δ</m:t>
              </m:r>
            </m:e>
            <m:sub>
              <m:r>
                <w:rPr>
                  <w:rFonts w:ascii="Cambria Math" w:eastAsia="Cambria Math" w:hAnsi="Cambria Math" w:cs="Cambria Math"/>
                  <w:color w:val="000000"/>
                </w:rPr>
                <m:t>s</m:t>
              </m:r>
            </m:sub>
          </m:sSub>
          <m:r>
            <w:rPr>
              <w:rFonts w:ascii="Cambria Math" w:eastAsia="Cambria Math" w:hAnsi="Cambria Math" w:cs="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ε</m:t>
              </m:r>
            </m:e>
            <m:sub>
              <m:r>
                <w:rPr>
                  <w:rFonts w:ascii="Cambria Math" w:eastAsia="Cambria Math" w:hAnsi="Cambria Math" w:cs="Cambria Math"/>
                  <w:color w:val="000000"/>
                </w:rPr>
                <m:t>its</m:t>
              </m:r>
            </m:sub>
          </m:sSub>
        </m:oMath>
      </m:oMathPara>
    </w:p>
    <w:p w14:paraId="00000056" w14:textId="77777777" w:rsidR="00C00A42" w:rsidRDefault="00000000">
      <w:pPr>
        <w:pBdr>
          <w:top w:val="nil"/>
          <w:left w:val="nil"/>
          <w:bottom w:val="nil"/>
          <w:right w:val="nil"/>
          <w:between w:val="nil"/>
        </w:pBdr>
        <w:rPr>
          <w:color w:val="000000"/>
        </w:rPr>
      </w:pPr>
      <w:r>
        <w:rPr>
          <w:color w:val="000000"/>
        </w:rPr>
        <w:t xml:space="preserve">Where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Y</m:t>
            </m:r>
          </m:e>
          <m:sub>
            <m:r>
              <w:rPr>
                <w:rFonts w:ascii="Cambria Math" w:eastAsia="Cambria Math" w:hAnsi="Cambria Math" w:cs="Cambria Math"/>
                <w:color w:val="000000"/>
              </w:rPr>
              <m:t>i0</m:t>
            </m:r>
          </m:sub>
        </m:sSub>
      </m:oMath>
      <w:r>
        <w:rPr>
          <w:color w:val="000000"/>
        </w:rPr>
        <w:t>is the baseline value of the outcome.</w:t>
      </w:r>
    </w:p>
    <w:p w14:paraId="00000057" w14:textId="77777777" w:rsidR="00C00A42" w:rsidRDefault="00000000">
      <w:pPr>
        <w:pBdr>
          <w:top w:val="nil"/>
          <w:left w:val="nil"/>
          <w:bottom w:val="nil"/>
          <w:right w:val="nil"/>
          <w:between w:val="nil"/>
        </w:pBdr>
        <w:rPr>
          <w:color w:val="000000"/>
        </w:rPr>
      </w:pPr>
      <w:r>
        <w:rPr>
          <w:b/>
          <w:bCs/>
          <w:color w:val="000000"/>
        </w:rPr>
        <w:t>ITT Specification 3:</w:t>
      </w:r>
      <w:r>
        <w:rPr>
          <w:color w:val="000000"/>
        </w:rPr>
        <w:t xml:space="preserve"> ANCOVA with additional baseline covariates (precision enhancement). The model extends Specification 2 by adding a pre-specified vector of baseline covariates </w:t>
      </w:r>
      <m:oMath>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i</m:t>
            </m:r>
          </m:sub>
        </m:sSub>
      </m:oMath>
      <w:r>
        <w:rPr>
          <w:color w:val="000000"/>
        </w:rPr>
        <w:t>:</w:t>
      </w:r>
    </w:p>
    <w:p w14:paraId="00000058" w14:textId="77777777" w:rsidR="00C00A42"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rPr>
              </m:ctrlPr>
            </m:sSubPr>
            <m:e>
              <m:r>
                <w:rPr>
                  <w:rFonts w:ascii="Cambria Math" w:eastAsia="Cambria Math" w:hAnsi="Cambria Math" w:cs="Cambria Math"/>
                  <w:color w:val="000000"/>
                </w:rPr>
                <m:t>Y</m:t>
              </m:r>
            </m:e>
            <m:sub>
              <m:r>
                <w:rPr>
                  <w:rFonts w:ascii="Cambria Math" w:eastAsia="Cambria Math" w:hAnsi="Cambria Math" w:cs="Cambria Math"/>
                  <w:color w:val="000000"/>
                </w:rPr>
                <m:t>i</m:t>
              </m:r>
              <m:r>
                <w:rPr>
                  <w:rFonts w:ascii="Cambria Math" w:eastAsia="Cambria Math" w:hAnsi="Cambria Math" w:cs="Cambria Math"/>
                </w:rPr>
                <m:t>ts</m:t>
              </m:r>
            </m:sub>
          </m:sSub>
          <m:r>
            <w:rPr>
              <w:rFonts w:ascii="Cambria Math" w:eastAsia="Cambria Math" w:hAnsi="Cambria Math" w:cs="Cambria Math"/>
              <w:color w:val="000000"/>
            </w:rPr>
            <m:t xml:space="preserve"> = α+ </m:t>
          </m:r>
          <m:sSub>
            <m:sSubPr>
              <m:ctrlPr>
                <w:rPr>
                  <w:rFonts w:ascii="Cambria Math" w:eastAsia="Cambria Math" w:hAnsi="Cambria Math" w:cs="Cambria Math"/>
                  <w:color w:val="000000"/>
                </w:rPr>
              </m:ctrlPr>
            </m:sSubPr>
            <m:e>
              <m:r>
                <w:rPr>
                  <w:rFonts w:ascii="Cambria Math" w:eastAsia="Cambria Math" w:hAnsi="Cambria Math" w:cs="Cambria Math"/>
                  <w:color w:val="000000"/>
                </w:rPr>
                <m:t>βZ</m:t>
              </m:r>
            </m:e>
            <m:sub>
              <m:r>
                <w:rPr>
                  <w:rFonts w:ascii="Cambria Math" w:eastAsia="Cambria Math" w:hAnsi="Cambria Math" w:cs="Cambria Math"/>
                  <w:color w:val="000000"/>
                </w:rPr>
                <m:t>i</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 γY</m:t>
              </m:r>
            </m:e>
            <m:sub>
              <m:r>
                <w:rPr>
                  <w:rFonts w:ascii="Cambria Math" w:eastAsia="Cambria Math" w:hAnsi="Cambria Math" w:cs="Cambria Math"/>
                  <w:color w:val="000000"/>
                </w:rPr>
                <m:t>i,0</m:t>
              </m:r>
            </m:sub>
          </m:sSub>
          <m:r>
            <w:rPr>
              <w:rFonts w:ascii="Cambria Math" w:eastAsia="Cambria Math" w:hAnsi="Cambria Math" w:cs="Cambria Math"/>
              <w:color w:val="000000"/>
            </w:rPr>
            <m:t xml:space="preserve">  </m:t>
          </m:r>
          <m:r>
            <w:rPr>
              <w:rFonts w:ascii="Cambria Math" w:eastAsia="Cambria Math" w:hAnsi="Cambria Math" w:cs="Cambria Math"/>
            </w:rPr>
            <m:t>+λ</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i</m:t>
              </m:r>
            </m:sub>
          </m:sSub>
          <m:sSub>
            <m:sSubPr>
              <m:ctrlPr>
                <w:rPr>
                  <w:rFonts w:ascii="Cambria Math" w:eastAsia="Cambria Math" w:hAnsi="Cambria Math" w:cs="Cambria Math"/>
                </w:rPr>
              </m:ctrlPr>
            </m:sSubPr>
            <m:e>
              <m:r>
                <w:rPr>
                  <w:rFonts w:ascii="Cambria Math" w:eastAsia="Cambria Math" w:hAnsi="Cambria Math" w:cs="Cambria Math"/>
                </w:rPr>
                <m:t>+ δ</m:t>
              </m:r>
            </m:e>
            <m:sub>
              <m:r>
                <w:rPr>
                  <w:rFonts w:ascii="Cambria Math" w:eastAsia="Cambria Math" w:hAnsi="Cambria Math" w:cs="Cambria Math"/>
                </w:rPr>
                <m:t>s</m:t>
              </m:r>
            </m:sub>
          </m:sSub>
          <m:r>
            <w:rPr>
              <w:rFonts w:ascii="Cambria Math" w:eastAsia="Cambria Math" w:hAnsi="Cambria Math" w:cs="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ε</m:t>
              </m:r>
            </m:e>
            <m:sub>
              <m:r>
                <w:rPr>
                  <w:rFonts w:ascii="Cambria Math" w:eastAsia="Cambria Math" w:hAnsi="Cambria Math" w:cs="Cambria Math"/>
                  <w:color w:val="000000"/>
                </w:rPr>
                <m:t>its</m:t>
              </m:r>
            </m:sub>
          </m:sSub>
        </m:oMath>
      </m:oMathPara>
    </w:p>
    <w:p w14:paraId="00000059" w14:textId="77777777" w:rsidR="00C00A42" w:rsidRDefault="00C00A42">
      <w:pPr>
        <w:pBdr>
          <w:top w:val="nil"/>
          <w:left w:val="nil"/>
          <w:bottom w:val="nil"/>
          <w:right w:val="nil"/>
          <w:between w:val="nil"/>
        </w:pBdr>
        <w:rPr>
          <w:color w:val="000000"/>
        </w:rPr>
      </w:pPr>
    </w:p>
    <w:p w14:paraId="0000005A" w14:textId="77777777" w:rsidR="00C00A42" w:rsidRDefault="00000000">
      <w:pPr>
        <w:pStyle w:val="Heading3"/>
      </w:pPr>
      <w:r>
        <w:rPr>
          <w:b/>
          <w:bCs/>
        </w:rPr>
        <w:t>Treatment-on-the-Treated (TOT) Analysis</w:t>
      </w:r>
    </w:p>
    <w:p w14:paraId="0000005B" w14:textId="77777777" w:rsidR="00C00A42" w:rsidRDefault="00000000">
      <w:pPr>
        <w:spacing w:before="280" w:after="280" w:line="240" w:lineRule="auto"/>
      </w:pPr>
      <w:r>
        <w:t xml:space="preserve">Because noncompliance occurs on both sides of the assignment, we estimate treatment-on-the-treated (TOT) effects using random assignment to </w:t>
      </w:r>
      <w:proofErr w:type="spellStart"/>
      <w:r>
        <w:t>Programa</w:t>
      </w:r>
      <w:proofErr w:type="spellEnd"/>
      <w:r>
        <w:t xml:space="preserve"> </w:t>
      </w:r>
      <w:proofErr w:type="spellStart"/>
      <w:r>
        <w:t>Habitabilidad</w:t>
      </w:r>
      <w:proofErr w:type="spellEnd"/>
      <w:r>
        <w:t xml:space="preserve"> as an instrument for actual program receipt.</w:t>
      </w:r>
    </w:p>
    <w:p w14:paraId="0000005C" w14:textId="77777777" w:rsidR="00C00A42" w:rsidRDefault="00000000">
      <w:pPr>
        <w:spacing w:before="280" w:after="280" w:line="240" w:lineRule="auto"/>
      </w:pPr>
      <w:r>
        <w:t xml:space="preserve">Noncompliance arises for several reasons. Some households assigned to treatment did not ultimately receive the intervention, either because they declined participation or due to implementation constraints during the COVID-19 pandemic, including operational </w:t>
      </w:r>
      <w:r>
        <w:lastRenderedPageBreak/>
        <w:t>disruptions and increases in construction costs. In addition, a limited number of households assigned to control were incorporated into the program through local administrative decisions. These deviations from assignment generate two-sided noncompliance.</w:t>
      </w:r>
    </w:p>
    <w:p w14:paraId="0000005D" w14:textId="77777777" w:rsidR="00C00A42" w:rsidRDefault="00000000">
      <w:pPr>
        <w:spacing w:before="280" w:after="280" w:line="240" w:lineRule="auto"/>
      </w:pPr>
      <w:r>
        <w:t>To account for this, we use assignment as an instrument for treatment receipt and estimate causal effects using standard instrumental variables methods. The resulting TOT estimates identify the local average treatment effect (LATE) for compliers under the standard IV assumptions.</w:t>
      </w:r>
    </w:p>
    <w:p w14:paraId="0000005E" w14:textId="77777777" w:rsidR="00C00A42" w:rsidRDefault="00000000">
      <w:pPr>
        <w:pBdr>
          <w:top w:val="nil"/>
          <w:left w:val="nil"/>
          <w:bottom w:val="nil"/>
          <w:right w:val="nil"/>
          <w:between w:val="nil"/>
        </w:pBdr>
        <w:rPr>
          <w:color w:val="000000"/>
        </w:rPr>
      </w:pPr>
      <w:r>
        <w:rPr>
          <w:b/>
          <w:bCs/>
          <w:color w:val="000000"/>
        </w:rPr>
        <w:t>TOT Specification 1</w:t>
      </w:r>
      <w:r>
        <w:rPr>
          <w:color w:val="000000"/>
        </w:rPr>
        <w:t>: IV endline/post model (primary TOT). First stage:</w:t>
      </w:r>
    </w:p>
    <w:p w14:paraId="0000005F" w14:textId="77777777" w:rsidR="00C00A42" w:rsidRDefault="00000000">
      <w:pPr>
        <w:rPr>
          <w:color w:val="000000"/>
        </w:rPr>
      </w:pPr>
      <w:r>
        <w:rPr>
          <w:color w:val="000000"/>
        </w:rPr>
        <w:t xml:space="preserve">First stage: </w:t>
      </w:r>
    </w:p>
    <w:p w14:paraId="00000060" w14:textId="77777777" w:rsidR="00C00A42" w:rsidRDefault="00000000">
      <w:pPr>
        <w:ind w:left="2880"/>
        <w:rPr>
          <w:rFonts w:ascii="Cambria Math" w:eastAsia="Cambria Math" w:hAnsi="Cambria Math" w:cs="Cambria Math"/>
          <w:color w:val="000000"/>
        </w:rPr>
      </w:pPr>
      <w:r>
        <w:rPr>
          <w:color w:val="000000"/>
        </w:rPr>
        <w:br/>
      </w: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T</m:t>
              </m:r>
            </m:e>
            <m:sub>
              <m:r>
                <w:rPr>
                  <w:rFonts w:ascii="Cambria Math" w:eastAsia="Cambria Math" w:hAnsi="Cambria Math" w:cs="Cambria Math"/>
                  <w:color w:val="000000"/>
                </w:rPr>
                <m:t>is</m:t>
              </m:r>
            </m:sub>
          </m:sSub>
          <m:r>
            <w:rPr>
              <w:rFonts w:ascii="Cambria Math" w:eastAsia="Cambria Math" w:hAnsi="Cambria Math" w:cs="Cambria Math"/>
              <w:color w:val="000000"/>
            </w:rPr>
            <m:t xml:space="preserve">= κ+ </m:t>
          </m:r>
          <m:sSub>
            <m:sSubPr>
              <m:ctrlPr>
                <w:rPr>
                  <w:rFonts w:ascii="Cambria Math" w:eastAsia="Cambria Math" w:hAnsi="Cambria Math" w:cs="Cambria Math"/>
                  <w:color w:val="000000"/>
                </w:rPr>
              </m:ctrlPr>
            </m:sSubPr>
            <m:e>
              <m:r>
                <w:rPr>
                  <w:rFonts w:ascii="Cambria Math" w:eastAsia="Cambria Math" w:hAnsi="Cambria Math" w:cs="Cambria Math"/>
                  <w:color w:val="000000"/>
                </w:rPr>
                <m:t>κ</m:t>
              </m:r>
            </m:e>
            <m:sub>
              <m:r>
                <w:rPr>
                  <w:rFonts w:ascii="Cambria Math" w:eastAsia="Cambria Math" w:hAnsi="Cambria Math" w:cs="Cambria Math"/>
                  <w:color w:val="000000"/>
                </w:rPr>
                <m:t>1</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Z</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sSub>
            <m:sSubPr>
              <m:ctrlPr>
                <w:rPr>
                  <w:rFonts w:ascii="Cambria Math" w:eastAsia="Cambria Math" w:hAnsi="Cambria Math" w:cs="Cambria Math"/>
                  <w:color w:val="000000"/>
                </w:rPr>
              </m:ctrlPr>
            </m:sSubPr>
            <m:e>
              <m:r>
                <w:rPr>
                  <w:rFonts w:ascii="Cambria Math" w:eastAsia="Cambria Math" w:hAnsi="Cambria Math" w:cs="Cambria Math"/>
                  <w:color w:val="000000"/>
                </w:rPr>
                <m:t>δ</m:t>
              </m:r>
            </m:e>
            <m:sub>
              <m:r>
                <w:rPr>
                  <w:rFonts w:ascii="Cambria Math" w:eastAsia="Cambria Math" w:hAnsi="Cambria Math" w:cs="Cambria Math"/>
                  <w:color w:val="000000"/>
                </w:rPr>
                <m:t>s</m:t>
              </m:r>
            </m:sub>
          </m:sSub>
          <m:r>
            <w:rPr>
              <w:rFonts w:ascii="Cambria Math" w:eastAsia="Cambria Math" w:hAnsi="Cambria Math" w:cs="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μ</m:t>
              </m:r>
            </m:e>
            <m:sub>
              <m:r>
                <w:rPr>
                  <w:rFonts w:ascii="Cambria Math" w:eastAsia="Cambria Math" w:hAnsi="Cambria Math" w:cs="Cambria Math"/>
                  <w:color w:val="000000"/>
                </w:rPr>
                <m:t>is</m:t>
              </m:r>
            </m:sub>
          </m:sSub>
        </m:oMath>
      </m:oMathPara>
    </w:p>
    <w:p w14:paraId="00000061" w14:textId="77777777" w:rsidR="00C00A42" w:rsidRDefault="00000000">
      <w:pPr>
        <w:pBdr>
          <w:top w:val="nil"/>
          <w:left w:val="nil"/>
          <w:bottom w:val="nil"/>
          <w:right w:val="nil"/>
          <w:between w:val="nil"/>
        </w:pBdr>
        <w:rPr>
          <w:color w:val="000000"/>
        </w:rPr>
      </w:pPr>
      <w:r>
        <w:rPr>
          <w:color w:val="000000"/>
        </w:rPr>
        <w:t>Second stage:</w:t>
      </w:r>
    </w:p>
    <w:p w14:paraId="00000062" w14:textId="77777777" w:rsidR="00C00A42"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Y</m:t>
              </m:r>
            </m:e>
            <m:sub>
              <m:r>
                <w:rPr>
                  <w:rFonts w:ascii="Cambria Math" w:eastAsia="Cambria Math" w:hAnsi="Cambria Math" w:cs="Cambria Math"/>
                  <w:color w:val="000000"/>
                </w:rPr>
                <m:t>its</m:t>
              </m:r>
            </m:sub>
          </m:sSub>
          <m:r>
            <w:rPr>
              <w:rFonts w:ascii="Cambria Math" w:eastAsia="Cambria Math" w:hAnsi="Cambria Math" w:cs="Cambria Math"/>
              <w:color w:val="000000"/>
            </w:rPr>
            <m:t xml:space="preserve">= α+ </m:t>
          </m:r>
          <m:sSub>
            <m:sSubPr>
              <m:ctrlPr>
                <w:rPr>
                  <w:rFonts w:ascii="Cambria Math" w:eastAsia="Cambria Math" w:hAnsi="Cambria Math" w:cs="Cambria Math"/>
                  <w:color w:val="000000"/>
                </w:rPr>
              </m:ctrlPr>
            </m:sSubPr>
            <m:e>
              <m:r>
                <w:rPr>
                  <w:rFonts w:ascii="Cambria Math" w:eastAsia="Cambria Math" w:hAnsi="Cambria Math" w:cs="Cambria Math"/>
                  <w:color w:val="000000"/>
                </w:rPr>
                <m:t>τ</m:t>
              </m:r>
              <m:acc>
                <m:accPr>
                  <m:ctrlPr>
                    <w:rPr>
                      <w:rFonts w:ascii="Cambria Math" w:eastAsia="Cambria Math" w:hAnsi="Cambria Math" w:cs="Cambria Math"/>
                      <w:color w:val="000000"/>
                    </w:rPr>
                  </m:ctrlPr>
                </m:accPr>
                <m:e>
                  <m:r>
                    <w:rPr>
                      <w:rFonts w:ascii="Cambria Math" w:eastAsia="Cambria Math" w:hAnsi="Cambria Math" w:cs="Cambria Math"/>
                      <w:color w:val="000000"/>
                    </w:rPr>
                    <m:t>T</m:t>
                  </m:r>
                </m:e>
              </m:acc>
            </m:e>
            <m:sub>
              <m:r>
                <w:rPr>
                  <w:rFonts w:ascii="Cambria Math" w:eastAsia="Cambria Math" w:hAnsi="Cambria Math" w:cs="Cambria Math"/>
                  <w:color w:val="000000"/>
                </w:rPr>
                <m:t xml:space="preserve">i </m:t>
              </m:r>
            </m:sub>
          </m:sSub>
          <m:r>
            <w:rPr>
              <w:rFonts w:ascii="Cambria Math" w:eastAsia="Cambria Math" w:hAnsi="Cambria Math" w:cs="Cambria Math"/>
              <w:color w:val="000000"/>
            </w:rPr>
            <m:t xml:space="preserve">+ </m:t>
          </m:r>
          <m:sSub>
            <m:sSubPr>
              <m:ctrlPr>
                <w:rPr>
                  <w:rFonts w:ascii="Cambria Math" w:eastAsia="Cambria Math" w:hAnsi="Cambria Math" w:cs="Cambria Math"/>
                  <w:color w:val="000000"/>
                </w:rPr>
              </m:ctrlPr>
            </m:sSubPr>
            <m:e>
              <m:r>
                <w:rPr>
                  <w:rFonts w:ascii="Cambria Math" w:eastAsia="Cambria Math" w:hAnsi="Cambria Math" w:cs="Cambria Math"/>
                  <w:color w:val="000000"/>
                </w:rPr>
                <m:t>δ</m:t>
              </m:r>
            </m:e>
            <m:sub>
              <m:r>
                <w:rPr>
                  <w:rFonts w:ascii="Cambria Math" w:eastAsia="Cambria Math" w:hAnsi="Cambria Math" w:cs="Cambria Math"/>
                  <w:color w:val="000000"/>
                </w:rPr>
                <m:t xml:space="preserve">s </m:t>
              </m:r>
            </m:sub>
          </m:sSub>
          <m:r>
            <w:rPr>
              <w:rFonts w:ascii="Cambria Math" w:eastAsia="Cambria Math" w:hAnsi="Cambria Math" w:cs="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ε</m:t>
              </m:r>
            </m:e>
            <m:sub>
              <m:r>
                <w:rPr>
                  <w:rFonts w:ascii="Cambria Math" w:eastAsia="Cambria Math" w:hAnsi="Cambria Math" w:cs="Cambria Math"/>
                  <w:color w:val="000000"/>
                </w:rPr>
                <m:t>its</m:t>
              </m:r>
            </m:sub>
          </m:sSub>
        </m:oMath>
      </m:oMathPara>
    </w:p>
    <w:p w14:paraId="00000063" w14:textId="77777777" w:rsidR="00C00A42" w:rsidRDefault="00C00A42">
      <w:pPr>
        <w:pBdr>
          <w:top w:val="nil"/>
          <w:left w:val="nil"/>
          <w:bottom w:val="nil"/>
          <w:right w:val="nil"/>
          <w:between w:val="nil"/>
        </w:pBdr>
        <w:rPr>
          <w:color w:val="000000"/>
        </w:rPr>
      </w:pPr>
    </w:p>
    <w:p w14:paraId="00000064" w14:textId="77777777" w:rsidR="00C00A42" w:rsidRDefault="00000000">
      <w:pPr>
        <w:pBdr>
          <w:top w:val="nil"/>
          <w:left w:val="nil"/>
          <w:bottom w:val="nil"/>
          <w:right w:val="nil"/>
          <w:between w:val="nil"/>
        </w:pBdr>
        <w:rPr>
          <w:color w:val="000000"/>
        </w:rPr>
      </w:pPr>
      <w:r>
        <w:rPr>
          <w:color w:val="000000"/>
        </w:rPr>
        <w:t>where τ denotes the treatment-on-the-treated parameter.</w:t>
      </w:r>
    </w:p>
    <w:p w14:paraId="00000065" w14:textId="77777777" w:rsidR="00C00A42" w:rsidRDefault="00000000">
      <w:pPr>
        <w:pBdr>
          <w:top w:val="nil"/>
          <w:left w:val="nil"/>
          <w:bottom w:val="nil"/>
          <w:right w:val="nil"/>
          <w:between w:val="nil"/>
        </w:pBdr>
        <w:rPr>
          <w:color w:val="000000"/>
        </w:rPr>
      </w:pPr>
      <w:r>
        <w:rPr>
          <w:b/>
          <w:bCs/>
          <w:color w:val="000000"/>
        </w:rPr>
        <w:t>TOT Specification 2:</w:t>
      </w:r>
      <w:r>
        <w:rPr>
          <w:color w:val="000000"/>
        </w:rPr>
        <w:t xml:space="preserve"> IV-ANCOVA (preferred when baseline is available). For outcomes with baseline measures:</w:t>
      </w:r>
    </w:p>
    <w:p w14:paraId="00000066" w14:textId="77777777" w:rsidR="00C00A42" w:rsidRDefault="00000000">
      <w:pPr>
        <w:pBdr>
          <w:top w:val="nil"/>
          <w:left w:val="nil"/>
          <w:bottom w:val="nil"/>
          <w:right w:val="nil"/>
          <w:between w:val="nil"/>
        </w:pBdr>
        <w:rPr>
          <w:color w:val="000000"/>
        </w:rPr>
      </w:pPr>
      <w:r>
        <w:rPr>
          <w:color w:val="000000"/>
        </w:rPr>
        <w:t>Second stage:</w:t>
      </w:r>
    </w:p>
    <w:p w14:paraId="00000067" w14:textId="77777777" w:rsidR="00C00A42"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Y</m:t>
              </m:r>
            </m:e>
            <m:sub>
              <m:r>
                <w:rPr>
                  <w:rFonts w:ascii="Cambria Math" w:eastAsia="Cambria Math" w:hAnsi="Cambria Math" w:cs="Cambria Math"/>
                  <w:color w:val="000000"/>
                </w:rPr>
                <m:t>its</m:t>
              </m:r>
            </m:sub>
          </m:sSub>
          <m:r>
            <w:rPr>
              <w:rFonts w:ascii="Cambria Math" w:eastAsia="Cambria Math" w:hAnsi="Cambria Math" w:cs="Cambria Math"/>
              <w:color w:val="000000"/>
            </w:rPr>
            <m:t xml:space="preserve">= α+ </m:t>
          </m:r>
          <m:sSub>
            <m:sSubPr>
              <m:ctrlPr>
                <w:rPr>
                  <w:rFonts w:ascii="Cambria Math" w:eastAsia="Cambria Math" w:hAnsi="Cambria Math" w:cs="Cambria Math"/>
                  <w:color w:val="000000"/>
                </w:rPr>
              </m:ctrlPr>
            </m:sSubPr>
            <m:e>
              <m:r>
                <w:rPr>
                  <w:rFonts w:ascii="Cambria Math" w:eastAsia="Cambria Math" w:hAnsi="Cambria Math" w:cs="Cambria Math"/>
                  <w:color w:val="000000"/>
                </w:rPr>
                <m:t>τ</m:t>
              </m:r>
              <m:acc>
                <m:accPr>
                  <m:ctrlPr>
                    <w:rPr>
                      <w:rFonts w:ascii="Cambria Math" w:eastAsia="Cambria Math" w:hAnsi="Cambria Math" w:cs="Cambria Math"/>
                      <w:color w:val="000000"/>
                    </w:rPr>
                  </m:ctrlPr>
                </m:accPr>
                <m:e>
                  <m:r>
                    <w:rPr>
                      <w:rFonts w:ascii="Cambria Math" w:eastAsia="Cambria Math" w:hAnsi="Cambria Math" w:cs="Cambria Math"/>
                      <w:color w:val="000000"/>
                    </w:rPr>
                    <m:t>T</m:t>
                  </m:r>
                </m:e>
              </m:acc>
            </m:e>
            <m:sub>
              <m:r>
                <w:rPr>
                  <w:rFonts w:ascii="Cambria Math" w:eastAsia="Cambria Math" w:hAnsi="Cambria Math" w:cs="Cambria Math"/>
                  <w:color w:val="000000"/>
                </w:rPr>
                <m:t xml:space="preserve">i </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+γ Y</m:t>
              </m:r>
            </m:e>
            <m:sub>
              <m:r>
                <w:rPr>
                  <w:rFonts w:ascii="Cambria Math" w:eastAsia="Cambria Math" w:hAnsi="Cambria Math" w:cs="Cambria Math"/>
                  <w:color w:val="000000"/>
                </w:rPr>
                <m:t>i0</m:t>
              </m:r>
            </m:sub>
          </m:sSub>
          <m:r>
            <w:rPr>
              <w:rFonts w:ascii="Cambria Math" w:eastAsia="Cambria Math" w:hAnsi="Cambria Math" w:cs="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δ</m:t>
              </m:r>
            </m:e>
            <m:sub>
              <m:r>
                <w:rPr>
                  <w:rFonts w:ascii="Cambria Math" w:eastAsia="Cambria Math" w:hAnsi="Cambria Math" w:cs="Cambria Math"/>
                  <w:color w:val="000000"/>
                </w:rPr>
                <m:t xml:space="preserve">s </m:t>
              </m:r>
            </m:sub>
          </m:sSub>
          <m:r>
            <w:rPr>
              <w:rFonts w:ascii="Cambria Math" w:eastAsia="Cambria Math" w:hAnsi="Cambria Math" w:cs="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ε</m:t>
              </m:r>
            </m:e>
            <m:sub>
              <m:r>
                <w:rPr>
                  <w:rFonts w:ascii="Cambria Math" w:eastAsia="Cambria Math" w:hAnsi="Cambria Math" w:cs="Cambria Math"/>
                  <w:color w:val="000000"/>
                </w:rPr>
                <m:t>its</m:t>
              </m:r>
            </m:sub>
          </m:sSub>
        </m:oMath>
      </m:oMathPara>
    </w:p>
    <w:p w14:paraId="00000068" w14:textId="77777777" w:rsidR="00C00A42" w:rsidRDefault="00000000">
      <w:pPr>
        <w:pBdr>
          <w:top w:val="nil"/>
          <w:left w:val="nil"/>
          <w:bottom w:val="nil"/>
          <w:right w:val="nil"/>
          <w:between w:val="nil"/>
        </w:pBdr>
        <w:rPr>
          <w:color w:val="000000"/>
        </w:rPr>
      </w:pPr>
      <w:r>
        <w:rPr>
          <w:b/>
          <w:bCs/>
          <w:color w:val="000000"/>
        </w:rPr>
        <w:t>TOT Specification 3</w:t>
      </w:r>
      <w:r>
        <w:rPr>
          <w:color w:val="000000"/>
        </w:rPr>
        <w:t>: IV-ANCOVA with additional baseline covariates (robustness):</w:t>
      </w:r>
    </w:p>
    <w:p w14:paraId="00000069" w14:textId="77777777" w:rsidR="00C00A42" w:rsidRDefault="00000000">
      <w:pPr>
        <w:pBdr>
          <w:top w:val="nil"/>
          <w:left w:val="nil"/>
          <w:bottom w:val="nil"/>
          <w:right w:val="nil"/>
          <w:between w:val="nil"/>
        </w:pBdr>
        <w:rPr>
          <w:color w:val="000000"/>
        </w:rPr>
      </w:pPr>
      <w:r>
        <w:rPr>
          <w:color w:val="000000"/>
        </w:rPr>
        <w:t>Second stage:</w:t>
      </w:r>
    </w:p>
    <w:p w14:paraId="0000006A" w14:textId="77777777" w:rsidR="00C00A42"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Y</m:t>
              </m:r>
            </m:e>
            <m:sub>
              <m:r>
                <w:rPr>
                  <w:rFonts w:ascii="Cambria Math" w:eastAsia="Cambria Math" w:hAnsi="Cambria Math" w:cs="Cambria Math"/>
                  <w:color w:val="000000"/>
                </w:rPr>
                <m:t>its</m:t>
              </m:r>
            </m:sub>
          </m:sSub>
          <m:r>
            <w:rPr>
              <w:rFonts w:ascii="Cambria Math" w:eastAsia="Cambria Math" w:hAnsi="Cambria Math" w:cs="Cambria Math"/>
              <w:color w:val="000000"/>
            </w:rPr>
            <m:t xml:space="preserve">= α+ </m:t>
          </m:r>
          <m:sSub>
            <m:sSubPr>
              <m:ctrlPr>
                <w:rPr>
                  <w:rFonts w:ascii="Cambria Math" w:eastAsia="Cambria Math" w:hAnsi="Cambria Math" w:cs="Cambria Math"/>
                  <w:color w:val="000000"/>
                </w:rPr>
              </m:ctrlPr>
            </m:sSubPr>
            <m:e>
              <m:r>
                <w:rPr>
                  <w:rFonts w:ascii="Cambria Math" w:eastAsia="Cambria Math" w:hAnsi="Cambria Math" w:cs="Cambria Math"/>
                  <w:color w:val="000000"/>
                </w:rPr>
                <m:t>τ</m:t>
              </m:r>
              <m:acc>
                <m:accPr>
                  <m:ctrlPr>
                    <w:rPr>
                      <w:rFonts w:ascii="Cambria Math" w:eastAsia="Cambria Math" w:hAnsi="Cambria Math" w:cs="Cambria Math"/>
                      <w:color w:val="000000"/>
                    </w:rPr>
                  </m:ctrlPr>
                </m:accPr>
                <m:e>
                  <m:r>
                    <w:rPr>
                      <w:rFonts w:ascii="Cambria Math" w:eastAsia="Cambria Math" w:hAnsi="Cambria Math" w:cs="Cambria Math"/>
                      <w:color w:val="000000"/>
                    </w:rPr>
                    <m:t>T</m:t>
                  </m:r>
                </m:e>
              </m:acc>
            </m:e>
            <m:sub>
              <m:r>
                <w:rPr>
                  <w:rFonts w:ascii="Cambria Math" w:eastAsia="Cambria Math" w:hAnsi="Cambria Math" w:cs="Cambria Math"/>
                  <w:color w:val="000000"/>
                </w:rPr>
                <m:t xml:space="preserve">i </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 γY</m:t>
              </m:r>
            </m:e>
            <m:sub>
              <m:r>
                <w:rPr>
                  <w:rFonts w:ascii="Cambria Math" w:eastAsia="Cambria Math" w:hAnsi="Cambria Math" w:cs="Cambria Math"/>
                  <w:color w:val="000000"/>
                </w:rPr>
                <m:t>i0</m:t>
              </m:r>
            </m:sub>
          </m:sSub>
          <m:r>
            <w:rPr>
              <w:rFonts w:ascii="Cambria Math" w:eastAsia="Cambria Math" w:hAnsi="Cambria Math" w:cs="Cambria Math"/>
              <w:color w:val="000000"/>
            </w:rPr>
            <m:t xml:space="preserve"> +</m:t>
          </m:r>
          <m:sSub>
            <m:sSubPr>
              <m:ctrlPr>
                <w:rPr>
                  <w:rFonts w:ascii="Cambria Math" w:eastAsia="Cambria Math" w:hAnsi="Cambria Math" w:cs="Cambria Math"/>
                  <w:color w:val="000000"/>
                </w:rPr>
              </m:ctrlPr>
            </m:sSubPr>
            <m:e>
              <m:r>
                <w:rPr>
                  <w:rFonts w:ascii="Cambria Math" w:eastAsia="Cambria Math" w:hAnsi="Cambria Math" w:cs="Cambria Math"/>
                  <w:color w:val="000000"/>
                </w:rPr>
                <m:t>λX</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sSub>
            <m:sSubPr>
              <m:ctrlPr>
                <w:rPr>
                  <w:rFonts w:ascii="Cambria Math" w:eastAsia="Cambria Math" w:hAnsi="Cambria Math" w:cs="Cambria Math"/>
                  <w:color w:val="000000"/>
                </w:rPr>
              </m:ctrlPr>
            </m:sSubPr>
            <m:e>
              <m:r>
                <w:rPr>
                  <w:rFonts w:ascii="Cambria Math" w:eastAsia="Cambria Math" w:hAnsi="Cambria Math" w:cs="Cambria Math"/>
                  <w:color w:val="000000"/>
                </w:rPr>
                <m:t>δ</m:t>
              </m:r>
            </m:e>
            <m:sub>
              <m:r>
                <w:rPr>
                  <w:rFonts w:ascii="Cambria Math" w:eastAsia="Cambria Math" w:hAnsi="Cambria Math" w:cs="Cambria Math"/>
                  <w:color w:val="000000"/>
                </w:rPr>
                <m:t xml:space="preserve">s </m:t>
              </m:r>
            </m:sub>
          </m:sSub>
          <m:r>
            <w:rPr>
              <w:rFonts w:ascii="Cambria Math" w:eastAsia="Cambria Math" w:hAnsi="Cambria Math" w:cs="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ε</m:t>
              </m:r>
            </m:e>
            <m:sub>
              <m:r>
                <w:rPr>
                  <w:rFonts w:ascii="Cambria Math" w:eastAsia="Cambria Math" w:hAnsi="Cambria Math" w:cs="Cambria Math"/>
                  <w:color w:val="000000"/>
                </w:rPr>
                <m:t>its</m:t>
              </m:r>
            </m:sub>
          </m:sSub>
        </m:oMath>
      </m:oMathPara>
    </w:p>
    <w:p w14:paraId="0000006B" w14:textId="77777777" w:rsidR="00C00A42" w:rsidRDefault="00000000">
      <w:pPr>
        <w:pBdr>
          <w:top w:val="nil"/>
          <w:left w:val="nil"/>
          <w:bottom w:val="nil"/>
          <w:right w:val="nil"/>
          <w:between w:val="nil"/>
        </w:pBdr>
        <w:rPr>
          <w:color w:val="000000"/>
        </w:rPr>
      </w:pPr>
      <w:r>
        <w:rPr>
          <w:b/>
          <w:bCs/>
          <w:color w:val="000000"/>
        </w:rPr>
        <w:t>Reporting and Interpretation</w:t>
      </w:r>
    </w:p>
    <w:p w14:paraId="0000006C" w14:textId="77777777" w:rsidR="00C00A42" w:rsidRDefault="00000000">
      <w:pPr>
        <w:pBdr>
          <w:top w:val="nil"/>
          <w:left w:val="nil"/>
          <w:bottom w:val="nil"/>
          <w:right w:val="nil"/>
          <w:between w:val="nil"/>
        </w:pBdr>
        <w:rPr>
          <w:color w:val="000000"/>
        </w:rPr>
      </w:pPr>
      <w:r>
        <w:rPr>
          <w:color w:val="000000"/>
        </w:rPr>
        <w:t xml:space="preserve">Results will be reported for ITT as the primary </w:t>
      </w:r>
      <w:proofErr w:type="spellStart"/>
      <w:r>
        <w:rPr>
          <w:color w:val="000000"/>
        </w:rPr>
        <w:t>estimand</w:t>
      </w:r>
      <w:proofErr w:type="spellEnd"/>
      <w:r>
        <w:rPr>
          <w:color w:val="000000"/>
        </w:rPr>
        <w:t xml:space="preserve"> and for TOT as a secondary </w:t>
      </w:r>
      <w:proofErr w:type="spellStart"/>
      <w:r>
        <w:rPr>
          <w:color w:val="000000"/>
        </w:rPr>
        <w:t>estimand</w:t>
      </w:r>
      <w:proofErr w:type="spellEnd"/>
      <w:r>
        <w:rPr>
          <w:color w:val="000000"/>
        </w:rPr>
        <w:t>. The TOT interpretation will be made explicit as a local average treatment effect for compliers under standard IV assumptions. The evaluation will report the first-stage strength and compliance rates.</w:t>
      </w:r>
    </w:p>
    <w:p w14:paraId="0000006D" w14:textId="77777777" w:rsidR="00C00A42" w:rsidRDefault="00000000">
      <w:pPr>
        <w:pStyle w:val="Heading2"/>
      </w:pPr>
      <w:r>
        <w:rPr>
          <w:b/>
          <w:bCs/>
        </w:rPr>
        <w:t>Heterogeneity Analyses</w:t>
      </w:r>
    </w:p>
    <w:p w14:paraId="0000006E" w14:textId="0A53F161" w:rsidR="00C00A42" w:rsidRDefault="00000000">
      <w:pPr>
        <w:pBdr>
          <w:top w:val="nil"/>
          <w:left w:val="nil"/>
          <w:bottom w:val="nil"/>
          <w:right w:val="nil"/>
          <w:between w:val="nil"/>
        </w:pBdr>
        <w:rPr>
          <w:b/>
          <w:bCs/>
          <w:color w:val="000000"/>
        </w:rPr>
      </w:pPr>
      <w:sdt>
        <w:sdtPr>
          <w:tag w:val="goog_rdk_1"/>
          <w:id w:val="-1188149463"/>
        </w:sdtPr>
        <w:sdtContent/>
      </w:sdt>
      <w:r>
        <w:rPr>
          <w:color w:val="000000"/>
        </w:rPr>
        <w:t xml:space="preserve">We conduct heterogeneity analyses along </w:t>
      </w:r>
      <w:r>
        <w:t>two</w:t>
      </w:r>
      <w:r>
        <w:rPr>
          <w:color w:val="000000"/>
        </w:rPr>
        <w:t xml:space="preserve"> dimensions: (</w:t>
      </w:r>
      <w:proofErr w:type="spellStart"/>
      <w:r>
        <w:rPr>
          <w:color w:val="000000"/>
        </w:rPr>
        <w:t>i</w:t>
      </w:r>
      <w:proofErr w:type="spellEnd"/>
      <w:r>
        <w:rPr>
          <w:color w:val="000000"/>
        </w:rPr>
        <w:t xml:space="preserve">) pre-specified subgroup analyses </w:t>
      </w:r>
      <w:r w:rsidR="00474D07">
        <w:rPr>
          <w:color w:val="000000"/>
        </w:rPr>
        <w:t>based on theory</w:t>
      </w:r>
      <w:r>
        <w:rPr>
          <w:color w:val="000000"/>
        </w:rPr>
        <w:t>, (ii) data-driven heterogeneity using machine learning methods</w:t>
      </w:r>
      <w:r>
        <w:t>.</w:t>
      </w:r>
    </w:p>
    <w:p w14:paraId="0000006F" w14:textId="73600FE9" w:rsidR="00C00A42" w:rsidRDefault="00000000">
      <w:pPr>
        <w:pBdr>
          <w:top w:val="nil"/>
          <w:left w:val="nil"/>
          <w:bottom w:val="nil"/>
          <w:right w:val="nil"/>
          <w:between w:val="nil"/>
        </w:pBdr>
        <w:rPr>
          <w:color w:val="000000"/>
        </w:rPr>
      </w:pPr>
      <w:r>
        <w:rPr>
          <w:b/>
          <w:bCs/>
          <w:color w:val="000000"/>
        </w:rPr>
        <w:t>Pre-specified heterogeneity.</w:t>
      </w:r>
      <w:r>
        <w:rPr>
          <w:color w:val="000000"/>
        </w:rPr>
        <w:t xml:space="preserve"> We estimate heterogeneous ITT and TOT effects along dimensions consistent with the stratified randomization design. Specifically, we report </w:t>
      </w:r>
      <w:r>
        <w:rPr>
          <w:color w:val="000000"/>
        </w:rPr>
        <w:lastRenderedPageBreak/>
        <w:t>subgroup-specific effects by</w:t>
      </w:r>
      <w:r w:rsidR="00CC6E9F">
        <w:rPr>
          <w:color w:val="000000"/>
        </w:rPr>
        <w:t xml:space="preserve"> </w:t>
      </w:r>
      <w:r w:rsidR="00A26A0C">
        <w:t>gender</w:t>
      </w:r>
      <w:r w:rsidR="00CC6E9F">
        <w:t xml:space="preserve">, </w:t>
      </w:r>
      <w:r w:rsidR="00A26A0C">
        <w:t>presence and number of young children, geographic location and initial housing condition.</w:t>
      </w:r>
    </w:p>
    <w:p w14:paraId="00000073" w14:textId="120D2737" w:rsidR="00C00A42" w:rsidRDefault="00000000" w:rsidP="00A26A0C">
      <w:pPr>
        <w:spacing w:before="280" w:after="0" w:line="240" w:lineRule="auto"/>
        <w:rPr>
          <w:color w:val="000000"/>
        </w:rPr>
      </w:pPr>
      <w:sdt>
        <w:sdtPr>
          <w:tag w:val="goog_rdk_2"/>
          <w:id w:val="-68440729"/>
        </w:sdtPr>
        <w:sdtContent/>
      </w:sdt>
      <w:sdt>
        <w:sdtPr>
          <w:tag w:val="goog_rdk_3"/>
          <w:id w:val="70594784"/>
        </w:sdtPr>
        <w:sdtContent/>
      </w:sdt>
      <w:r>
        <w:rPr>
          <w:color w:val="000000"/>
        </w:rPr>
        <w:t>For housing conditions (</w:t>
      </w:r>
      <w:r>
        <w:t xml:space="preserve">immediate </w:t>
      </w:r>
      <w:r>
        <w:rPr>
          <w:color w:val="000000"/>
        </w:rPr>
        <w:t xml:space="preserve">outcome), we will examine heterogeneity by households’ stage in SSyOO at the time of assignment. Because households may access </w:t>
      </w:r>
      <w:proofErr w:type="spellStart"/>
      <w:r>
        <w:rPr>
          <w:color w:val="000000"/>
        </w:rPr>
        <w:t>Habitabilidad</w:t>
      </w:r>
      <w:proofErr w:type="spellEnd"/>
      <w:r>
        <w:rPr>
          <w:color w:val="000000"/>
        </w:rPr>
        <w:t xml:space="preserve"> at different points during their three-year participation in SSyOO, the timing of outcome measurement may correspond to different durations of exposure.</w:t>
      </w:r>
    </w:p>
    <w:p w14:paraId="00000074" w14:textId="77777777" w:rsidR="00C00A42" w:rsidRDefault="00000000">
      <w:pPr>
        <w:pBdr>
          <w:top w:val="nil"/>
          <w:left w:val="nil"/>
          <w:bottom w:val="nil"/>
          <w:right w:val="nil"/>
          <w:between w:val="nil"/>
        </w:pBdr>
        <w:rPr>
          <w:color w:val="000000"/>
        </w:rPr>
      </w:pPr>
      <w:r>
        <w:rPr>
          <w:color w:val="000000"/>
        </w:rPr>
        <w:t>We estimate the following interaction specification:</w:t>
      </w:r>
    </w:p>
    <w:p w14:paraId="00000075" w14:textId="77777777" w:rsidR="00C00A42"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rPr>
              </m:ctrlPr>
            </m:sSubPr>
            <m:e>
              <m:r>
                <w:rPr>
                  <w:rFonts w:ascii="Cambria Math" w:eastAsia="Cambria Math" w:hAnsi="Cambria Math" w:cs="Cambria Math"/>
                  <w:color w:val="000000"/>
                </w:rPr>
                <m:t>Y</m:t>
              </m:r>
            </m:e>
            <m:sub>
              <m:r>
                <w:rPr>
                  <w:rFonts w:ascii="Cambria Math" w:eastAsia="Cambria Math" w:hAnsi="Cambria Math" w:cs="Cambria Math"/>
                  <w:color w:val="000000"/>
                </w:rPr>
                <m:t>i</m:t>
              </m:r>
              <m:r>
                <w:rPr>
                  <w:rFonts w:ascii="Cambria Math" w:eastAsia="Cambria Math" w:hAnsi="Cambria Math" w:cs="Cambria Math"/>
                </w:rPr>
                <m:t>ts</m:t>
              </m:r>
            </m:sub>
          </m:sSub>
          <m:r>
            <w:rPr>
              <w:rFonts w:ascii="Cambria Math" w:eastAsia="Cambria Math" w:hAnsi="Cambria Math" w:cs="Cambria Math"/>
              <w:color w:val="000000"/>
            </w:rPr>
            <m:t>=α+β</m:t>
          </m:r>
          <m:sSub>
            <m:sSubPr>
              <m:ctrlPr>
                <w:rPr>
                  <w:rFonts w:ascii="Cambria Math" w:eastAsia="Cambria Math" w:hAnsi="Cambria Math" w:cs="Cambria Math"/>
                  <w:color w:val="000000"/>
                </w:rPr>
              </m:ctrlPr>
            </m:sSubPr>
            <m:e>
              <m:r>
                <w:rPr>
                  <w:rFonts w:ascii="Cambria Math" w:eastAsia="Cambria Math" w:hAnsi="Cambria Math" w:cs="Cambria Math"/>
                  <w:color w:val="000000"/>
                </w:rPr>
                <m:t>Z</m:t>
              </m:r>
            </m:e>
            <m:sub>
              <m:r>
                <w:rPr>
                  <w:rFonts w:ascii="Cambria Math" w:eastAsia="Cambria Math" w:hAnsi="Cambria Math" w:cs="Cambria Math"/>
                  <w:color w:val="000000"/>
                </w:rPr>
                <m:t>i</m:t>
              </m:r>
            </m:sub>
          </m:sSub>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j∈{2,3}</m:t>
              </m:r>
            </m:sub>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θ</m:t>
              </m:r>
            </m:e>
            <m:sub>
              <m:r>
                <w:rPr>
                  <w:rFonts w:ascii="Cambria Math" w:eastAsia="Cambria Math" w:hAnsi="Cambria Math" w:cs="Cambria Math"/>
                  <w:color w:val="000000"/>
                </w:rPr>
                <m:t>j</m:t>
              </m:r>
            </m:sub>
          </m:sSub>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Z</m:t>
                  </m:r>
                </m:e>
                <m:sub>
                  <m:r>
                    <w:rPr>
                      <w:rFonts w:ascii="Cambria Math" w:eastAsia="Cambria Math" w:hAnsi="Cambria Math" w:cs="Cambria Math"/>
                      <w:color w:val="000000"/>
                    </w:rPr>
                    <m:t>i</m:t>
                  </m:r>
                </m:sub>
              </m:sSub>
              <m:r>
                <w:rPr>
                  <w:rFonts w:ascii="Cambria Math" w:eastAsia="Cambria Math" w:hAnsi="Cambria Math" w:cs="Cambria Math"/>
                  <w:color w:val="000000"/>
                </w:rPr>
                <m:t>×1[SSyOOYea</m:t>
              </m:r>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i</m:t>
                  </m:r>
                </m:sub>
              </m:sSub>
              <m:r>
                <w:rPr>
                  <w:rFonts w:ascii="Cambria Math" w:eastAsia="Cambria Math" w:hAnsi="Cambria Math" w:cs="Cambria Math"/>
                  <w:color w:val="000000"/>
                </w:rPr>
                <m:t>=j]</m:t>
              </m:r>
            </m:e>
          </m:d>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δ</m:t>
              </m:r>
            </m:e>
            <m:sub>
              <m:r>
                <w:rPr>
                  <w:rFonts w:ascii="Cambria Math" w:eastAsia="Cambria Math" w:hAnsi="Cambria Math" w:cs="Cambria Math"/>
                  <w:color w:val="000000"/>
                </w:rPr>
                <m:t>s</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ε</m:t>
              </m:r>
            </m:e>
            <m:sub>
              <m:r>
                <w:rPr>
                  <w:rFonts w:ascii="Cambria Math" w:eastAsia="Cambria Math" w:hAnsi="Cambria Math" w:cs="Cambria Math"/>
                  <w:color w:val="000000"/>
                </w:rPr>
                <m:t>its</m:t>
              </m:r>
            </m:sub>
          </m:sSub>
        </m:oMath>
      </m:oMathPara>
    </w:p>
    <w:p w14:paraId="00000076" w14:textId="77777777" w:rsidR="00C00A42" w:rsidRDefault="00000000">
      <w:pPr>
        <w:pBdr>
          <w:top w:val="nil"/>
          <w:left w:val="nil"/>
          <w:bottom w:val="nil"/>
          <w:right w:val="nil"/>
          <w:between w:val="nil"/>
        </w:pBdr>
        <w:rPr>
          <w:color w:val="000000"/>
        </w:rPr>
      </w:pPr>
      <w:r>
        <w:rPr>
          <w:color w:val="000000"/>
        </w:rPr>
        <w:t xml:space="preserve">where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Z</m:t>
            </m:r>
          </m:e>
          <m:sub>
            <m:r>
              <w:rPr>
                <w:rFonts w:ascii="Cambria Math" w:eastAsia="Cambria Math" w:hAnsi="Cambria Math" w:cs="Cambria Math"/>
                <w:color w:val="000000"/>
              </w:rPr>
              <m:t>i</m:t>
            </m:r>
          </m:sub>
        </m:sSub>
      </m:oMath>
      <w:r>
        <w:rPr>
          <w:color w:val="000000"/>
        </w:rPr>
        <w:t xml:space="preserve">is treatment assignment </w:t>
      </w:r>
      <m:oMath>
        <m:sSub>
          <m:sSubPr>
            <m:ctrlPr>
              <w:rPr>
                <w:rFonts w:ascii="Cambria Math" w:eastAsia="Cambria Math" w:hAnsi="Cambria Math" w:cs="Cambria Math"/>
                <w:color w:val="000000"/>
              </w:rPr>
            </m:ctrlPr>
          </m:sSubPr>
          <m:e>
            <m:r>
              <w:rPr>
                <w:rFonts w:ascii="Cambria Math" w:hAnsi="Cambria Math"/>
              </w:rPr>
              <m:t>δ</m:t>
            </m:r>
          </m:e>
          <m:sub>
            <m:r>
              <w:rPr>
                <w:rFonts w:ascii="Cambria Math" w:eastAsia="Cambria Math" w:hAnsi="Cambria Math" w:cs="Cambria Math"/>
                <w:color w:val="000000"/>
              </w:rPr>
              <m:t>s</m:t>
            </m:r>
          </m:sub>
        </m:sSub>
      </m:oMath>
      <w:r>
        <w:rPr>
          <w:color w:val="000000"/>
        </w:rPr>
        <w:t xml:space="preserve">are the randomization strata fixed effects, and </w:t>
      </w:r>
      <m:oMath>
        <m:sSub>
          <m:sSubPr>
            <m:ctrlPr>
              <w:rPr>
                <w:rFonts w:ascii="Cambria Math" w:eastAsia="Cambria Math" w:hAnsi="Cambria Math" w:cs="Cambria Math"/>
                <w:color w:val="000000"/>
              </w:rPr>
            </m:ctrlPr>
          </m:sSubPr>
          <m:e>
            <m:r>
              <w:rPr>
                <w:rFonts w:ascii="Cambria Math" w:hAnsi="Cambria Math"/>
              </w:rPr>
              <m:t>θ</m:t>
            </m:r>
          </m:e>
          <m:sub>
            <m:r>
              <w:rPr>
                <w:rFonts w:ascii="Cambria Math" w:eastAsia="Cambria Math" w:hAnsi="Cambria Math" w:cs="Cambria Math"/>
                <w:color w:val="000000"/>
              </w:rPr>
              <m:t>j</m:t>
            </m:r>
          </m:sub>
        </m:sSub>
      </m:oMath>
      <w:r>
        <w:rPr>
          <w:color w:val="000000"/>
        </w:rPr>
        <w:t xml:space="preserve">capture differential impacts relative to households assigned during Year 1. </w:t>
      </w:r>
    </w:p>
    <w:p w14:paraId="00000077" w14:textId="77777777" w:rsidR="00C00A42" w:rsidRDefault="00000000">
      <w:pPr>
        <w:pBdr>
          <w:top w:val="nil"/>
          <w:left w:val="nil"/>
          <w:bottom w:val="nil"/>
          <w:right w:val="nil"/>
          <w:between w:val="nil"/>
        </w:pBdr>
        <w:rPr>
          <w:color w:val="000000"/>
        </w:rPr>
      </w:pPr>
      <w:r>
        <w:rPr>
          <w:b/>
          <w:bCs/>
          <w:color w:val="000000"/>
        </w:rPr>
        <w:t>Data driven heterogeneity.</w:t>
      </w:r>
      <w:r>
        <w:rPr>
          <w:color w:val="000000"/>
        </w:rPr>
        <w:t xml:space="preserve"> We implement a pre-specified data-driven approach to estimate heterogeneous treatment effects using causal forests. </w:t>
      </w:r>
    </w:p>
    <w:p w14:paraId="00000078" w14:textId="77777777" w:rsidR="00C00A42" w:rsidRDefault="00000000">
      <w:pPr>
        <w:pBdr>
          <w:top w:val="nil"/>
          <w:left w:val="nil"/>
          <w:bottom w:val="nil"/>
          <w:right w:val="nil"/>
          <w:between w:val="nil"/>
        </w:pBdr>
      </w:pPr>
      <w:r>
        <w:rPr>
          <w:b/>
          <w:bCs/>
        </w:rPr>
        <w:t>Multiple Inference Adjustment.</w:t>
      </w:r>
      <w:r>
        <w:t xml:space="preserve"> To account for multiple testing across outcome domains and pre-specified subgroups, we adjust p-values using the Romano-Wolf stepdown procedure (Romano and Wolf, 2005a, 2005b; Clarke, Romano and Wolf, 2020). Adjusted p-values are reported alongside conventional p-values.</w:t>
      </w:r>
    </w:p>
    <w:p w14:paraId="00000079" w14:textId="77777777" w:rsidR="00C00A42" w:rsidRDefault="00000000">
      <w:pPr>
        <w:pStyle w:val="Heading2"/>
      </w:pPr>
      <w:bookmarkStart w:id="0" w:name="_heading=h.hgnp7jouk8iq" w:colFirst="0" w:colLast="0"/>
      <w:bookmarkEnd w:id="0"/>
      <w:r>
        <w:t xml:space="preserve">Exploratory analysis of treatment intensity. </w:t>
      </w:r>
    </w:p>
    <w:p w14:paraId="0000007A" w14:textId="77777777" w:rsidR="00C00A42" w:rsidRDefault="00000000">
      <w:pPr>
        <w:pBdr>
          <w:top w:val="nil"/>
          <w:left w:val="nil"/>
          <w:bottom w:val="nil"/>
          <w:right w:val="nil"/>
          <w:between w:val="nil"/>
        </w:pBdr>
        <w:rPr>
          <w:color w:val="000000"/>
        </w:rPr>
      </w:pPr>
      <w:r>
        <w:rPr>
          <w:color w:val="000000"/>
        </w:rPr>
        <w:t>We also conduct exploratory analyses of treatment intensity and mechanisms. These analyses rely on post-assignment information and therefore do not have a causal interpretation.</w:t>
      </w:r>
    </w:p>
    <w:p w14:paraId="0000007B" w14:textId="77777777" w:rsidR="00C00A42" w:rsidRDefault="00000000">
      <w:pPr>
        <w:spacing w:before="280" w:after="280" w:line="240" w:lineRule="auto"/>
      </w:pPr>
      <w:r>
        <w:t>First, we examine variation by type of improvement received, classifying treated households into categories such as dwelling improvements, environmental interventions, household equipment, and basic services support.</w:t>
      </w:r>
    </w:p>
    <w:p w14:paraId="0000007C" w14:textId="77777777" w:rsidR="00C00A42" w:rsidRDefault="00000000">
      <w:pPr>
        <w:spacing w:before="280" w:after="280" w:line="240" w:lineRule="auto"/>
      </w:pPr>
      <w:r>
        <w:t xml:space="preserve">Second, we </w:t>
      </w:r>
      <w:proofErr w:type="spellStart"/>
      <w:r>
        <w:t>analyze</w:t>
      </w:r>
      <w:proofErr w:type="spellEnd"/>
      <w:r>
        <w:t xml:space="preserve"> variation by coverage of diagnosed needs, measured as the number or share of identified housing needs addressed through delivered solutions.</w:t>
      </w:r>
    </w:p>
    <w:p w14:paraId="0000007D" w14:textId="77777777" w:rsidR="00C00A42" w:rsidRDefault="00000000">
      <w:pPr>
        <w:spacing w:before="280" w:after="280" w:line="240" w:lineRule="auto"/>
      </w:pPr>
      <w:r>
        <w:t>These analyses are interpreted as descriptive and mechanism-oriented and will be clearly distinguished from the main ITT and TOT estimates.</w:t>
      </w:r>
    </w:p>
    <w:p w14:paraId="0000007E" w14:textId="77777777" w:rsidR="00C00A42" w:rsidRDefault="00000000">
      <w:pPr>
        <w:pStyle w:val="Heading2"/>
      </w:pPr>
      <w:r>
        <w:rPr>
          <w:b/>
          <w:bCs/>
        </w:rPr>
        <w:t>Missing Baseline and Endline Data</w:t>
      </w:r>
    </w:p>
    <w:p w14:paraId="0000007F" w14:textId="77777777" w:rsidR="00C00A42" w:rsidRDefault="00000000">
      <w:pPr>
        <w:spacing w:before="280" w:after="280" w:line="240" w:lineRule="auto"/>
      </w:pPr>
      <w:r>
        <w:t>This evaluation relies almost exclusively on administrative data, which are assumed to provide full registry coverage. Consequently, any absence of a record for a given household or individual is interpreted as a meaningful zero rather than missing data. For example, absence from AFP or AFC records implies no formal earnings in that year, and absence from a benefits registry implies non-receipt of the corresponding transfer.</w:t>
      </w:r>
    </w:p>
    <w:p w14:paraId="00000080" w14:textId="77777777" w:rsidR="00C00A42" w:rsidRDefault="00000000">
      <w:pPr>
        <w:spacing w:before="280" w:after="280" w:line="240" w:lineRule="auto"/>
      </w:pPr>
      <w:r>
        <w:lastRenderedPageBreak/>
        <w:t xml:space="preserve">An exception is the Registro Social de </w:t>
      </w:r>
      <w:proofErr w:type="spellStart"/>
      <w:r>
        <w:t>Hogares</w:t>
      </w:r>
      <w:proofErr w:type="spellEnd"/>
      <w:r>
        <w:t xml:space="preserve"> (RSH), Chile's national household registry used to determine eligibility for social programmes, which relies on voluntary registration and updating by households. Because RSH information may be missing for some households, particularly for vulnerability classification, observations without valid RSH data will be retained and coded as missing. No imputation will be applied to RSH measures in the primary analysis.</w:t>
      </w:r>
    </w:p>
    <w:p w14:paraId="00000081" w14:textId="77777777" w:rsidR="00C00A42" w:rsidRDefault="00000000">
      <w:pPr>
        <w:spacing w:before="280" w:after="280" w:line="240" w:lineRule="auto"/>
      </w:pPr>
      <w:r>
        <w:t xml:space="preserve">For data collected as part of </w:t>
      </w:r>
      <w:proofErr w:type="spellStart"/>
      <w:r>
        <w:t>Habitabilidad</w:t>
      </w:r>
      <w:proofErr w:type="spellEnd"/>
      <w:r>
        <w:t xml:space="preserve"> program operations, missing data are not expected. If missingness is observed due to administrative issues, it will be documented and addressed transparently.</w:t>
      </w:r>
    </w:p>
    <w:p w14:paraId="00000082" w14:textId="77777777" w:rsidR="00C00A42" w:rsidRDefault="00000000">
      <w:pPr>
        <w:pStyle w:val="Heading2"/>
      </w:pPr>
      <w:r>
        <w:rPr>
          <w:b/>
          <w:bCs/>
        </w:rPr>
        <w:t>Power estimation</w:t>
      </w:r>
    </w:p>
    <w:p w14:paraId="00000083" w14:textId="77777777" w:rsidR="00C00A42" w:rsidRDefault="00000000">
      <w:pPr>
        <w:spacing w:before="240" w:after="240" w:line="240" w:lineRule="auto"/>
      </w:pPr>
      <w:r>
        <w:t>Power calculations are based on the realised number of households assigned to treatment (N_T = 3,030) and control (N_C = 3,957</w:t>
      </w:r>
      <w:proofErr w:type="gramStart"/>
      <w:r>
        <w:t>), and</w:t>
      </w:r>
      <w:proofErr w:type="gramEnd"/>
      <w:r>
        <w:t xml:space="preserve"> assume a two-sided test with a significance level of 5 percent. Effect sizes are expressed in standardised units (Cohen's d), allowing comparisons across outcomes that differ in scale and dispersion. These calculations correspond to the ITT estimator. The TOT estimator, obtained via instrumental variables, will have lower effective power, as IV inflates standard errors by approximately the inverse of the first-stage compliance rate. Given a first-stage compliance rate of approximately 0.59, TOT standard errors are roughly 1.7 times larger than ITT standard errors, implying a correspondingly higher MDE for the TOT.</w:t>
      </w:r>
    </w:p>
    <w:p w14:paraId="00000084" w14:textId="77777777" w:rsidR="00C00A42" w:rsidRDefault="00000000">
      <w:pPr>
        <w:spacing w:before="240" w:after="240" w:line="240" w:lineRule="auto"/>
      </w:pPr>
      <w:r>
        <w:t>The evaluation is well powered to detect small to moderate ITT effects. The minimum detectable effect at 80% power is approximately 0.068 SD, and 0.079 SD at 90% power. As shown in Table 1, the study achieves power above the conventional 80% threshold for standardised effects of 0.07 SD or larger, and above 90% for effects of 0.08 SD or larger. These are small effects by conventional standards, indicating that the evaluation is sufficiently powered to detect meaningful impacts across all primary outcome domains.</w:t>
      </w:r>
    </w:p>
    <w:p w14:paraId="00000085" w14:textId="77777777" w:rsidR="00C00A42" w:rsidRDefault="00C00A42">
      <w:pPr>
        <w:spacing w:before="240" w:after="240" w:line="240" w:lineRule="auto"/>
      </w:pPr>
    </w:p>
    <w:p w14:paraId="00000086" w14:textId="77777777" w:rsidR="00C00A42" w:rsidRDefault="00000000">
      <w:pPr>
        <w:pBdr>
          <w:top w:val="nil"/>
          <w:left w:val="nil"/>
          <w:bottom w:val="nil"/>
          <w:right w:val="nil"/>
          <w:between w:val="nil"/>
        </w:pBdr>
        <w:jc w:val="center"/>
        <w:rPr>
          <w:color w:val="000000"/>
        </w:rPr>
      </w:pPr>
      <w:r>
        <w:rPr>
          <w:color w:val="000000"/>
        </w:rPr>
        <w:t>Table 1: Power estimation</w:t>
      </w:r>
    </w:p>
    <w:tbl>
      <w:tblPr>
        <w:tblStyle w:val="TableGridLight"/>
        <w:tblW w:w="0" w:type="auto"/>
        <w:jc w:val="center"/>
        <w:tblLook w:val="04A0" w:firstRow="1" w:lastRow="0" w:firstColumn="1" w:lastColumn="0" w:noHBand="0" w:noVBand="1"/>
      </w:tblPr>
      <w:tblGrid>
        <w:gridCol w:w="1237"/>
        <w:gridCol w:w="869"/>
      </w:tblGrid>
      <w:tr w:rsidR="004B110B" w:rsidRPr="004B110B" w14:paraId="5E2E4587" w14:textId="77777777" w:rsidTr="004B110B">
        <w:trPr>
          <w:jc w:val="center"/>
        </w:trPr>
        <w:tc>
          <w:tcPr>
            <w:tcW w:w="0" w:type="auto"/>
            <w:hideMark/>
          </w:tcPr>
          <w:p w14:paraId="1233D27D" w14:textId="77777777" w:rsidR="004B110B" w:rsidRPr="004B110B" w:rsidRDefault="004B110B" w:rsidP="004B110B">
            <w:pPr>
              <w:spacing w:before="0"/>
              <w:jc w:val="center"/>
              <w:rPr>
                <w:b/>
                <w:bCs/>
              </w:rPr>
            </w:pPr>
            <w:r w:rsidRPr="004B110B">
              <w:rPr>
                <w:b/>
                <w:bCs/>
              </w:rPr>
              <w:t>Cohen's d</w:t>
            </w:r>
          </w:p>
        </w:tc>
        <w:tc>
          <w:tcPr>
            <w:tcW w:w="0" w:type="auto"/>
            <w:hideMark/>
          </w:tcPr>
          <w:p w14:paraId="691ED069" w14:textId="77777777" w:rsidR="004B110B" w:rsidRPr="004B110B" w:rsidRDefault="004B110B" w:rsidP="004B110B">
            <w:pPr>
              <w:spacing w:before="0"/>
              <w:jc w:val="center"/>
              <w:rPr>
                <w:b/>
                <w:bCs/>
              </w:rPr>
            </w:pPr>
            <w:r w:rsidRPr="004B110B">
              <w:rPr>
                <w:b/>
                <w:bCs/>
              </w:rPr>
              <w:t>Power</w:t>
            </w:r>
          </w:p>
        </w:tc>
      </w:tr>
      <w:tr w:rsidR="004B110B" w:rsidRPr="004B110B" w14:paraId="45F4BEE3" w14:textId="77777777" w:rsidTr="004B110B">
        <w:trPr>
          <w:jc w:val="center"/>
        </w:trPr>
        <w:tc>
          <w:tcPr>
            <w:tcW w:w="0" w:type="auto"/>
            <w:hideMark/>
          </w:tcPr>
          <w:p w14:paraId="302E2FC6" w14:textId="77777777" w:rsidR="004B110B" w:rsidRPr="004B110B" w:rsidRDefault="004B110B" w:rsidP="004B110B">
            <w:pPr>
              <w:spacing w:before="0"/>
            </w:pPr>
            <w:r w:rsidRPr="004B110B">
              <w:t>0.05</w:t>
            </w:r>
          </w:p>
        </w:tc>
        <w:tc>
          <w:tcPr>
            <w:tcW w:w="0" w:type="auto"/>
            <w:hideMark/>
          </w:tcPr>
          <w:p w14:paraId="76EB8FB3" w14:textId="77777777" w:rsidR="004B110B" w:rsidRPr="004B110B" w:rsidRDefault="004B110B" w:rsidP="004B110B">
            <w:pPr>
              <w:spacing w:before="0"/>
            </w:pPr>
            <w:r w:rsidRPr="004B110B">
              <w:t>0.544</w:t>
            </w:r>
          </w:p>
        </w:tc>
      </w:tr>
      <w:tr w:rsidR="004B110B" w:rsidRPr="004B110B" w14:paraId="4083E8C6" w14:textId="77777777" w:rsidTr="004B110B">
        <w:trPr>
          <w:jc w:val="center"/>
        </w:trPr>
        <w:tc>
          <w:tcPr>
            <w:tcW w:w="0" w:type="auto"/>
            <w:hideMark/>
          </w:tcPr>
          <w:p w14:paraId="594BE3DA" w14:textId="77777777" w:rsidR="004B110B" w:rsidRPr="004B110B" w:rsidRDefault="004B110B" w:rsidP="004B110B">
            <w:pPr>
              <w:spacing w:before="0"/>
            </w:pPr>
            <w:r w:rsidRPr="004B110B">
              <w:t>0.07</w:t>
            </w:r>
          </w:p>
        </w:tc>
        <w:tc>
          <w:tcPr>
            <w:tcW w:w="0" w:type="auto"/>
            <w:hideMark/>
          </w:tcPr>
          <w:p w14:paraId="4F7116C8" w14:textId="77777777" w:rsidR="004B110B" w:rsidRPr="004B110B" w:rsidRDefault="004B110B" w:rsidP="004B110B">
            <w:pPr>
              <w:spacing w:before="0"/>
            </w:pPr>
            <w:r w:rsidRPr="004B110B">
              <w:t>0.800</w:t>
            </w:r>
          </w:p>
        </w:tc>
      </w:tr>
      <w:tr w:rsidR="004B110B" w:rsidRPr="004B110B" w14:paraId="0CE607C8" w14:textId="77777777" w:rsidTr="004B110B">
        <w:trPr>
          <w:jc w:val="center"/>
        </w:trPr>
        <w:tc>
          <w:tcPr>
            <w:tcW w:w="0" w:type="auto"/>
            <w:hideMark/>
          </w:tcPr>
          <w:p w14:paraId="1F85BFE9" w14:textId="77777777" w:rsidR="004B110B" w:rsidRPr="004B110B" w:rsidRDefault="004B110B" w:rsidP="004B110B">
            <w:pPr>
              <w:spacing w:before="0"/>
            </w:pPr>
            <w:r w:rsidRPr="004B110B">
              <w:t>0.08</w:t>
            </w:r>
          </w:p>
        </w:tc>
        <w:tc>
          <w:tcPr>
            <w:tcW w:w="0" w:type="auto"/>
            <w:hideMark/>
          </w:tcPr>
          <w:p w14:paraId="69200829" w14:textId="77777777" w:rsidR="004B110B" w:rsidRPr="004B110B" w:rsidRDefault="004B110B" w:rsidP="004B110B">
            <w:pPr>
              <w:spacing w:before="0"/>
            </w:pPr>
            <w:r w:rsidRPr="004B110B">
              <w:t>0.900</w:t>
            </w:r>
          </w:p>
        </w:tc>
      </w:tr>
      <w:tr w:rsidR="004B110B" w:rsidRPr="004B110B" w14:paraId="5E57C6B1" w14:textId="77777777" w:rsidTr="004B110B">
        <w:trPr>
          <w:jc w:val="center"/>
        </w:trPr>
        <w:tc>
          <w:tcPr>
            <w:tcW w:w="0" w:type="auto"/>
            <w:hideMark/>
          </w:tcPr>
          <w:p w14:paraId="6FC532EF" w14:textId="77777777" w:rsidR="004B110B" w:rsidRPr="004B110B" w:rsidRDefault="004B110B" w:rsidP="004B110B">
            <w:pPr>
              <w:spacing w:before="0"/>
            </w:pPr>
            <w:r w:rsidRPr="004B110B">
              <w:t>0.10</w:t>
            </w:r>
          </w:p>
        </w:tc>
        <w:tc>
          <w:tcPr>
            <w:tcW w:w="0" w:type="auto"/>
            <w:hideMark/>
          </w:tcPr>
          <w:p w14:paraId="7B3FEC43" w14:textId="77777777" w:rsidR="004B110B" w:rsidRPr="004B110B" w:rsidRDefault="004B110B" w:rsidP="004B110B">
            <w:pPr>
              <w:spacing w:before="0"/>
            </w:pPr>
            <w:r w:rsidRPr="004B110B">
              <w:t>0.985</w:t>
            </w:r>
          </w:p>
        </w:tc>
      </w:tr>
      <w:tr w:rsidR="004B110B" w:rsidRPr="004B110B" w14:paraId="5E70BE9C" w14:textId="77777777" w:rsidTr="004B110B">
        <w:trPr>
          <w:jc w:val="center"/>
        </w:trPr>
        <w:tc>
          <w:tcPr>
            <w:tcW w:w="0" w:type="auto"/>
            <w:hideMark/>
          </w:tcPr>
          <w:p w14:paraId="686E53FB" w14:textId="77777777" w:rsidR="004B110B" w:rsidRPr="004B110B" w:rsidRDefault="004B110B" w:rsidP="004B110B">
            <w:pPr>
              <w:spacing w:before="0"/>
            </w:pPr>
            <w:r w:rsidRPr="004B110B">
              <w:t>0.15</w:t>
            </w:r>
          </w:p>
        </w:tc>
        <w:tc>
          <w:tcPr>
            <w:tcW w:w="0" w:type="auto"/>
            <w:hideMark/>
          </w:tcPr>
          <w:p w14:paraId="6B98C2A9" w14:textId="77777777" w:rsidR="004B110B" w:rsidRPr="004B110B" w:rsidRDefault="004B110B" w:rsidP="004B110B">
            <w:pPr>
              <w:spacing w:before="0"/>
            </w:pPr>
            <w:r w:rsidRPr="004B110B">
              <w:t>1.000</w:t>
            </w:r>
          </w:p>
        </w:tc>
      </w:tr>
    </w:tbl>
    <w:p w14:paraId="00000087" w14:textId="77777777" w:rsidR="00C00A42" w:rsidRDefault="00C00A42">
      <w:pPr>
        <w:jc w:val="center"/>
      </w:pPr>
    </w:p>
    <w:p w14:paraId="00000094" w14:textId="77777777" w:rsidR="00C00A42" w:rsidRDefault="00C00A42">
      <w:pPr>
        <w:spacing w:before="240" w:after="240"/>
        <w:jc w:val="right"/>
      </w:pPr>
    </w:p>
    <w:p w14:paraId="00000095" w14:textId="77777777" w:rsidR="00C00A42" w:rsidRDefault="00000000">
      <w:pPr>
        <w:spacing w:before="240" w:after="240"/>
        <w:jc w:val="center"/>
      </w:pPr>
      <w:r>
        <w:t>Notes: Power is defined as the probability of rejecting the null hypothesis of no effect when the true ITT effect equals the specified standardised effect size (Cohen's d). Calculations are based on the realised household-level randomised sample (N_T = 3,030, N_C = 3,957), assume independent observations at the household level, and use a two-sided test with α = 0.05. The minimum detectable effect at 80% power is approximately 0.068 SD.</w:t>
      </w:r>
    </w:p>
    <w:p w14:paraId="00000096" w14:textId="77777777" w:rsidR="00C00A42" w:rsidRDefault="00C00A42">
      <w:pPr>
        <w:pBdr>
          <w:top w:val="nil"/>
          <w:left w:val="nil"/>
          <w:bottom w:val="nil"/>
          <w:right w:val="nil"/>
          <w:between w:val="nil"/>
        </w:pBdr>
        <w:jc w:val="center"/>
      </w:pPr>
    </w:p>
    <w:p w14:paraId="00000097" w14:textId="77777777" w:rsidR="00C00A42" w:rsidRDefault="00000000">
      <w:pPr>
        <w:jc w:val="center"/>
      </w:pPr>
      <w:r>
        <w:t>Figure 2: Minimum Detectable Effect Size by Sample Size and Power</w:t>
      </w:r>
    </w:p>
    <w:p w14:paraId="00000098" w14:textId="77777777" w:rsidR="00C00A42" w:rsidRDefault="00000000">
      <w:pPr>
        <w:jc w:val="center"/>
      </w:pPr>
      <w:r>
        <w:rPr>
          <w:noProof/>
        </w:rPr>
        <w:drawing>
          <wp:inline distT="114300" distB="114300" distL="114300" distR="114300" wp14:anchorId="1CF18A30" wp14:editId="794F2003">
            <wp:extent cx="5731200" cy="4165600"/>
            <wp:effectExtent l="0" t="0" r="0" b="0"/>
            <wp:docPr id="179447626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200" cy="4165600"/>
                    </a:xfrm>
                    <a:prstGeom prst="rect">
                      <a:avLst/>
                    </a:prstGeom>
                    <a:ln/>
                  </pic:spPr>
                </pic:pic>
              </a:graphicData>
            </a:graphic>
          </wp:inline>
        </w:drawing>
      </w:r>
    </w:p>
    <w:p w14:paraId="00000099" w14:textId="77777777" w:rsidR="00C00A42" w:rsidRDefault="00000000">
      <w:r>
        <w:br w:type="page"/>
      </w:r>
    </w:p>
    <w:p w14:paraId="0000009A" w14:textId="77777777" w:rsidR="00C00A42" w:rsidRDefault="00000000">
      <w:pPr>
        <w:pStyle w:val="Heading1"/>
        <w:rPr>
          <w:sz w:val="48"/>
          <w:szCs w:val="48"/>
        </w:rPr>
      </w:pPr>
      <w:r>
        <w:lastRenderedPageBreak/>
        <w:t>References</w:t>
      </w:r>
    </w:p>
    <w:p w14:paraId="0000009B" w14:textId="77777777" w:rsidR="00C00A42" w:rsidRDefault="00000000">
      <w:pPr>
        <w:spacing w:before="240" w:after="240" w:line="240" w:lineRule="auto"/>
      </w:pPr>
      <w:r>
        <w:t xml:space="preserve">Barnhardt, S., Field, E., and Pande, R. (2017). Moving to Opportunity or Isolation? Network Effects of a Randomized Housing Lottery in Urban India. </w:t>
      </w:r>
      <w:r>
        <w:rPr>
          <w:i/>
          <w:iCs/>
        </w:rPr>
        <w:t>American Economic Journal: Applied Economics</w:t>
      </w:r>
      <w:r>
        <w:t>, 9(1), 1–32.</w:t>
      </w:r>
    </w:p>
    <w:p w14:paraId="0000009C" w14:textId="77777777" w:rsidR="00C00A42" w:rsidRDefault="00000000">
      <w:pPr>
        <w:spacing w:before="240" w:after="240" w:line="240" w:lineRule="auto"/>
      </w:pPr>
      <w:r>
        <w:t xml:space="preserve">Cattaneo, M. D., </w:t>
      </w:r>
      <w:proofErr w:type="spellStart"/>
      <w:r>
        <w:t>Galiani</w:t>
      </w:r>
      <w:proofErr w:type="spellEnd"/>
      <w:r>
        <w:t xml:space="preserve">, S., Gertler, P. J., Martinez, S., and </w:t>
      </w:r>
      <w:proofErr w:type="spellStart"/>
      <w:r>
        <w:t>Titiunik</w:t>
      </w:r>
      <w:proofErr w:type="spellEnd"/>
      <w:r>
        <w:t xml:space="preserve">, R. (2009). Housing, Health, and Happiness. </w:t>
      </w:r>
      <w:r>
        <w:rPr>
          <w:i/>
          <w:iCs/>
        </w:rPr>
        <w:t>American Economic Journal: Economic Policy</w:t>
      </w:r>
      <w:r>
        <w:t>, 1(1), 75–105.</w:t>
      </w:r>
    </w:p>
    <w:p w14:paraId="0000009D" w14:textId="77777777" w:rsidR="00C00A42" w:rsidRDefault="00000000">
      <w:pPr>
        <w:spacing w:before="240" w:after="240" w:line="240" w:lineRule="auto"/>
      </w:pPr>
      <w:r>
        <w:t xml:space="preserve">Chetty, R., Hendren, N., and Katz, L. F. (2016). The Effects of Exposure to Better </w:t>
      </w:r>
      <w:proofErr w:type="spellStart"/>
      <w:r>
        <w:t>Neighborhoods</w:t>
      </w:r>
      <w:proofErr w:type="spellEnd"/>
      <w:r>
        <w:t xml:space="preserve"> on Children: New Evidence from the Moving to Opportunity Experiment. </w:t>
      </w:r>
      <w:r>
        <w:rPr>
          <w:i/>
          <w:iCs/>
        </w:rPr>
        <w:t>American Economic Review</w:t>
      </w:r>
      <w:r>
        <w:t>, 106(4), 855–902.</w:t>
      </w:r>
    </w:p>
    <w:p w14:paraId="0000009E" w14:textId="77777777" w:rsidR="00C00A42" w:rsidRDefault="00000000">
      <w:pPr>
        <w:spacing w:before="240" w:after="240" w:line="240" w:lineRule="auto"/>
      </w:pPr>
      <w:r>
        <w:t xml:space="preserve">Chyn, E. (2018). Moved to Opportunity: The Long-Run Effects of Public Housing Demolition on Children. </w:t>
      </w:r>
      <w:r>
        <w:rPr>
          <w:i/>
          <w:iCs/>
        </w:rPr>
        <w:t>American Economic Review</w:t>
      </w:r>
      <w:r>
        <w:t>, 108(10), 3028–3056.</w:t>
      </w:r>
    </w:p>
    <w:p w14:paraId="0000009F" w14:textId="77777777" w:rsidR="00C00A42" w:rsidRDefault="00000000">
      <w:pPr>
        <w:spacing w:before="240" w:after="240" w:line="240" w:lineRule="auto"/>
      </w:pPr>
      <w:r>
        <w:t xml:space="preserve">Clarke, D., Romano, J. P., and Wolf, M. (2020). The Romano-Wolf Multiple-Hypothesis Correction in Stata. </w:t>
      </w:r>
      <w:r>
        <w:rPr>
          <w:i/>
          <w:iCs/>
        </w:rPr>
        <w:t>Stata Journal</w:t>
      </w:r>
      <w:r>
        <w:t>, 20(4), 812–843.</w:t>
      </w:r>
    </w:p>
    <w:p w14:paraId="000000A0" w14:textId="77777777" w:rsidR="00C00A42" w:rsidRDefault="00000000">
      <w:pPr>
        <w:spacing w:before="240" w:after="240" w:line="240" w:lineRule="auto"/>
      </w:pPr>
      <w:proofErr w:type="spellStart"/>
      <w:r>
        <w:t>Galiani</w:t>
      </w:r>
      <w:proofErr w:type="spellEnd"/>
      <w:r>
        <w:t xml:space="preserve">, S., Gertler, P., and </w:t>
      </w:r>
      <w:proofErr w:type="spellStart"/>
      <w:r>
        <w:t>Undurraga</w:t>
      </w:r>
      <w:proofErr w:type="spellEnd"/>
      <w:r>
        <w:t xml:space="preserve">, R. (2018). The Half-Life of Happiness: Hedonic Adaptation in the Slums of Mexico. </w:t>
      </w:r>
      <w:r>
        <w:rPr>
          <w:i/>
          <w:iCs/>
        </w:rPr>
        <w:t>Journal of the European Economic Association</w:t>
      </w:r>
      <w:r>
        <w:t>, 16(4), 1115–1141.</w:t>
      </w:r>
    </w:p>
    <w:p w14:paraId="000000A1" w14:textId="77777777" w:rsidR="00C00A42" w:rsidRDefault="00000000">
      <w:pPr>
        <w:spacing w:before="240" w:after="240" w:line="240" w:lineRule="auto"/>
      </w:pPr>
      <w:r>
        <w:t xml:space="preserve">Goux, D. and Maurin, E. (2005). The Effect of Overcrowded Housing on Children's Performance at School. </w:t>
      </w:r>
      <w:r>
        <w:rPr>
          <w:i/>
          <w:iCs/>
        </w:rPr>
        <w:t>Journal of Public Economics</w:t>
      </w:r>
      <w:r>
        <w:t>, 89(5–6), 797–819.</w:t>
      </w:r>
    </w:p>
    <w:p w14:paraId="000000A2" w14:textId="77777777" w:rsidR="00C00A42" w:rsidRDefault="00000000">
      <w:pPr>
        <w:spacing w:before="240" w:after="240" w:line="240" w:lineRule="auto"/>
      </w:pPr>
      <w:r>
        <w:t xml:space="preserve">Kling, J. R., Liebman, J. B., and Katz, L. F. (2007). Experimental Analysis of </w:t>
      </w:r>
      <w:proofErr w:type="spellStart"/>
      <w:r>
        <w:t>Neighborhood</w:t>
      </w:r>
      <w:proofErr w:type="spellEnd"/>
      <w:r>
        <w:t xml:space="preserve"> Effects. </w:t>
      </w:r>
      <w:proofErr w:type="spellStart"/>
      <w:r>
        <w:rPr>
          <w:i/>
          <w:iCs/>
        </w:rPr>
        <w:t>Econometrica</w:t>
      </w:r>
      <w:proofErr w:type="spellEnd"/>
      <w:r>
        <w:t>, 75(1), 83–119.</w:t>
      </w:r>
    </w:p>
    <w:p w14:paraId="000000A3" w14:textId="77777777" w:rsidR="00C00A42" w:rsidRDefault="00000000">
      <w:pPr>
        <w:spacing w:before="240" w:after="240" w:line="240" w:lineRule="auto"/>
      </w:pPr>
      <w:r>
        <w:t xml:space="preserve">Ludwig, J., Duncan, G. J., </w:t>
      </w:r>
      <w:proofErr w:type="spellStart"/>
      <w:r>
        <w:t>Gennetian</w:t>
      </w:r>
      <w:proofErr w:type="spellEnd"/>
      <w:r>
        <w:t xml:space="preserve">, L. A., Katz, L. F., Kessler, R. C., Kling, J. R., and </w:t>
      </w:r>
      <w:proofErr w:type="spellStart"/>
      <w:r>
        <w:t>Sanbonmatsu</w:t>
      </w:r>
      <w:proofErr w:type="spellEnd"/>
      <w:r>
        <w:t xml:space="preserve">, L. (2012). </w:t>
      </w:r>
      <w:proofErr w:type="spellStart"/>
      <w:r>
        <w:t>Neighborhood</w:t>
      </w:r>
      <w:proofErr w:type="spellEnd"/>
      <w:r>
        <w:t xml:space="preserve"> Effects on the Long-Term Well-Being of Low-Income Adults. </w:t>
      </w:r>
      <w:r>
        <w:rPr>
          <w:i/>
          <w:iCs/>
        </w:rPr>
        <w:t>Science</w:t>
      </w:r>
      <w:r>
        <w:t>, 337(6101), 1505–1510.</w:t>
      </w:r>
    </w:p>
    <w:p w14:paraId="000000A4" w14:textId="77777777" w:rsidR="00C00A42" w:rsidRDefault="00000000">
      <w:pPr>
        <w:spacing w:before="240" w:after="240" w:line="240" w:lineRule="auto"/>
      </w:pPr>
      <w:r>
        <w:t xml:space="preserve">Newman, S. J. and </w:t>
      </w:r>
      <w:proofErr w:type="spellStart"/>
      <w:r>
        <w:t>Holupka</w:t>
      </w:r>
      <w:proofErr w:type="spellEnd"/>
      <w:r>
        <w:t xml:space="preserve">, C. S. (2014). Housing Affordability and Investments in Children. </w:t>
      </w:r>
      <w:r>
        <w:rPr>
          <w:i/>
          <w:iCs/>
        </w:rPr>
        <w:t>Journal of Housing Economics</w:t>
      </w:r>
      <w:r>
        <w:t>, 24, 89–100.</w:t>
      </w:r>
    </w:p>
    <w:p w14:paraId="000000A5" w14:textId="77777777" w:rsidR="00C00A42" w:rsidRDefault="00000000">
      <w:pPr>
        <w:spacing w:before="240" w:after="240" w:line="240" w:lineRule="auto"/>
      </w:pPr>
      <w:r>
        <w:t>Rojas-Ampuero, F. and Carrera, F. (2025). Sent Away: The Long-Term Effects of Slum Clearance on Children. Working Paper, University of Wisconsin-Madison.</w:t>
      </w:r>
    </w:p>
    <w:p w14:paraId="000000A6" w14:textId="77777777" w:rsidR="00C00A42" w:rsidRDefault="00000000">
      <w:pPr>
        <w:spacing w:before="240" w:after="240" w:line="240" w:lineRule="auto"/>
      </w:pPr>
      <w:r>
        <w:t xml:space="preserve">Romano, J. P. and Wolf, M. (2005a). Stepwise Multiple Testing as Formalized Data Snooping. </w:t>
      </w:r>
      <w:proofErr w:type="spellStart"/>
      <w:r>
        <w:rPr>
          <w:i/>
          <w:iCs/>
        </w:rPr>
        <w:t>Econometrica</w:t>
      </w:r>
      <w:proofErr w:type="spellEnd"/>
      <w:r>
        <w:t>, 73(4), 1237–1282.</w:t>
      </w:r>
    </w:p>
    <w:p w14:paraId="000000A7" w14:textId="77777777" w:rsidR="00C00A42" w:rsidRDefault="00000000">
      <w:pPr>
        <w:spacing w:before="240" w:after="240" w:line="240" w:lineRule="auto"/>
      </w:pPr>
      <w:r>
        <w:t xml:space="preserve">Romano, J. P. and Wolf, M. (2005b). Exact and Approximate Stepdown Methods for Multiple Hypothesis Testing. </w:t>
      </w:r>
      <w:r>
        <w:rPr>
          <w:i/>
          <w:iCs/>
        </w:rPr>
        <w:t>Journal of the American Statistical Association</w:t>
      </w:r>
      <w:r>
        <w:t>, 100(469), 94–108.</w:t>
      </w:r>
    </w:p>
    <w:p w14:paraId="000000A8" w14:textId="77777777" w:rsidR="00C00A42" w:rsidRDefault="00C00A42">
      <w:pPr>
        <w:pBdr>
          <w:top w:val="nil"/>
          <w:left w:val="nil"/>
          <w:bottom w:val="nil"/>
          <w:right w:val="nil"/>
          <w:between w:val="nil"/>
        </w:pBdr>
        <w:spacing w:line="240" w:lineRule="auto"/>
      </w:pPr>
    </w:p>
    <w:p w14:paraId="000000A9" w14:textId="77777777" w:rsidR="00C00A42" w:rsidRDefault="00C00A42">
      <w:pPr>
        <w:jc w:val="center"/>
      </w:pPr>
    </w:p>
    <w:sectPr w:rsidR="00C00A4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B655D" w14:textId="77777777" w:rsidR="00B306D3" w:rsidRDefault="00B306D3">
      <w:pPr>
        <w:spacing w:before="0" w:after="0" w:line="240" w:lineRule="auto"/>
      </w:pPr>
      <w:r>
        <w:separator/>
      </w:r>
    </w:p>
  </w:endnote>
  <w:endnote w:type="continuationSeparator" w:id="0">
    <w:p w14:paraId="61D8F870" w14:textId="77777777" w:rsidR="00B306D3" w:rsidRDefault="00B306D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604020202020204"/>
    <w:charset w:val="00"/>
    <w:family w:val="auto"/>
    <w:pitch w:val="default"/>
    <w:embedRegular r:id="rId1" w:fontKey="{1D506120-622E-7D4F-8ECC-FA04C12A8103}"/>
  </w:font>
  <w:font w:name="Courier New">
    <w:panose1 w:val="02070309020205020404"/>
    <w:charset w:val="00"/>
    <w:family w:val="modern"/>
    <w:pitch w:val="fixed"/>
    <w:sig w:usb0="E0002EFF" w:usb1="C0007843" w:usb2="00000009" w:usb3="00000000" w:csb0="000001FF" w:csb1="00000000"/>
    <w:embedRegular r:id="rId2" w:fontKey="{6E562AC5-0189-5E47-88AD-64F29F23C021}"/>
  </w:font>
  <w:font w:name="Times New Roman">
    <w:panose1 w:val="02020603050405020304"/>
    <w:charset w:val="00"/>
    <w:family w:val="roman"/>
    <w:pitch w:val="variable"/>
    <w:sig w:usb0="E0002EFF" w:usb1="C000785B" w:usb2="00000009" w:usb3="00000000" w:csb0="000001FF" w:csb1="00000000"/>
    <w:embedRegular r:id="rId3" w:fontKey="{B8925E0E-37A6-D64C-A4CA-1BF1FD94A2B4}"/>
    <w:embedBold r:id="rId4" w:fontKey="{1CF48ABF-EC92-A54A-9B51-721C32584060}"/>
    <w:embedItalic r:id="rId5" w:fontKey="{D8C2DC7B-CD63-4B40-91E1-0987C393123B}"/>
    <w:embedBoldItalic r:id="rId6" w:fontKey="{30F97696-8FE9-854F-8154-6D94731D9AA9}"/>
  </w:font>
  <w:font w:name="Arial">
    <w:panose1 w:val="020B0604020202020204"/>
    <w:charset w:val="00"/>
    <w:family w:val="swiss"/>
    <w:pitch w:val="variable"/>
    <w:sig w:usb0="E0002EFF" w:usb1="C000785B" w:usb2="00000009" w:usb3="00000000" w:csb0="000001FF" w:csb1="00000000"/>
    <w:embedRegular r:id="rId7" w:fontKey="{9E976FDA-9253-7441-B773-E2029A964315}"/>
    <w:embedBold r:id="rId8" w:fontKey="{6D27ADC6-FBA0-1749-940E-78FE61D6C620}"/>
  </w:font>
  <w:font w:name="Cambria">
    <w:panose1 w:val="02040503050406030204"/>
    <w:charset w:val="00"/>
    <w:family w:val="roman"/>
    <w:pitch w:val="variable"/>
    <w:sig w:usb0="E00006FF" w:usb1="420024FF" w:usb2="02000000" w:usb3="00000000" w:csb0="0000019F" w:csb1="00000000"/>
    <w:embedRegular r:id="rId9" w:fontKey="{21554311-6D09-8448-B506-34E6846D6FC7}"/>
    <w:embedBold r:id="rId10" w:fontKey="{24D71804-1403-7342-8C91-9BADD2F66C6B}"/>
  </w:font>
  <w:font w:name="Garamond">
    <w:panose1 w:val="02020404030301010803"/>
    <w:charset w:val="00"/>
    <w:family w:val="roman"/>
    <w:pitch w:val="variable"/>
    <w:sig w:usb0="00000287" w:usb1="00000002" w:usb2="00000000" w:usb3="00000000" w:csb0="0000009F" w:csb1="00000000"/>
    <w:embedRegular r:id="rId11" w:fontKey="{5AFDAED9-F57D-3C48-9FAA-F3565E6ABDF9}"/>
  </w:font>
  <w:font w:name="Aptos">
    <w:panose1 w:val="020B0004020202020204"/>
    <w:charset w:val="00"/>
    <w:family w:val="swiss"/>
    <w:pitch w:val="variable"/>
    <w:sig w:usb0="20000287" w:usb1="00000003" w:usb2="00000000" w:usb3="00000000" w:csb0="0000019F" w:csb1="00000000"/>
    <w:embedRegular r:id="rId12" w:fontKey="{8299B841-D07D-2247-B9E2-3143DC6412B1}"/>
  </w:font>
  <w:font w:name="Cambria Math">
    <w:panose1 w:val="02040503050406030204"/>
    <w:charset w:val="00"/>
    <w:family w:val="roman"/>
    <w:pitch w:val="variable"/>
    <w:sig w:usb0="E00002FF" w:usb1="420024FF" w:usb2="00000000" w:usb3="00000000" w:csb0="0000019F" w:csb1="00000000"/>
    <w:embedRegular r:id="rId13" w:fontKey="{F65DF7FC-5E2D-2A45-B6AA-9CFF9871F8EA}"/>
    <w:embedItalic r:id="rId14" w:fontKey="{96E7E904-1C9B-204E-99B5-D4A74A2AA6C9}"/>
  </w:font>
  <w:font w:name="Aptos Display">
    <w:panose1 w:val="020B0004020202020204"/>
    <w:charset w:val="00"/>
    <w:family w:val="swiss"/>
    <w:pitch w:val="variable"/>
    <w:sig w:usb0="20000287" w:usb1="00000003" w:usb2="00000000" w:usb3="00000000" w:csb0="0000019F" w:csb1="00000000"/>
    <w:embedRegular r:id="rId15" w:fontKey="{5A08EBDC-0EE7-7D4F-BB20-D6D722F4FFF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6F03E" w14:textId="77777777" w:rsidR="00B306D3" w:rsidRDefault="00B306D3">
      <w:pPr>
        <w:spacing w:before="0" w:after="0" w:line="240" w:lineRule="auto"/>
      </w:pPr>
      <w:r>
        <w:separator/>
      </w:r>
    </w:p>
  </w:footnote>
  <w:footnote w:type="continuationSeparator" w:id="0">
    <w:p w14:paraId="154C6087" w14:textId="77777777" w:rsidR="00B306D3" w:rsidRDefault="00B306D3">
      <w:pPr>
        <w:spacing w:before="0" w:after="0" w:line="240" w:lineRule="auto"/>
      </w:pPr>
      <w:r>
        <w:continuationSeparator/>
      </w:r>
    </w:p>
  </w:footnote>
  <w:footnote w:id="1">
    <w:p w14:paraId="000000AA" w14:textId="77777777" w:rsidR="00C00A42" w:rsidRDefault="00000000">
      <w:pPr>
        <w:spacing w:before="0" w:after="0" w:line="240" w:lineRule="auto"/>
        <w:rPr>
          <w:sz w:val="20"/>
          <w:szCs w:val="20"/>
        </w:rPr>
      </w:pPr>
      <w:r>
        <w:rPr>
          <w:rStyle w:val="FootnoteReference"/>
        </w:rPr>
        <w:footnoteRef/>
      </w:r>
      <w:r>
        <w:rPr>
          <w:sz w:val="20"/>
          <w:szCs w:val="20"/>
        </w:rPr>
        <w:t xml:space="preserve"> </w:t>
      </w:r>
      <w:proofErr w:type="spellStart"/>
      <w:r>
        <w:rPr>
          <w:b/>
          <w:bCs/>
          <w:sz w:val="20"/>
          <w:szCs w:val="20"/>
        </w:rPr>
        <w:t>Subsistema</w:t>
      </w:r>
      <w:proofErr w:type="spellEnd"/>
      <w:r>
        <w:rPr>
          <w:b/>
          <w:bCs/>
          <w:sz w:val="20"/>
          <w:szCs w:val="20"/>
        </w:rPr>
        <w:t xml:space="preserve"> </w:t>
      </w:r>
      <w:proofErr w:type="spellStart"/>
      <w:r>
        <w:rPr>
          <w:b/>
          <w:bCs/>
          <w:sz w:val="20"/>
          <w:szCs w:val="20"/>
        </w:rPr>
        <w:t>Seguridades</w:t>
      </w:r>
      <w:proofErr w:type="spellEnd"/>
      <w:r>
        <w:rPr>
          <w:b/>
          <w:bCs/>
          <w:sz w:val="20"/>
          <w:szCs w:val="20"/>
        </w:rPr>
        <w:t xml:space="preserve"> y </w:t>
      </w:r>
      <w:proofErr w:type="spellStart"/>
      <w:r>
        <w:rPr>
          <w:b/>
          <w:bCs/>
          <w:sz w:val="20"/>
          <w:szCs w:val="20"/>
        </w:rPr>
        <w:t>Oportunidades</w:t>
      </w:r>
      <w:proofErr w:type="spellEnd"/>
      <w:r>
        <w:rPr>
          <w:b/>
          <w:bCs/>
          <w:sz w:val="20"/>
          <w:szCs w:val="20"/>
        </w:rPr>
        <w:t xml:space="preserve"> (SSyOO):</w:t>
      </w:r>
      <w:r>
        <w:rPr>
          <w:sz w:val="20"/>
          <w:szCs w:val="20"/>
        </w:rPr>
        <w:t xml:space="preserve"> Chile's social protection subsystem targeting households in extreme poverty and vulnerability, established under Law 20.595 (2012) and administered by the Ministry of Social Development and Family. It provides participating households with psychosocial and labour inclusion support through case workers, conditional and unconditional cash transfers, and facilitated access to social services. Households enter through one of several programme tracks, primarily </w:t>
      </w:r>
      <w:proofErr w:type="spellStart"/>
      <w:r>
        <w:rPr>
          <w:sz w:val="20"/>
          <w:szCs w:val="20"/>
        </w:rPr>
        <w:t>Programa</w:t>
      </w:r>
      <w:proofErr w:type="spellEnd"/>
      <w:r>
        <w:rPr>
          <w:sz w:val="20"/>
          <w:szCs w:val="20"/>
        </w:rPr>
        <w:t xml:space="preserve"> </w:t>
      </w:r>
      <w:proofErr w:type="spellStart"/>
      <w:r>
        <w:rPr>
          <w:sz w:val="20"/>
          <w:szCs w:val="20"/>
        </w:rPr>
        <w:t>Familias</w:t>
      </w:r>
      <w:proofErr w:type="spellEnd"/>
      <w:r>
        <w:rPr>
          <w:sz w:val="20"/>
          <w:szCs w:val="20"/>
        </w:rPr>
        <w:t xml:space="preserve"> (for households in extreme poverty) and </w:t>
      </w:r>
      <w:proofErr w:type="spellStart"/>
      <w:r>
        <w:rPr>
          <w:sz w:val="20"/>
          <w:szCs w:val="20"/>
        </w:rPr>
        <w:t>Grupos</w:t>
      </w:r>
      <w:proofErr w:type="spellEnd"/>
      <w:r>
        <w:rPr>
          <w:sz w:val="20"/>
          <w:szCs w:val="20"/>
        </w:rPr>
        <w:t xml:space="preserve"> </w:t>
      </w:r>
      <w:proofErr w:type="spellStart"/>
      <w:r>
        <w:rPr>
          <w:sz w:val="20"/>
          <w:szCs w:val="20"/>
        </w:rPr>
        <w:t>Vulnerables</w:t>
      </w:r>
      <w:proofErr w:type="spellEnd"/>
      <w:r>
        <w:rPr>
          <w:sz w:val="20"/>
          <w:szCs w:val="20"/>
        </w:rPr>
        <w:t xml:space="preserve"> (for specific vulnerable populations including older adults and families with a member in prison). Families who participate in </w:t>
      </w:r>
      <w:proofErr w:type="spellStart"/>
      <w:r>
        <w:rPr>
          <w:sz w:val="20"/>
          <w:szCs w:val="20"/>
        </w:rPr>
        <w:t>Habitabilidad</w:t>
      </w:r>
      <w:proofErr w:type="spellEnd"/>
      <w:r>
        <w:rPr>
          <w:sz w:val="20"/>
          <w:szCs w:val="20"/>
        </w:rPr>
        <w:t xml:space="preserve"> must be SSyOO families.</w:t>
      </w:r>
    </w:p>
  </w:footnote>
  <w:footnote w:id="2">
    <w:p w14:paraId="000000AB" w14:textId="77777777" w:rsidR="00C00A42" w:rsidRDefault="00000000">
      <w:pPr>
        <w:spacing w:before="0" w:after="0" w:line="240" w:lineRule="auto"/>
        <w:rPr>
          <w:sz w:val="20"/>
          <w:szCs w:val="20"/>
        </w:rPr>
      </w:pPr>
      <w:r>
        <w:rPr>
          <w:rStyle w:val="FootnoteReference"/>
        </w:rPr>
        <w:footnoteRef/>
      </w:r>
      <w:r>
        <w:rPr>
          <w:sz w:val="20"/>
          <w:szCs w:val="20"/>
        </w:rPr>
        <w:t xml:space="preserve"> </w:t>
      </w:r>
      <w:r>
        <w:rPr>
          <w:b/>
          <w:bCs/>
          <w:sz w:val="20"/>
          <w:szCs w:val="20"/>
        </w:rPr>
        <w:t xml:space="preserve">Chile </w:t>
      </w:r>
      <w:proofErr w:type="spellStart"/>
      <w:r>
        <w:rPr>
          <w:b/>
          <w:bCs/>
          <w:sz w:val="20"/>
          <w:szCs w:val="20"/>
        </w:rPr>
        <w:t>Crece</w:t>
      </w:r>
      <w:proofErr w:type="spellEnd"/>
      <w:r>
        <w:rPr>
          <w:b/>
          <w:bCs/>
          <w:sz w:val="20"/>
          <w:szCs w:val="20"/>
        </w:rPr>
        <w:t xml:space="preserve"> Contigo (</w:t>
      </w:r>
      <w:proofErr w:type="spellStart"/>
      <w:r>
        <w:rPr>
          <w:b/>
          <w:bCs/>
          <w:sz w:val="20"/>
          <w:szCs w:val="20"/>
        </w:rPr>
        <w:t>ChCC</w:t>
      </w:r>
      <w:proofErr w:type="spellEnd"/>
      <w:r>
        <w:rPr>
          <w:b/>
          <w:bCs/>
          <w:sz w:val="20"/>
          <w:szCs w:val="20"/>
        </w:rPr>
        <w:t>):</w:t>
      </w:r>
      <w:r>
        <w:rPr>
          <w:sz w:val="20"/>
          <w:szCs w:val="20"/>
        </w:rPr>
        <w:t xml:space="preserve"> A nationwide early childhood protection system launched in 2007 and institutionalised under Law 20.379 (2009), coordinated by the Ministry of Social Development and Family. It provides universal support to all children and families attending the public health system from pregnancy through age 9, while targeting focalized benefits, including priority access to social services, childcare, and developmental support, to families within the 60% most vulnerable according to the Registro Social de </w:t>
      </w:r>
      <w:proofErr w:type="spellStart"/>
      <w:r>
        <w:rPr>
          <w:sz w:val="20"/>
          <w:szCs w:val="20"/>
        </w:rPr>
        <w:t>Hogares</w:t>
      </w:r>
      <w:proofErr w:type="spellEnd"/>
      <w:r>
        <w:rPr>
          <w:sz w:val="20"/>
          <w:szCs w:val="20"/>
        </w:rPr>
        <w:t xml:space="preserve"> (RSH).</w:t>
      </w:r>
    </w:p>
  </w:footnote>
  <w:footnote w:id="3">
    <w:p w14:paraId="000000AC" w14:textId="77777777" w:rsidR="00C00A42" w:rsidRDefault="00000000">
      <w:pPr>
        <w:spacing w:before="0" w:after="0" w:line="240" w:lineRule="auto"/>
      </w:pPr>
      <w:r>
        <w:rPr>
          <w:rStyle w:val="FootnoteReference"/>
        </w:rPr>
        <w:footnoteRef/>
      </w:r>
      <w:r>
        <w:t xml:space="preserve"> 488 individuals appear more than once in the dataset. This database was obtained through a public information request.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D6001"/>
    <w:multiLevelType w:val="multilevel"/>
    <w:tmpl w:val="8BD28A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E2C238B"/>
    <w:multiLevelType w:val="multilevel"/>
    <w:tmpl w:val="8E1E7E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5804989"/>
    <w:multiLevelType w:val="multilevel"/>
    <w:tmpl w:val="851884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597059544">
    <w:abstractNumId w:val="1"/>
  </w:num>
  <w:num w:numId="2" w16cid:durableId="862665707">
    <w:abstractNumId w:val="0"/>
  </w:num>
  <w:num w:numId="3" w16cid:durableId="9584950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A42"/>
    <w:rsid w:val="00057E5B"/>
    <w:rsid w:val="0007687A"/>
    <w:rsid w:val="001822CB"/>
    <w:rsid w:val="00186B0E"/>
    <w:rsid w:val="00281D7B"/>
    <w:rsid w:val="00307D0F"/>
    <w:rsid w:val="00344E19"/>
    <w:rsid w:val="00474D07"/>
    <w:rsid w:val="004B110B"/>
    <w:rsid w:val="004B778E"/>
    <w:rsid w:val="00503332"/>
    <w:rsid w:val="00662D93"/>
    <w:rsid w:val="006A5082"/>
    <w:rsid w:val="0072736C"/>
    <w:rsid w:val="00891857"/>
    <w:rsid w:val="0089749C"/>
    <w:rsid w:val="009C5EBD"/>
    <w:rsid w:val="00A26A0C"/>
    <w:rsid w:val="00A7215B"/>
    <w:rsid w:val="00B306D3"/>
    <w:rsid w:val="00B81ACE"/>
    <w:rsid w:val="00C00A42"/>
    <w:rsid w:val="00CC6E9F"/>
    <w:rsid w:val="00D64030"/>
    <w:rsid w:val="00E773CE"/>
    <w:rsid w:val="00ED0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D3D5C"/>
  <w15:docId w15:val="{7CF7288B-D8A4-F744-A9E8-5678D62E0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pBdr>
        <w:top w:val="single" w:sz="24" w:space="0" w:color="156082"/>
        <w:left w:val="single" w:sz="24" w:space="0" w:color="156082"/>
        <w:bottom w:val="single" w:sz="24" w:space="0" w:color="156082"/>
        <w:right w:val="single" w:sz="24" w:space="0" w:color="156082"/>
      </w:pBdr>
      <w:shd w:val="clear" w:color="auto" w:fill="156082"/>
      <w:spacing w:after="0"/>
      <w:outlineLvl w:val="0"/>
    </w:pPr>
    <w:rPr>
      <w:b/>
      <w:bCs/>
      <w:smallCaps/>
      <w:color w:val="FFFFFF"/>
      <w:sz w:val="22"/>
      <w:szCs w:val="22"/>
    </w:rPr>
  </w:style>
  <w:style w:type="paragraph" w:styleId="Heading2">
    <w:name w:val="heading 2"/>
    <w:basedOn w:val="Normal"/>
    <w:next w:val="Normal"/>
    <w:link w:val="Heading2Char"/>
    <w:uiPriority w:val="9"/>
    <w:unhideWhenUsed/>
    <w:qFormat/>
    <w:pPr>
      <w:pBdr>
        <w:top w:val="single" w:sz="24" w:space="0" w:color="C1E4F5"/>
        <w:left w:val="single" w:sz="24" w:space="0" w:color="C1E4F5"/>
        <w:bottom w:val="single" w:sz="24" w:space="0" w:color="C1E4F5"/>
        <w:right w:val="single" w:sz="24" w:space="0" w:color="C1E4F5"/>
      </w:pBdr>
      <w:shd w:val="clear" w:color="auto" w:fill="C1E4F5"/>
      <w:spacing w:after="0"/>
      <w:outlineLvl w:val="1"/>
    </w:pPr>
    <w:rPr>
      <w:smallCaps/>
      <w:sz w:val="22"/>
      <w:szCs w:val="22"/>
    </w:rPr>
  </w:style>
  <w:style w:type="paragraph" w:styleId="Heading3">
    <w:name w:val="heading 3"/>
    <w:basedOn w:val="Normal"/>
    <w:next w:val="Normal"/>
    <w:link w:val="Heading3Char"/>
    <w:uiPriority w:val="9"/>
    <w:unhideWhenUsed/>
    <w:qFormat/>
    <w:pPr>
      <w:pBdr>
        <w:top w:val="single" w:sz="6" w:space="2" w:color="156082"/>
        <w:left w:val="single" w:sz="6" w:space="2" w:color="156082"/>
      </w:pBdr>
      <w:spacing w:before="300" w:after="0"/>
      <w:outlineLvl w:val="2"/>
    </w:pPr>
    <w:rPr>
      <w:smallCaps/>
      <w:color w:val="0A2F40"/>
      <w:sz w:val="22"/>
      <w:szCs w:val="22"/>
    </w:rPr>
  </w:style>
  <w:style w:type="paragraph" w:styleId="Heading4">
    <w:name w:val="heading 4"/>
    <w:basedOn w:val="Normal"/>
    <w:next w:val="Normal"/>
    <w:link w:val="Heading4Char"/>
    <w:uiPriority w:val="9"/>
    <w:semiHidden/>
    <w:unhideWhenUsed/>
    <w:qFormat/>
    <w:pPr>
      <w:pBdr>
        <w:top w:val="dotted" w:sz="6" w:space="2" w:color="156082"/>
        <w:left w:val="dotted" w:sz="6" w:space="2" w:color="156082"/>
      </w:pBdr>
      <w:spacing w:before="300" w:after="0"/>
      <w:outlineLvl w:val="3"/>
    </w:pPr>
    <w:rPr>
      <w:smallCaps/>
      <w:color w:val="0F4761"/>
      <w:sz w:val="22"/>
      <w:szCs w:val="22"/>
    </w:rPr>
  </w:style>
  <w:style w:type="paragraph" w:styleId="Heading5">
    <w:name w:val="heading 5"/>
    <w:basedOn w:val="Normal"/>
    <w:next w:val="Normal"/>
    <w:link w:val="Heading5Char"/>
    <w:uiPriority w:val="9"/>
    <w:semiHidden/>
    <w:unhideWhenUsed/>
    <w:qFormat/>
    <w:pPr>
      <w:pBdr>
        <w:bottom w:val="single" w:sz="6" w:space="1" w:color="156082"/>
      </w:pBdr>
      <w:spacing w:before="300" w:after="0"/>
      <w:outlineLvl w:val="4"/>
    </w:pPr>
    <w:rPr>
      <w:smallCaps/>
      <w:color w:val="0F4761"/>
      <w:sz w:val="22"/>
      <w:szCs w:val="22"/>
    </w:rPr>
  </w:style>
  <w:style w:type="paragraph" w:styleId="Heading6">
    <w:name w:val="heading 6"/>
    <w:basedOn w:val="Normal"/>
    <w:next w:val="Normal"/>
    <w:link w:val="Heading6Char"/>
    <w:uiPriority w:val="9"/>
    <w:semiHidden/>
    <w:unhideWhenUsed/>
    <w:qFormat/>
    <w:pPr>
      <w:pBdr>
        <w:bottom w:val="dotted" w:sz="6" w:space="1" w:color="156082"/>
      </w:pBdr>
      <w:spacing w:before="300" w:after="0"/>
      <w:outlineLvl w:val="5"/>
    </w:pPr>
    <w:rPr>
      <w:smallCaps/>
      <w:color w:val="0F4761"/>
      <w:sz w:val="22"/>
      <w:szCs w:val="22"/>
    </w:rPr>
  </w:style>
  <w:style w:type="paragraph" w:styleId="Heading7">
    <w:name w:val="heading 7"/>
    <w:basedOn w:val="Normal"/>
    <w:next w:val="Normal"/>
    <w:link w:val="Heading7Char"/>
    <w:uiPriority w:val="9"/>
    <w:semiHidden/>
    <w:unhideWhenUsed/>
    <w:qFormat/>
    <w:rsid w:val="00E0612C"/>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E0612C"/>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0612C"/>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before="720"/>
    </w:pPr>
    <w:rPr>
      <w:smallCaps/>
      <w:color w:val="156082"/>
      <w:sz w:val="52"/>
      <w:szCs w:val="52"/>
    </w:rPr>
  </w:style>
  <w:style w:type="table" w:styleId="GridTable1Light">
    <w:name w:val="Grid Table 1 Light"/>
    <w:basedOn w:val="TableNormal"/>
    <w:uiPriority w:val="46"/>
    <w:rsid w:val="00D955EA"/>
    <w:rPr>
      <w:rFonts w:ascii="Arial" w:eastAsia="Cambria" w:hAnsi="Arial"/>
      <w:color w:val="595959"/>
      <w:sz w:val="20"/>
      <w:szCs w:val="28"/>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ffff">
    <w:name w:val="ffff"/>
    <w:basedOn w:val="TableNormal"/>
    <w:uiPriority w:val="99"/>
    <w:rsid w:val="00E308FB"/>
    <w:rPr>
      <w:rFonts w:ascii="Arial" w:eastAsia="Cambria" w:hAnsi="Arial"/>
      <w:color w:val="595959"/>
      <w:szCs w:val="28"/>
      <w:lang w:val="en-US"/>
    </w:rPr>
    <w:tblPr/>
  </w:style>
  <w:style w:type="table" w:customStyle="1" w:styleId="paper">
    <w:name w:val="paper"/>
    <w:basedOn w:val="TableNormal"/>
    <w:uiPriority w:val="99"/>
    <w:rsid w:val="001E4EC6"/>
    <w:rPr>
      <w:rFonts w:ascii="Garamond" w:hAnsi="Garamond"/>
      <w:sz w:val="21"/>
    </w:rPr>
    <w:tblPr/>
  </w:style>
  <w:style w:type="character" w:customStyle="1" w:styleId="Heading1Char">
    <w:name w:val="Heading 1 Char"/>
    <w:basedOn w:val="DefaultParagraphFont"/>
    <w:link w:val="Heading1"/>
    <w:uiPriority w:val="9"/>
    <w:rsid w:val="00E0612C"/>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rsid w:val="00E0612C"/>
    <w:rPr>
      <w:caps/>
      <w:spacing w:val="15"/>
      <w:shd w:val="clear" w:color="auto" w:fill="C1E4F5" w:themeFill="accent1" w:themeFillTint="33"/>
    </w:rPr>
  </w:style>
  <w:style w:type="character" w:customStyle="1" w:styleId="Heading3Char">
    <w:name w:val="Heading 3 Char"/>
    <w:basedOn w:val="DefaultParagraphFont"/>
    <w:link w:val="Heading3"/>
    <w:uiPriority w:val="9"/>
    <w:rsid w:val="000E21BD"/>
    <w:rPr>
      <w:caps/>
      <w:color w:val="0A2F40" w:themeColor="accent1" w:themeShade="7F"/>
      <w:spacing w:val="15"/>
    </w:rPr>
  </w:style>
  <w:style w:type="character" w:customStyle="1" w:styleId="Heading4Char">
    <w:name w:val="Heading 4 Char"/>
    <w:basedOn w:val="DefaultParagraphFont"/>
    <w:link w:val="Heading4"/>
    <w:uiPriority w:val="9"/>
    <w:rsid w:val="00E0612C"/>
    <w:rPr>
      <w:caps/>
      <w:color w:val="0F4761" w:themeColor="accent1" w:themeShade="BF"/>
      <w:spacing w:val="10"/>
    </w:rPr>
  </w:style>
  <w:style w:type="character" w:customStyle="1" w:styleId="Heading5Char">
    <w:name w:val="Heading 5 Char"/>
    <w:basedOn w:val="DefaultParagraphFont"/>
    <w:link w:val="Heading5"/>
    <w:uiPriority w:val="9"/>
    <w:semiHidden/>
    <w:rsid w:val="00E0612C"/>
    <w:rPr>
      <w:caps/>
      <w:color w:val="0F4761" w:themeColor="accent1" w:themeShade="BF"/>
      <w:spacing w:val="10"/>
    </w:rPr>
  </w:style>
  <w:style w:type="character" w:customStyle="1" w:styleId="Heading6Char">
    <w:name w:val="Heading 6 Char"/>
    <w:basedOn w:val="DefaultParagraphFont"/>
    <w:link w:val="Heading6"/>
    <w:uiPriority w:val="9"/>
    <w:semiHidden/>
    <w:rsid w:val="00E0612C"/>
    <w:rPr>
      <w:caps/>
      <w:color w:val="0F4761" w:themeColor="accent1" w:themeShade="BF"/>
      <w:spacing w:val="10"/>
    </w:rPr>
  </w:style>
  <w:style w:type="character" w:customStyle="1" w:styleId="Heading7Char">
    <w:name w:val="Heading 7 Char"/>
    <w:basedOn w:val="DefaultParagraphFont"/>
    <w:link w:val="Heading7"/>
    <w:uiPriority w:val="9"/>
    <w:semiHidden/>
    <w:rsid w:val="00E0612C"/>
    <w:rPr>
      <w:caps/>
      <w:color w:val="0F4761" w:themeColor="accent1" w:themeShade="BF"/>
      <w:spacing w:val="10"/>
    </w:rPr>
  </w:style>
  <w:style w:type="character" w:customStyle="1" w:styleId="Heading8Char">
    <w:name w:val="Heading 8 Char"/>
    <w:basedOn w:val="DefaultParagraphFont"/>
    <w:link w:val="Heading8"/>
    <w:uiPriority w:val="9"/>
    <w:semiHidden/>
    <w:rsid w:val="00E0612C"/>
    <w:rPr>
      <w:caps/>
      <w:spacing w:val="10"/>
      <w:sz w:val="18"/>
      <w:szCs w:val="18"/>
    </w:rPr>
  </w:style>
  <w:style w:type="character" w:customStyle="1" w:styleId="Heading9Char">
    <w:name w:val="Heading 9 Char"/>
    <w:basedOn w:val="DefaultParagraphFont"/>
    <w:link w:val="Heading9"/>
    <w:uiPriority w:val="9"/>
    <w:semiHidden/>
    <w:rsid w:val="00E0612C"/>
    <w:rPr>
      <w:i/>
      <w:caps/>
      <w:spacing w:val="10"/>
      <w:sz w:val="18"/>
      <w:szCs w:val="18"/>
    </w:rPr>
  </w:style>
  <w:style w:type="character" w:customStyle="1" w:styleId="TitleChar">
    <w:name w:val="Title Char"/>
    <w:basedOn w:val="DefaultParagraphFont"/>
    <w:link w:val="Title"/>
    <w:uiPriority w:val="10"/>
    <w:rsid w:val="00E0612C"/>
    <w:rPr>
      <w:caps/>
      <w:color w:val="156082" w:themeColor="accent1"/>
      <w:spacing w:val="10"/>
      <w:kern w:val="28"/>
      <w:sz w:val="52"/>
      <w:szCs w:val="52"/>
    </w:rPr>
  </w:style>
  <w:style w:type="character" w:customStyle="1" w:styleId="SubtitleChar">
    <w:name w:val="Subtitle Char"/>
    <w:basedOn w:val="DefaultParagraphFont"/>
    <w:link w:val="Subtitle"/>
    <w:uiPriority w:val="11"/>
    <w:rsid w:val="00E0612C"/>
    <w:rPr>
      <w:caps/>
      <w:color w:val="595959" w:themeColor="text1" w:themeTint="A6"/>
      <w:spacing w:val="10"/>
      <w:sz w:val="24"/>
      <w:szCs w:val="24"/>
    </w:rPr>
  </w:style>
  <w:style w:type="paragraph" w:styleId="Quote">
    <w:name w:val="Quote"/>
    <w:basedOn w:val="Normal"/>
    <w:next w:val="Normal"/>
    <w:link w:val="QuoteChar"/>
    <w:uiPriority w:val="29"/>
    <w:qFormat/>
    <w:rsid w:val="00E0612C"/>
    <w:rPr>
      <w:i/>
      <w:iCs/>
    </w:rPr>
  </w:style>
  <w:style w:type="character" w:customStyle="1" w:styleId="QuoteChar">
    <w:name w:val="Quote Char"/>
    <w:basedOn w:val="DefaultParagraphFont"/>
    <w:link w:val="Quote"/>
    <w:uiPriority w:val="29"/>
    <w:rsid w:val="00E0612C"/>
    <w:rPr>
      <w:i/>
      <w:iCs/>
      <w:sz w:val="20"/>
      <w:szCs w:val="20"/>
    </w:rPr>
  </w:style>
  <w:style w:type="paragraph" w:styleId="ListParagraph">
    <w:name w:val="List Paragraph"/>
    <w:basedOn w:val="Normal"/>
    <w:uiPriority w:val="34"/>
    <w:qFormat/>
    <w:rsid w:val="00E0612C"/>
    <w:pPr>
      <w:ind w:left="720"/>
      <w:contextualSpacing/>
    </w:pPr>
  </w:style>
  <w:style w:type="character" w:styleId="IntenseEmphasis">
    <w:name w:val="Intense Emphasis"/>
    <w:uiPriority w:val="21"/>
    <w:qFormat/>
    <w:rsid w:val="00E0612C"/>
    <w:rPr>
      <w:b/>
      <w:bCs/>
      <w:caps/>
      <w:color w:val="0A2F40" w:themeColor="accent1" w:themeShade="7F"/>
      <w:spacing w:val="10"/>
    </w:rPr>
  </w:style>
  <w:style w:type="paragraph" w:styleId="IntenseQuote">
    <w:name w:val="Intense Quote"/>
    <w:basedOn w:val="Normal"/>
    <w:next w:val="Normal"/>
    <w:link w:val="IntenseQuoteChar"/>
    <w:uiPriority w:val="30"/>
    <w:qFormat/>
    <w:rsid w:val="00E0612C"/>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E0612C"/>
    <w:rPr>
      <w:i/>
      <w:iCs/>
      <w:color w:val="156082" w:themeColor="accent1"/>
      <w:sz w:val="20"/>
      <w:szCs w:val="20"/>
    </w:rPr>
  </w:style>
  <w:style w:type="character" w:styleId="IntenseReference">
    <w:name w:val="Intense Reference"/>
    <w:uiPriority w:val="32"/>
    <w:qFormat/>
    <w:rsid w:val="00E0612C"/>
    <w:rPr>
      <w:b/>
      <w:bCs/>
      <w:i/>
      <w:iCs/>
      <w:caps/>
      <w:color w:val="156082" w:themeColor="accent1"/>
    </w:rPr>
  </w:style>
  <w:style w:type="paragraph" w:styleId="NormalWeb">
    <w:name w:val="Normal (Web)"/>
    <w:basedOn w:val="Normal"/>
    <w:uiPriority w:val="99"/>
    <w:unhideWhenUsed/>
    <w:rsid w:val="00075F86"/>
  </w:style>
  <w:style w:type="character" w:styleId="Strong">
    <w:name w:val="Strong"/>
    <w:uiPriority w:val="22"/>
    <w:qFormat/>
    <w:rsid w:val="00E0612C"/>
    <w:rPr>
      <w:b/>
      <w:bCs/>
    </w:rPr>
  </w:style>
  <w:style w:type="table" w:styleId="PlainTable2">
    <w:name w:val="Plain Table 2"/>
    <w:basedOn w:val="TableNormal"/>
    <w:uiPriority w:val="42"/>
    <w:rsid w:val="00475E0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DE20AD"/>
    <w:rPr>
      <w:sz w:val="16"/>
      <w:szCs w:val="16"/>
    </w:rPr>
  </w:style>
  <w:style w:type="paragraph" w:styleId="CommentText">
    <w:name w:val="annotation text"/>
    <w:basedOn w:val="Normal"/>
    <w:link w:val="CommentTextChar"/>
    <w:uiPriority w:val="99"/>
    <w:semiHidden/>
    <w:unhideWhenUsed/>
    <w:rsid w:val="00DE20AD"/>
  </w:style>
  <w:style w:type="character" w:customStyle="1" w:styleId="CommentTextChar">
    <w:name w:val="Comment Text Char"/>
    <w:basedOn w:val="DefaultParagraphFont"/>
    <w:link w:val="CommentText"/>
    <w:uiPriority w:val="99"/>
    <w:semiHidden/>
    <w:rsid w:val="00DE20AD"/>
    <w:rPr>
      <w:sz w:val="20"/>
      <w:szCs w:val="20"/>
    </w:rPr>
  </w:style>
  <w:style w:type="paragraph" w:styleId="CommentSubject">
    <w:name w:val="annotation subject"/>
    <w:basedOn w:val="CommentText"/>
    <w:next w:val="CommentText"/>
    <w:link w:val="CommentSubjectChar"/>
    <w:uiPriority w:val="99"/>
    <w:semiHidden/>
    <w:unhideWhenUsed/>
    <w:rsid w:val="00DE20AD"/>
    <w:rPr>
      <w:b/>
      <w:bCs/>
    </w:rPr>
  </w:style>
  <w:style w:type="character" w:customStyle="1" w:styleId="CommentSubjectChar">
    <w:name w:val="Comment Subject Char"/>
    <w:basedOn w:val="CommentTextChar"/>
    <w:link w:val="CommentSubject"/>
    <w:uiPriority w:val="99"/>
    <w:semiHidden/>
    <w:rsid w:val="00DE20AD"/>
    <w:rPr>
      <w:b/>
      <w:bCs/>
      <w:sz w:val="20"/>
      <w:szCs w:val="20"/>
    </w:rPr>
  </w:style>
  <w:style w:type="paragraph" w:styleId="NoSpacing">
    <w:name w:val="No Spacing"/>
    <w:basedOn w:val="Normal"/>
    <w:link w:val="NoSpacingChar"/>
    <w:uiPriority w:val="1"/>
    <w:qFormat/>
    <w:rsid w:val="00E0612C"/>
    <w:pPr>
      <w:spacing w:before="0" w:after="0" w:line="240" w:lineRule="auto"/>
    </w:pPr>
  </w:style>
  <w:style w:type="table" w:styleId="TableGrid">
    <w:name w:val="Table Grid"/>
    <w:basedOn w:val="TableNormal"/>
    <w:uiPriority w:val="39"/>
    <w:rsid w:val="007A59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E0612C"/>
    <w:rPr>
      <w:b/>
      <w:bCs/>
      <w:color w:val="0F4761" w:themeColor="accent1" w:themeShade="BF"/>
      <w:sz w:val="16"/>
      <w:szCs w:val="16"/>
    </w:rPr>
  </w:style>
  <w:style w:type="character" w:styleId="Emphasis">
    <w:name w:val="Emphasis"/>
    <w:uiPriority w:val="20"/>
    <w:qFormat/>
    <w:rsid w:val="00E0612C"/>
    <w:rPr>
      <w:caps/>
      <w:color w:val="0A2F40" w:themeColor="accent1" w:themeShade="7F"/>
      <w:spacing w:val="5"/>
    </w:rPr>
  </w:style>
  <w:style w:type="character" w:customStyle="1" w:styleId="NoSpacingChar">
    <w:name w:val="No Spacing Char"/>
    <w:basedOn w:val="DefaultParagraphFont"/>
    <w:link w:val="NoSpacing"/>
    <w:uiPriority w:val="1"/>
    <w:rsid w:val="00E0612C"/>
    <w:rPr>
      <w:sz w:val="20"/>
      <w:szCs w:val="20"/>
    </w:rPr>
  </w:style>
  <w:style w:type="character" w:styleId="SubtleEmphasis">
    <w:name w:val="Subtle Emphasis"/>
    <w:uiPriority w:val="19"/>
    <w:qFormat/>
    <w:rsid w:val="00E0612C"/>
    <w:rPr>
      <w:i/>
      <w:iCs/>
      <w:color w:val="0A2F40" w:themeColor="accent1" w:themeShade="7F"/>
    </w:rPr>
  </w:style>
  <w:style w:type="character" w:styleId="SubtleReference">
    <w:name w:val="Subtle Reference"/>
    <w:uiPriority w:val="31"/>
    <w:qFormat/>
    <w:rsid w:val="00E0612C"/>
    <w:rPr>
      <w:b/>
      <w:bCs/>
      <w:color w:val="156082" w:themeColor="accent1"/>
    </w:rPr>
  </w:style>
  <w:style w:type="character" w:styleId="BookTitle">
    <w:name w:val="Book Title"/>
    <w:uiPriority w:val="33"/>
    <w:qFormat/>
    <w:rsid w:val="00E0612C"/>
    <w:rPr>
      <w:b/>
      <w:bCs/>
      <w:i/>
      <w:iCs/>
      <w:spacing w:val="9"/>
    </w:rPr>
  </w:style>
  <w:style w:type="paragraph" w:styleId="TOCHeading">
    <w:name w:val="TOC Heading"/>
    <w:basedOn w:val="Heading1"/>
    <w:next w:val="Normal"/>
    <w:uiPriority w:val="39"/>
    <w:semiHidden/>
    <w:unhideWhenUsed/>
    <w:qFormat/>
    <w:rsid w:val="00E0612C"/>
    <w:pPr>
      <w:outlineLvl w:val="9"/>
    </w:pPr>
  </w:style>
  <w:style w:type="paragraph" w:customStyle="1" w:styleId="PersonalName">
    <w:name w:val="Personal Name"/>
    <w:basedOn w:val="Title"/>
    <w:rsid w:val="00E0612C"/>
    <w:rPr>
      <w:b/>
      <w:color w:val="000000"/>
      <w:sz w:val="28"/>
      <w:szCs w:val="28"/>
    </w:rPr>
  </w:style>
  <w:style w:type="paragraph" w:styleId="FootnoteText">
    <w:name w:val="footnote text"/>
    <w:basedOn w:val="Normal"/>
    <w:link w:val="FootnoteTextChar"/>
    <w:uiPriority w:val="99"/>
    <w:semiHidden/>
    <w:unhideWhenUsed/>
    <w:rsid w:val="00346425"/>
    <w:pPr>
      <w:spacing w:before="0" w:after="0" w:line="240" w:lineRule="auto"/>
    </w:pPr>
    <w:rPr>
      <w:rFonts w:eastAsiaTheme="minorHAnsi"/>
      <w:kern w:val="2"/>
    </w:rPr>
  </w:style>
  <w:style w:type="character" w:customStyle="1" w:styleId="FootnoteTextChar">
    <w:name w:val="Footnote Text Char"/>
    <w:basedOn w:val="DefaultParagraphFont"/>
    <w:link w:val="FootnoteText"/>
    <w:uiPriority w:val="99"/>
    <w:semiHidden/>
    <w:rsid w:val="00346425"/>
    <w:rPr>
      <w:rFonts w:eastAsiaTheme="minorHAnsi"/>
      <w:kern w:val="2"/>
      <w:sz w:val="20"/>
      <w:szCs w:val="20"/>
    </w:rPr>
  </w:style>
  <w:style w:type="character" w:styleId="FootnoteReference">
    <w:name w:val="footnote reference"/>
    <w:basedOn w:val="DefaultParagraphFont"/>
    <w:uiPriority w:val="99"/>
    <w:semiHidden/>
    <w:unhideWhenUsed/>
    <w:rsid w:val="00346425"/>
    <w:rPr>
      <w:vertAlign w:val="superscript"/>
    </w:rPr>
  </w:style>
  <w:style w:type="character" w:customStyle="1" w:styleId="vlist-s">
    <w:name w:val="vlist-s"/>
    <w:basedOn w:val="DefaultParagraphFont"/>
    <w:rsid w:val="00346425"/>
  </w:style>
  <w:style w:type="table" w:styleId="TableGridLight">
    <w:name w:val="Grid Table Light"/>
    <w:basedOn w:val="TableNormal"/>
    <w:uiPriority w:val="40"/>
    <w:rsid w:val="00137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DF286B"/>
    <w:rPr>
      <w:color w:val="467886" w:themeColor="hyperlink"/>
      <w:u w:val="single"/>
    </w:rPr>
  </w:style>
  <w:style w:type="character" w:styleId="UnresolvedMention">
    <w:name w:val="Unresolved Mention"/>
    <w:basedOn w:val="DefaultParagraphFont"/>
    <w:uiPriority w:val="99"/>
    <w:semiHidden/>
    <w:unhideWhenUsed/>
    <w:rsid w:val="00DF286B"/>
    <w:rPr>
      <w:color w:val="605E5C"/>
      <w:shd w:val="clear" w:color="auto" w:fill="E1DFDD"/>
    </w:rPr>
  </w:style>
  <w:style w:type="paragraph" w:customStyle="1" w:styleId="font-claude-response-body">
    <w:name w:val="font-claude-response-body"/>
    <w:basedOn w:val="Normal"/>
    <w:rsid w:val="0041193E"/>
    <w:pPr>
      <w:spacing w:after="100" w:afterAutospacing="1" w:line="240" w:lineRule="auto"/>
    </w:pPr>
  </w:style>
  <w:style w:type="paragraph" w:styleId="Subtitle">
    <w:name w:val="Subtitle"/>
    <w:basedOn w:val="Normal"/>
    <w:next w:val="Normal"/>
    <w:link w:val="SubtitleChar"/>
    <w:uiPriority w:val="11"/>
    <w:qFormat/>
    <w:pPr>
      <w:spacing w:after="1000" w:line="240" w:lineRule="auto"/>
    </w:pPr>
    <w:rPr>
      <w:smallCaps/>
      <w:color w:val="595959"/>
    </w:rPr>
  </w:style>
  <w:style w:type="table" w:customStyle="1" w:styleId="a">
    <w:basedOn w:val="TableNormal"/>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E1720D-E412-AA46-956D-84E79B07CCD7}" type="doc">
      <dgm:prSet loTypeId="urn:microsoft.com/office/officeart/2005/8/layout/orgChart1" loCatId="" qsTypeId="urn:microsoft.com/office/officeart/2005/8/quickstyle/simple1" qsCatId="simple" csTypeId="urn:microsoft.com/office/officeart/2005/8/colors/accent0_2" csCatId="mainScheme" phldr="1"/>
      <dgm:spPr/>
      <dgm:t>
        <a:bodyPr/>
        <a:lstStyle/>
        <a:p>
          <a:endParaRPr lang="en-GB"/>
        </a:p>
      </dgm:t>
    </dgm:pt>
    <dgm:pt modelId="{D07ABB54-18E5-6C48-9D08-49ACA0C5A1E7}">
      <dgm:prSet phldrT="[Text]"/>
      <dgm:spPr/>
      <dgm:t>
        <a:bodyPr/>
        <a:lstStyle/>
        <a:p>
          <a:r>
            <a:rPr lang="en-GB"/>
            <a:t>8,095 families considered</a:t>
          </a:r>
        </a:p>
      </dgm:t>
    </dgm:pt>
    <dgm:pt modelId="{2A16C479-15E5-F44E-A187-67340663EEFE}" type="parTrans" cxnId="{66B43491-5450-5146-82D8-A29766F6F88A}">
      <dgm:prSet/>
      <dgm:spPr/>
      <dgm:t>
        <a:bodyPr/>
        <a:lstStyle/>
        <a:p>
          <a:endParaRPr lang="en-GB"/>
        </a:p>
      </dgm:t>
    </dgm:pt>
    <dgm:pt modelId="{12C91D56-4A41-F04F-B1AB-BE2D159A4521}" type="sibTrans" cxnId="{66B43491-5450-5146-82D8-A29766F6F88A}">
      <dgm:prSet/>
      <dgm:spPr/>
      <dgm:t>
        <a:bodyPr/>
        <a:lstStyle/>
        <a:p>
          <a:endParaRPr lang="en-GB"/>
        </a:p>
      </dgm:t>
    </dgm:pt>
    <dgm:pt modelId="{4079B160-766B-DE45-9FD9-F74AAFBA61FF}" type="asst">
      <dgm:prSet phldrT="[Text]"/>
      <dgm:spPr/>
      <dgm:t>
        <a:bodyPr/>
        <a:lstStyle/>
        <a:p>
          <a:r>
            <a:rPr lang="en-GB"/>
            <a:t>1,108 not randomized</a:t>
          </a:r>
        </a:p>
      </dgm:t>
    </dgm:pt>
    <dgm:pt modelId="{B850C949-F2CA-4C4D-8E2E-C2E6CB7310F0}" type="parTrans" cxnId="{F68242AC-7E7D-624B-9178-6D197B4181BF}">
      <dgm:prSet/>
      <dgm:spPr/>
      <dgm:t>
        <a:bodyPr/>
        <a:lstStyle/>
        <a:p>
          <a:endParaRPr lang="en-GB"/>
        </a:p>
      </dgm:t>
    </dgm:pt>
    <dgm:pt modelId="{DB9E3D50-1759-1440-A601-2ECDAA4A3CCD}" type="sibTrans" cxnId="{F68242AC-7E7D-624B-9178-6D197B4181BF}">
      <dgm:prSet/>
      <dgm:spPr/>
      <dgm:t>
        <a:bodyPr/>
        <a:lstStyle/>
        <a:p>
          <a:endParaRPr lang="en-GB"/>
        </a:p>
      </dgm:t>
    </dgm:pt>
    <dgm:pt modelId="{CE6BA9AC-2160-914F-958E-E1F79467C4D4}" type="asst">
      <dgm:prSet phldrT="[Text]"/>
      <dgm:spPr/>
      <dgm:t>
        <a:bodyPr/>
        <a:lstStyle/>
        <a:p>
          <a:r>
            <a:rPr lang="en-GB"/>
            <a:t>6,987 randomized</a:t>
          </a:r>
        </a:p>
      </dgm:t>
    </dgm:pt>
    <dgm:pt modelId="{4D667BF4-B66F-5242-BC80-0F562CF7F782}" type="parTrans" cxnId="{5CADECCD-EE2D-1C4B-9997-99CCE9513996}">
      <dgm:prSet/>
      <dgm:spPr/>
      <dgm:t>
        <a:bodyPr/>
        <a:lstStyle/>
        <a:p>
          <a:endParaRPr lang="en-GB"/>
        </a:p>
      </dgm:t>
    </dgm:pt>
    <dgm:pt modelId="{1EA69239-4E9C-0E45-8CB4-12F139C46B40}" type="sibTrans" cxnId="{5CADECCD-EE2D-1C4B-9997-99CCE9513996}">
      <dgm:prSet/>
      <dgm:spPr/>
      <dgm:t>
        <a:bodyPr/>
        <a:lstStyle/>
        <a:p>
          <a:endParaRPr lang="en-GB"/>
        </a:p>
      </dgm:t>
    </dgm:pt>
    <dgm:pt modelId="{E9BBA411-22B7-6B46-B434-506BC4882FD5}" type="asst">
      <dgm:prSet phldrT="[Text]"/>
      <dgm:spPr/>
      <dgm:t>
        <a:bodyPr/>
        <a:lstStyle/>
        <a:p>
          <a:r>
            <a:rPr lang="en-GB"/>
            <a:t>3,958 assigned to control (Z=0)</a:t>
          </a:r>
        </a:p>
      </dgm:t>
    </dgm:pt>
    <dgm:pt modelId="{718C5B2C-50ED-A54F-BA55-43F55D1377DA}" type="parTrans" cxnId="{F6D6EDD3-BAC9-144D-AA28-93DB482BAE1C}">
      <dgm:prSet/>
      <dgm:spPr/>
      <dgm:t>
        <a:bodyPr/>
        <a:lstStyle/>
        <a:p>
          <a:endParaRPr lang="en-GB"/>
        </a:p>
      </dgm:t>
    </dgm:pt>
    <dgm:pt modelId="{BB0EF850-3E80-7546-BA6E-56609A3A2552}" type="sibTrans" cxnId="{F6D6EDD3-BAC9-144D-AA28-93DB482BAE1C}">
      <dgm:prSet/>
      <dgm:spPr/>
      <dgm:t>
        <a:bodyPr/>
        <a:lstStyle/>
        <a:p>
          <a:endParaRPr lang="en-GB"/>
        </a:p>
      </dgm:t>
    </dgm:pt>
    <dgm:pt modelId="{00CB5194-4B42-DC46-B277-B46992973FB0}" type="asst">
      <dgm:prSet phldrT="[Text]"/>
      <dgm:spPr/>
      <dgm:t>
        <a:bodyPr/>
        <a:lstStyle/>
        <a:p>
          <a:r>
            <a:rPr lang="en-GB"/>
            <a:t>3,029 assigned to treatment (Z=1)</a:t>
          </a:r>
        </a:p>
      </dgm:t>
    </dgm:pt>
    <dgm:pt modelId="{60047DA8-BAE7-0C4D-AA20-3BBF43DF0FDC}" type="parTrans" cxnId="{99961907-AF31-C34C-97BC-47A799E463A0}">
      <dgm:prSet/>
      <dgm:spPr/>
      <dgm:t>
        <a:bodyPr/>
        <a:lstStyle/>
        <a:p>
          <a:endParaRPr lang="en-GB"/>
        </a:p>
      </dgm:t>
    </dgm:pt>
    <dgm:pt modelId="{D2CBA1FC-9586-014D-95FC-1B13F8DCA2A8}" type="sibTrans" cxnId="{99961907-AF31-C34C-97BC-47A799E463A0}">
      <dgm:prSet/>
      <dgm:spPr/>
      <dgm:t>
        <a:bodyPr/>
        <a:lstStyle/>
        <a:p>
          <a:endParaRPr lang="en-GB"/>
        </a:p>
      </dgm:t>
    </dgm:pt>
    <dgm:pt modelId="{6E3F7D36-8DB8-564B-A489-F29B5E8AAB4F}" type="asst">
      <dgm:prSet phldrT="[Text]"/>
      <dgm:spPr/>
      <dgm:t>
        <a:bodyPr/>
        <a:lstStyle/>
        <a:p>
          <a:r>
            <a:rPr lang="en-GB"/>
            <a:t>1,987 received</a:t>
          </a:r>
        </a:p>
      </dgm:t>
    </dgm:pt>
    <dgm:pt modelId="{106C0E6D-67EC-E84C-A42B-EB497376DA55}" type="parTrans" cxnId="{DBEE8021-D9BF-6948-83D2-F7C5FA87B4C8}">
      <dgm:prSet/>
      <dgm:spPr/>
      <dgm:t>
        <a:bodyPr/>
        <a:lstStyle/>
        <a:p>
          <a:endParaRPr lang="en-GB"/>
        </a:p>
      </dgm:t>
    </dgm:pt>
    <dgm:pt modelId="{F70D78B8-9F10-CD41-B725-609B787C6918}" type="sibTrans" cxnId="{DBEE8021-D9BF-6948-83D2-F7C5FA87B4C8}">
      <dgm:prSet/>
      <dgm:spPr/>
      <dgm:t>
        <a:bodyPr/>
        <a:lstStyle/>
        <a:p>
          <a:endParaRPr lang="en-GB"/>
        </a:p>
      </dgm:t>
    </dgm:pt>
    <dgm:pt modelId="{55E097B0-3FFA-2D4B-8FC9-9BA83126ABFE}" type="asst">
      <dgm:prSet phldrT="[Text]"/>
      <dgm:spPr/>
      <dgm:t>
        <a:bodyPr/>
        <a:lstStyle/>
        <a:p>
          <a:r>
            <a:rPr lang="en-GB"/>
            <a:t>1,042 did not received</a:t>
          </a:r>
        </a:p>
      </dgm:t>
    </dgm:pt>
    <dgm:pt modelId="{89ACC947-7DD0-A94C-8BBA-F88475F6E059}" type="parTrans" cxnId="{54D69D52-AFE3-864B-9AA8-9781BE4E211B}">
      <dgm:prSet/>
      <dgm:spPr/>
      <dgm:t>
        <a:bodyPr/>
        <a:lstStyle/>
        <a:p>
          <a:endParaRPr lang="en-GB"/>
        </a:p>
      </dgm:t>
    </dgm:pt>
    <dgm:pt modelId="{D0A98230-6040-E544-8857-15954CDC37AF}" type="sibTrans" cxnId="{54D69D52-AFE3-864B-9AA8-9781BE4E211B}">
      <dgm:prSet/>
      <dgm:spPr/>
      <dgm:t>
        <a:bodyPr/>
        <a:lstStyle/>
        <a:p>
          <a:endParaRPr lang="en-GB"/>
        </a:p>
      </dgm:t>
    </dgm:pt>
    <dgm:pt modelId="{AC36F9E5-414E-D24E-9341-B8BCD0DAE0DD}" type="asst">
      <dgm:prSet phldrT="[Text]"/>
      <dgm:spPr/>
      <dgm:t>
        <a:bodyPr/>
        <a:lstStyle/>
        <a:p>
          <a:r>
            <a:rPr lang="en-GB"/>
            <a:t>3,713 did not receive</a:t>
          </a:r>
        </a:p>
      </dgm:t>
    </dgm:pt>
    <dgm:pt modelId="{9F1BC4A7-4B42-114B-AD9C-25DBA80943C9}" type="parTrans" cxnId="{E54DDB45-C662-C849-B9D0-68CC8523BEC7}">
      <dgm:prSet/>
      <dgm:spPr/>
      <dgm:t>
        <a:bodyPr/>
        <a:lstStyle/>
        <a:p>
          <a:endParaRPr lang="en-GB"/>
        </a:p>
      </dgm:t>
    </dgm:pt>
    <dgm:pt modelId="{87DD6690-AA14-AE47-B345-BE8F3243C64A}" type="sibTrans" cxnId="{E54DDB45-C662-C849-B9D0-68CC8523BEC7}">
      <dgm:prSet/>
      <dgm:spPr/>
      <dgm:t>
        <a:bodyPr/>
        <a:lstStyle/>
        <a:p>
          <a:endParaRPr lang="en-GB"/>
        </a:p>
      </dgm:t>
    </dgm:pt>
    <dgm:pt modelId="{E3C3DD52-5DA0-B14E-B985-4B96241979D4}" type="asst">
      <dgm:prSet phldrT="[Text]"/>
      <dgm:spPr/>
      <dgm:t>
        <a:bodyPr/>
        <a:lstStyle/>
        <a:p>
          <a:r>
            <a:rPr lang="en-GB"/>
            <a:t>245 received</a:t>
          </a:r>
        </a:p>
      </dgm:t>
    </dgm:pt>
    <dgm:pt modelId="{00B1E6AE-95DD-AF4F-8AD0-10F1249902B0}" type="parTrans" cxnId="{6BE54B61-ADD4-5C4D-BAC8-89DFC110900E}">
      <dgm:prSet/>
      <dgm:spPr/>
      <dgm:t>
        <a:bodyPr/>
        <a:lstStyle/>
        <a:p>
          <a:endParaRPr lang="en-GB"/>
        </a:p>
      </dgm:t>
    </dgm:pt>
    <dgm:pt modelId="{C45E4918-27E5-994D-8A18-4EA98EF66867}" type="sibTrans" cxnId="{6BE54B61-ADD4-5C4D-BAC8-89DFC110900E}">
      <dgm:prSet/>
      <dgm:spPr/>
      <dgm:t>
        <a:bodyPr/>
        <a:lstStyle/>
        <a:p>
          <a:endParaRPr lang="en-GB"/>
        </a:p>
      </dgm:t>
    </dgm:pt>
    <dgm:pt modelId="{2FBF7FA8-E031-104E-8D8D-C5C270A4E16C}" type="pres">
      <dgm:prSet presAssocID="{A9E1720D-E412-AA46-956D-84E79B07CCD7}" presName="hierChild1" presStyleCnt="0">
        <dgm:presLayoutVars>
          <dgm:orgChart val="1"/>
          <dgm:chPref val="1"/>
          <dgm:dir/>
          <dgm:animOne val="branch"/>
          <dgm:animLvl val="lvl"/>
          <dgm:resizeHandles/>
        </dgm:presLayoutVars>
      </dgm:prSet>
      <dgm:spPr/>
    </dgm:pt>
    <dgm:pt modelId="{0453CF8D-0A4B-1A48-B6D1-40872AB93F6D}" type="pres">
      <dgm:prSet presAssocID="{D07ABB54-18E5-6C48-9D08-49ACA0C5A1E7}" presName="hierRoot1" presStyleCnt="0">
        <dgm:presLayoutVars>
          <dgm:hierBranch val="init"/>
        </dgm:presLayoutVars>
      </dgm:prSet>
      <dgm:spPr/>
    </dgm:pt>
    <dgm:pt modelId="{C1BB1921-2D5F-1543-BD09-84B9E5852A5B}" type="pres">
      <dgm:prSet presAssocID="{D07ABB54-18E5-6C48-9D08-49ACA0C5A1E7}" presName="rootComposite1" presStyleCnt="0"/>
      <dgm:spPr/>
    </dgm:pt>
    <dgm:pt modelId="{8FFDAA04-F95F-3A42-98A0-3D053FA550AF}" type="pres">
      <dgm:prSet presAssocID="{D07ABB54-18E5-6C48-9D08-49ACA0C5A1E7}" presName="rootText1" presStyleLbl="node0" presStyleIdx="0" presStyleCnt="1">
        <dgm:presLayoutVars>
          <dgm:chPref val="3"/>
        </dgm:presLayoutVars>
      </dgm:prSet>
      <dgm:spPr/>
    </dgm:pt>
    <dgm:pt modelId="{1E128452-E690-CE4E-A317-4DC4EC1FF6EC}" type="pres">
      <dgm:prSet presAssocID="{D07ABB54-18E5-6C48-9D08-49ACA0C5A1E7}" presName="rootConnector1" presStyleLbl="node1" presStyleIdx="0" presStyleCnt="0"/>
      <dgm:spPr/>
    </dgm:pt>
    <dgm:pt modelId="{17EB25C8-860E-C643-9B69-8A99E271A683}" type="pres">
      <dgm:prSet presAssocID="{D07ABB54-18E5-6C48-9D08-49ACA0C5A1E7}" presName="hierChild2" presStyleCnt="0"/>
      <dgm:spPr/>
    </dgm:pt>
    <dgm:pt modelId="{4E8521A8-B438-2C45-9438-1DE0DE9915A3}" type="pres">
      <dgm:prSet presAssocID="{D07ABB54-18E5-6C48-9D08-49ACA0C5A1E7}" presName="hierChild3" presStyleCnt="0"/>
      <dgm:spPr/>
    </dgm:pt>
    <dgm:pt modelId="{70EFC7D5-AA6E-DA4F-AACE-0942B09CE0D3}" type="pres">
      <dgm:prSet presAssocID="{B850C949-F2CA-4C4D-8E2E-C2E6CB7310F0}" presName="Name111" presStyleLbl="parChTrans1D2" presStyleIdx="0" presStyleCnt="2"/>
      <dgm:spPr/>
    </dgm:pt>
    <dgm:pt modelId="{6839F5B9-7A47-B241-96ED-37348BB4C9DA}" type="pres">
      <dgm:prSet presAssocID="{4079B160-766B-DE45-9FD9-F74AAFBA61FF}" presName="hierRoot3" presStyleCnt="0">
        <dgm:presLayoutVars>
          <dgm:hierBranch val="init"/>
        </dgm:presLayoutVars>
      </dgm:prSet>
      <dgm:spPr/>
    </dgm:pt>
    <dgm:pt modelId="{27CD9925-4E2F-D14B-830F-7ED1B5AA018D}" type="pres">
      <dgm:prSet presAssocID="{4079B160-766B-DE45-9FD9-F74AAFBA61FF}" presName="rootComposite3" presStyleCnt="0"/>
      <dgm:spPr/>
    </dgm:pt>
    <dgm:pt modelId="{72BD68E0-A7B1-E749-94FC-121302261FBA}" type="pres">
      <dgm:prSet presAssocID="{4079B160-766B-DE45-9FD9-F74AAFBA61FF}" presName="rootText3" presStyleLbl="asst1" presStyleIdx="0" presStyleCnt="8">
        <dgm:presLayoutVars>
          <dgm:chPref val="3"/>
        </dgm:presLayoutVars>
      </dgm:prSet>
      <dgm:spPr/>
    </dgm:pt>
    <dgm:pt modelId="{79EF1EFA-4231-F74D-A775-5F0A0BFAC6DF}" type="pres">
      <dgm:prSet presAssocID="{4079B160-766B-DE45-9FD9-F74AAFBA61FF}" presName="rootConnector3" presStyleLbl="asst1" presStyleIdx="0" presStyleCnt="8"/>
      <dgm:spPr/>
    </dgm:pt>
    <dgm:pt modelId="{29CD5F52-1EDD-5945-BCFA-5BE955B53A11}" type="pres">
      <dgm:prSet presAssocID="{4079B160-766B-DE45-9FD9-F74AAFBA61FF}" presName="hierChild6" presStyleCnt="0"/>
      <dgm:spPr/>
    </dgm:pt>
    <dgm:pt modelId="{4F9DD22D-5900-1A4D-B316-1FE1C47945B3}" type="pres">
      <dgm:prSet presAssocID="{4079B160-766B-DE45-9FD9-F74AAFBA61FF}" presName="hierChild7" presStyleCnt="0"/>
      <dgm:spPr/>
    </dgm:pt>
    <dgm:pt modelId="{B6FF4A6D-F195-374D-9EEE-0E09E920DE9C}" type="pres">
      <dgm:prSet presAssocID="{4D667BF4-B66F-5242-BC80-0F562CF7F782}" presName="Name111" presStyleLbl="parChTrans1D2" presStyleIdx="1" presStyleCnt="2"/>
      <dgm:spPr/>
    </dgm:pt>
    <dgm:pt modelId="{7CA97F75-649B-E34A-96B8-301BCD5B4FB8}" type="pres">
      <dgm:prSet presAssocID="{CE6BA9AC-2160-914F-958E-E1F79467C4D4}" presName="hierRoot3" presStyleCnt="0">
        <dgm:presLayoutVars>
          <dgm:hierBranch val="init"/>
        </dgm:presLayoutVars>
      </dgm:prSet>
      <dgm:spPr/>
    </dgm:pt>
    <dgm:pt modelId="{B2AA574C-6B73-7D41-8A04-894C44F7F6C9}" type="pres">
      <dgm:prSet presAssocID="{CE6BA9AC-2160-914F-958E-E1F79467C4D4}" presName="rootComposite3" presStyleCnt="0"/>
      <dgm:spPr/>
    </dgm:pt>
    <dgm:pt modelId="{A1C7E9C9-1DAF-B949-B73D-39CB25D324A5}" type="pres">
      <dgm:prSet presAssocID="{CE6BA9AC-2160-914F-958E-E1F79467C4D4}" presName="rootText3" presStyleLbl="asst1" presStyleIdx="1" presStyleCnt="8">
        <dgm:presLayoutVars>
          <dgm:chPref val="3"/>
        </dgm:presLayoutVars>
      </dgm:prSet>
      <dgm:spPr/>
    </dgm:pt>
    <dgm:pt modelId="{ABC93E15-3B07-E541-9F19-1913D156394B}" type="pres">
      <dgm:prSet presAssocID="{CE6BA9AC-2160-914F-958E-E1F79467C4D4}" presName="rootConnector3" presStyleLbl="asst1" presStyleIdx="1" presStyleCnt="8"/>
      <dgm:spPr/>
    </dgm:pt>
    <dgm:pt modelId="{AB20E2F3-D9B3-4A4F-8B88-6E5536EA6A98}" type="pres">
      <dgm:prSet presAssocID="{CE6BA9AC-2160-914F-958E-E1F79467C4D4}" presName="hierChild6" presStyleCnt="0"/>
      <dgm:spPr/>
    </dgm:pt>
    <dgm:pt modelId="{FB4C6E79-B59B-A644-8F43-E6218A534D7F}" type="pres">
      <dgm:prSet presAssocID="{CE6BA9AC-2160-914F-958E-E1F79467C4D4}" presName="hierChild7" presStyleCnt="0"/>
      <dgm:spPr/>
    </dgm:pt>
    <dgm:pt modelId="{565B9000-4BE9-E94C-8198-3ECF069DDEAD}" type="pres">
      <dgm:prSet presAssocID="{718C5B2C-50ED-A54F-BA55-43F55D1377DA}" presName="Name111" presStyleLbl="parChTrans1D3" presStyleIdx="0" presStyleCnt="2"/>
      <dgm:spPr/>
    </dgm:pt>
    <dgm:pt modelId="{626BB5DA-85EF-184E-93D5-56B290FD232A}" type="pres">
      <dgm:prSet presAssocID="{E9BBA411-22B7-6B46-B434-506BC4882FD5}" presName="hierRoot3" presStyleCnt="0">
        <dgm:presLayoutVars>
          <dgm:hierBranch val="init"/>
        </dgm:presLayoutVars>
      </dgm:prSet>
      <dgm:spPr/>
    </dgm:pt>
    <dgm:pt modelId="{550437D2-B738-D444-BF42-377162106E3C}" type="pres">
      <dgm:prSet presAssocID="{E9BBA411-22B7-6B46-B434-506BC4882FD5}" presName="rootComposite3" presStyleCnt="0"/>
      <dgm:spPr/>
    </dgm:pt>
    <dgm:pt modelId="{9A0AD96F-7151-E841-8E2D-8CA166EF6B7B}" type="pres">
      <dgm:prSet presAssocID="{E9BBA411-22B7-6B46-B434-506BC4882FD5}" presName="rootText3" presStyleLbl="asst1" presStyleIdx="2" presStyleCnt="8">
        <dgm:presLayoutVars>
          <dgm:chPref val="3"/>
        </dgm:presLayoutVars>
      </dgm:prSet>
      <dgm:spPr/>
    </dgm:pt>
    <dgm:pt modelId="{442BD0BC-A57C-A44F-A72E-839DE636615F}" type="pres">
      <dgm:prSet presAssocID="{E9BBA411-22B7-6B46-B434-506BC4882FD5}" presName="rootConnector3" presStyleLbl="asst1" presStyleIdx="2" presStyleCnt="8"/>
      <dgm:spPr/>
    </dgm:pt>
    <dgm:pt modelId="{67A73506-28E9-2741-9C4B-378D06550FFA}" type="pres">
      <dgm:prSet presAssocID="{E9BBA411-22B7-6B46-B434-506BC4882FD5}" presName="hierChild6" presStyleCnt="0"/>
      <dgm:spPr/>
    </dgm:pt>
    <dgm:pt modelId="{E922AD32-0B7A-BF4A-8507-B3B0E2CCCE44}" type="pres">
      <dgm:prSet presAssocID="{E9BBA411-22B7-6B46-B434-506BC4882FD5}" presName="hierChild7" presStyleCnt="0"/>
      <dgm:spPr/>
    </dgm:pt>
    <dgm:pt modelId="{425C1B68-EA2B-084C-ADE1-F6C0619A0AFB}" type="pres">
      <dgm:prSet presAssocID="{9F1BC4A7-4B42-114B-AD9C-25DBA80943C9}" presName="Name111" presStyleLbl="parChTrans1D4" presStyleIdx="0" presStyleCnt="4"/>
      <dgm:spPr/>
    </dgm:pt>
    <dgm:pt modelId="{7D708D04-F33F-0449-923D-87F1F0F83EBD}" type="pres">
      <dgm:prSet presAssocID="{AC36F9E5-414E-D24E-9341-B8BCD0DAE0DD}" presName="hierRoot3" presStyleCnt="0">
        <dgm:presLayoutVars>
          <dgm:hierBranch val="init"/>
        </dgm:presLayoutVars>
      </dgm:prSet>
      <dgm:spPr/>
    </dgm:pt>
    <dgm:pt modelId="{7D161AC1-410A-A34E-A5E8-FEF38DC88B4B}" type="pres">
      <dgm:prSet presAssocID="{AC36F9E5-414E-D24E-9341-B8BCD0DAE0DD}" presName="rootComposite3" presStyleCnt="0"/>
      <dgm:spPr/>
    </dgm:pt>
    <dgm:pt modelId="{002B16A3-584C-F945-A646-381F19AF4712}" type="pres">
      <dgm:prSet presAssocID="{AC36F9E5-414E-D24E-9341-B8BCD0DAE0DD}" presName="rootText3" presStyleLbl="asst1" presStyleIdx="3" presStyleCnt="8">
        <dgm:presLayoutVars>
          <dgm:chPref val="3"/>
        </dgm:presLayoutVars>
      </dgm:prSet>
      <dgm:spPr/>
    </dgm:pt>
    <dgm:pt modelId="{BF3B2701-2827-0E4A-A362-246A373B655C}" type="pres">
      <dgm:prSet presAssocID="{AC36F9E5-414E-D24E-9341-B8BCD0DAE0DD}" presName="rootConnector3" presStyleLbl="asst1" presStyleIdx="3" presStyleCnt="8"/>
      <dgm:spPr/>
    </dgm:pt>
    <dgm:pt modelId="{621C6DFC-3F58-CA4E-8C7D-5F0D2A4D42B4}" type="pres">
      <dgm:prSet presAssocID="{AC36F9E5-414E-D24E-9341-B8BCD0DAE0DD}" presName="hierChild6" presStyleCnt="0"/>
      <dgm:spPr/>
    </dgm:pt>
    <dgm:pt modelId="{9C5E24AC-7555-3448-BA12-4D39DA7FE5AA}" type="pres">
      <dgm:prSet presAssocID="{AC36F9E5-414E-D24E-9341-B8BCD0DAE0DD}" presName="hierChild7" presStyleCnt="0"/>
      <dgm:spPr/>
    </dgm:pt>
    <dgm:pt modelId="{3C3FB315-8650-0B41-B55F-C744F4B5CF60}" type="pres">
      <dgm:prSet presAssocID="{00B1E6AE-95DD-AF4F-8AD0-10F1249902B0}" presName="Name111" presStyleLbl="parChTrans1D4" presStyleIdx="1" presStyleCnt="4"/>
      <dgm:spPr/>
    </dgm:pt>
    <dgm:pt modelId="{0244FB4A-29C5-1045-8D27-C78155904625}" type="pres">
      <dgm:prSet presAssocID="{E3C3DD52-5DA0-B14E-B985-4B96241979D4}" presName="hierRoot3" presStyleCnt="0">
        <dgm:presLayoutVars>
          <dgm:hierBranch val="init"/>
        </dgm:presLayoutVars>
      </dgm:prSet>
      <dgm:spPr/>
    </dgm:pt>
    <dgm:pt modelId="{FEAA362F-3EB0-9644-A83F-62B340AAE0F1}" type="pres">
      <dgm:prSet presAssocID="{E3C3DD52-5DA0-B14E-B985-4B96241979D4}" presName="rootComposite3" presStyleCnt="0"/>
      <dgm:spPr/>
    </dgm:pt>
    <dgm:pt modelId="{991155DD-8EA0-B443-87DF-2C3A118FEB99}" type="pres">
      <dgm:prSet presAssocID="{E3C3DD52-5DA0-B14E-B985-4B96241979D4}" presName="rootText3" presStyleLbl="asst1" presStyleIdx="4" presStyleCnt="8">
        <dgm:presLayoutVars>
          <dgm:chPref val="3"/>
        </dgm:presLayoutVars>
      </dgm:prSet>
      <dgm:spPr/>
    </dgm:pt>
    <dgm:pt modelId="{0CAAA9F4-AC3A-5046-B606-9927CDA0DDD0}" type="pres">
      <dgm:prSet presAssocID="{E3C3DD52-5DA0-B14E-B985-4B96241979D4}" presName="rootConnector3" presStyleLbl="asst1" presStyleIdx="4" presStyleCnt="8"/>
      <dgm:spPr/>
    </dgm:pt>
    <dgm:pt modelId="{4FDE553D-6B11-574A-AFA9-B56A5069A71E}" type="pres">
      <dgm:prSet presAssocID="{E3C3DD52-5DA0-B14E-B985-4B96241979D4}" presName="hierChild6" presStyleCnt="0"/>
      <dgm:spPr/>
    </dgm:pt>
    <dgm:pt modelId="{420C1E2A-1A25-3F47-AA11-CBDC291084BB}" type="pres">
      <dgm:prSet presAssocID="{E3C3DD52-5DA0-B14E-B985-4B96241979D4}" presName="hierChild7" presStyleCnt="0"/>
      <dgm:spPr/>
    </dgm:pt>
    <dgm:pt modelId="{361B4078-057D-1B40-8C16-1D8C320B6FBD}" type="pres">
      <dgm:prSet presAssocID="{60047DA8-BAE7-0C4D-AA20-3BBF43DF0FDC}" presName="Name111" presStyleLbl="parChTrans1D3" presStyleIdx="1" presStyleCnt="2"/>
      <dgm:spPr/>
    </dgm:pt>
    <dgm:pt modelId="{6B7F1E08-4783-8F46-982C-283F4BA7668D}" type="pres">
      <dgm:prSet presAssocID="{00CB5194-4B42-DC46-B277-B46992973FB0}" presName="hierRoot3" presStyleCnt="0">
        <dgm:presLayoutVars>
          <dgm:hierBranch val="init"/>
        </dgm:presLayoutVars>
      </dgm:prSet>
      <dgm:spPr/>
    </dgm:pt>
    <dgm:pt modelId="{0A25459B-9C30-C747-B181-A7F950A79DCF}" type="pres">
      <dgm:prSet presAssocID="{00CB5194-4B42-DC46-B277-B46992973FB0}" presName="rootComposite3" presStyleCnt="0"/>
      <dgm:spPr/>
    </dgm:pt>
    <dgm:pt modelId="{AD6FC7C6-E814-BF42-B519-A7E7888056E8}" type="pres">
      <dgm:prSet presAssocID="{00CB5194-4B42-DC46-B277-B46992973FB0}" presName="rootText3" presStyleLbl="asst1" presStyleIdx="5" presStyleCnt="8">
        <dgm:presLayoutVars>
          <dgm:chPref val="3"/>
        </dgm:presLayoutVars>
      </dgm:prSet>
      <dgm:spPr/>
    </dgm:pt>
    <dgm:pt modelId="{2E45FC85-DFAF-6B47-8DB1-AF5924A2E784}" type="pres">
      <dgm:prSet presAssocID="{00CB5194-4B42-DC46-B277-B46992973FB0}" presName="rootConnector3" presStyleLbl="asst1" presStyleIdx="5" presStyleCnt="8"/>
      <dgm:spPr/>
    </dgm:pt>
    <dgm:pt modelId="{029F5405-0144-504A-B900-4EFFCCA74A3F}" type="pres">
      <dgm:prSet presAssocID="{00CB5194-4B42-DC46-B277-B46992973FB0}" presName="hierChild6" presStyleCnt="0"/>
      <dgm:spPr/>
    </dgm:pt>
    <dgm:pt modelId="{AD74C378-4B0A-3743-8316-32739368DBC9}" type="pres">
      <dgm:prSet presAssocID="{00CB5194-4B42-DC46-B277-B46992973FB0}" presName="hierChild7" presStyleCnt="0"/>
      <dgm:spPr/>
    </dgm:pt>
    <dgm:pt modelId="{8FDB8881-7C2B-7D41-AF08-42A73A1BA9F7}" type="pres">
      <dgm:prSet presAssocID="{106C0E6D-67EC-E84C-A42B-EB497376DA55}" presName="Name111" presStyleLbl="parChTrans1D4" presStyleIdx="2" presStyleCnt="4"/>
      <dgm:spPr/>
    </dgm:pt>
    <dgm:pt modelId="{3AD49D37-81A6-4742-8D01-974A1A916248}" type="pres">
      <dgm:prSet presAssocID="{6E3F7D36-8DB8-564B-A489-F29B5E8AAB4F}" presName="hierRoot3" presStyleCnt="0">
        <dgm:presLayoutVars>
          <dgm:hierBranch val="init"/>
        </dgm:presLayoutVars>
      </dgm:prSet>
      <dgm:spPr/>
    </dgm:pt>
    <dgm:pt modelId="{416C33F4-15F8-1742-9504-C70429D3AEEC}" type="pres">
      <dgm:prSet presAssocID="{6E3F7D36-8DB8-564B-A489-F29B5E8AAB4F}" presName="rootComposite3" presStyleCnt="0"/>
      <dgm:spPr/>
    </dgm:pt>
    <dgm:pt modelId="{1DC87B3E-4460-E04D-9B52-7EC67CA2D68E}" type="pres">
      <dgm:prSet presAssocID="{6E3F7D36-8DB8-564B-A489-F29B5E8AAB4F}" presName="rootText3" presStyleLbl="asst1" presStyleIdx="6" presStyleCnt="8">
        <dgm:presLayoutVars>
          <dgm:chPref val="3"/>
        </dgm:presLayoutVars>
      </dgm:prSet>
      <dgm:spPr/>
    </dgm:pt>
    <dgm:pt modelId="{5C885665-3BB4-574C-A3E6-250AC3C77C81}" type="pres">
      <dgm:prSet presAssocID="{6E3F7D36-8DB8-564B-A489-F29B5E8AAB4F}" presName="rootConnector3" presStyleLbl="asst1" presStyleIdx="6" presStyleCnt="8"/>
      <dgm:spPr/>
    </dgm:pt>
    <dgm:pt modelId="{A0FCE76E-FB60-E74A-9349-4D8297234027}" type="pres">
      <dgm:prSet presAssocID="{6E3F7D36-8DB8-564B-A489-F29B5E8AAB4F}" presName="hierChild6" presStyleCnt="0"/>
      <dgm:spPr/>
    </dgm:pt>
    <dgm:pt modelId="{8A755E8F-2FC2-F045-878E-292A2399D2E4}" type="pres">
      <dgm:prSet presAssocID="{6E3F7D36-8DB8-564B-A489-F29B5E8AAB4F}" presName="hierChild7" presStyleCnt="0"/>
      <dgm:spPr/>
    </dgm:pt>
    <dgm:pt modelId="{611F499B-D08E-7349-9E31-3711662BA078}" type="pres">
      <dgm:prSet presAssocID="{89ACC947-7DD0-A94C-8BBA-F88475F6E059}" presName="Name111" presStyleLbl="parChTrans1D4" presStyleIdx="3" presStyleCnt="4"/>
      <dgm:spPr/>
    </dgm:pt>
    <dgm:pt modelId="{8333E1CB-A05A-1C4E-8444-B0CE89C69C8C}" type="pres">
      <dgm:prSet presAssocID="{55E097B0-3FFA-2D4B-8FC9-9BA83126ABFE}" presName="hierRoot3" presStyleCnt="0">
        <dgm:presLayoutVars>
          <dgm:hierBranch val="init"/>
        </dgm:presLayoutVars>
      </dgm:prSet>
      <dgm:spPr/>
    </dgm:pt>
    <dgm:pt modelId="{4288991B-C263-D242-A2EE-3FDB504BF3F4}" type="pres">
      <dgm:prSet presAssocID="{55E097B0-3FFA-2D4B-8FC9-9BA83126ABFE}" presName="rootComposite3" presStyleCnt="0"/>
      <dgm:spPr/>
    </dgm:pt>
    <dgm:pt modelId="{DE100E62-A2E2-634C-8395-FCDB20BF850B}" type="pres">
      <dgm:prSet presAssocID="{55E097B0-3FFA-2D4B-8FC9-9BA83126ABFE}" presName="rootText3" presStyleLbl="asst1" presStyleIdx="7" presStyleCnt="8">
        <dgm:presLayoutVars>
          <dgm:chPref val="3"/>
        </dgm:presLayoutVars>
      </dgm:prSet>
      <dgm:spPr/>
    </dgm:pt>
    <dgm:pt modelId="{B4A638E0-57A4-9443-BF8A-676A35C846C8}" type="pres">
      <dgm:prSet presAssocID="{55E097B0-3FFA-2D4B-8FC9-9BA83126ABFE}" presName="rootConnector3" presStyleLbl="asst1" presStyleIdx="7" presStyleCnt="8"/>
      <dgm:spPr/>
    </dgm:pt>
    <dgm:pt modelId="{3848EAC8-5C38-D144-ADF2-0AD855662A93}" type="pres">
      <dgm:prSet presAssocID="{55E097B0-3FFA-2D4B-8FC9-9BA83126ABFE}" presName="hierChild6" presStyleCnt="0"/>
      <dgm:spPr/>
    </dgm:pt>
    <dgm:pt modelId="{0EA523D0-ED06-BE48-B924-2E3A57F6A8D0}" type="pres">
      <dgm:prSet presAssocID="{55E097B0-3FFA-2D4B-8FC9-9BA83126ABFE}" presName="hierChild7" presStyleCnt="0"/>
      <dgm:spPr/>
    </dgm:pt>
  </dgm:ptLst>
  <dgm:cxnLst>
    <dgm:cxn modelId="{6628E500-AEFA-324F-BEE7-2D936464BC85}" type="presOf" srcId="{E3C3DD52-5DA0-B14E-B985-4B96241979D4}" destId="{0CAAA9F4-AC3A-5046-B606-9927CDA0DDD0}" srcOrd="1" destOrd="0" presId="urn:microsoft.com/office/officeart/2005/8/layout/orgChart1"/>
    <dgm:cxn modelId="{99961907-AF31-C34C-97BC-47A799E463A0}" srcId="{CE6BA9AC-2160-914F-958E-E1F79467C4D4}" destId="{00CB5194-4B42-DC46-B277-B46992973FB0}" srcOrd="1" destOrd="0" parTransId="{60047DA8-BAE7-0C4D-AA20-3BBF43DF0FDC}" sibTransId="{D2CBA1FC-9586-014D-95FC-1B13F8DCA2A8}"/>
    <dgm:cxn modelId="{E9F9150F-1E49-7B4C-AE28-C71204856150}" type="presOf" srcId="{4079B160-766B-DE45-9FD9-F74AAFBA61FF}" destId="{79EF1EFA-4231-F74D-A775-5F0A0BFAC6DF}" srcOrd="1" destOrd="0" presId="urn:microsoft.com/office/officeart/2005/8/layout/orgChart1"/>
    <dgm:cxn modelId="{DBEE8021-D9BF-6948-83D2-F7C5FA87B4C8}" srcId="{00CB5194-4B42-DC46-B277-B46992973FB0}" destId="{6E3F7D36-8DB8-564B-A489-F29B5E8AAB4F}" srcOrd="0" destOrd="0" parTransId="{106C0E6D-67EC-E84C-A42B-EB497376DA55}" sibTransId="{F70D78B8-9F10-CD41-B725-609B787C6918}"/>
    <dgm:cxn modelId="{B7182A25-5B38-0941-AF1A-809EA7CDB95B}" type="presOf" srcId="{55E097B0-3FFA-2D4B-8FC9-9BA83126ABFE}" destId="{B4A638E0-57A4-9443-BF8A-676A35C846C8}" srcOrd="1" destOrd="0" presId="urn:microsoft.com/office/officeart/2005/8/layout/orgChart1"/>
    <dgm:cxn modelId="{6913452C-1816-C84E-812B-A18AFEA02266}" type="presOf" srcId="{00CB5194-4B42-DC46-B277-B46992973FB0}" destId="{AD6FC7C6-E814-BF42-B519-A7E7888056E8}" srcOrd="0" destOrd="0" presId="urn:microsoft.com/office/officeart/2005/8/layout/orgChart1"/>
    <dgm:cxn modelId="{3B11D433-9A3B-B44A-AD1F-CECF8F703DDE}" type="presOf" srcId="{4D667BF4-B66F-5242-BC80-0F562CF7F782}" destId="{B6FF4A6D-F195-374D-9EEE-0E09E920DE9C}" srcOrd="0" destOrd="0" presId="urn:microsoft.com/office/officeart/2005/8/layout/orgChart1"/>
    <dgm:cxn modelId="{12E7CC35-5C22-1D4A-A718-CD95E16A2382}" type="presOf" srcId="{E3C3DD52-5DA0-B14E-B985-4B96241979D4}" destId="{991155DD-8EA0-B443-87DF-2C3A118FEB99}" srcOrd="0" destOrd="0" presId="urn:microsoft.com/office/officeart/2005/8/layout/orgChart1"/>
    <dgm:cxn modelId="{3C374643-0A11-D740-BCF3-E635FC2EA11F}" type="presOf" srcId="{B850C949-F2CA-4C4D-8E2E-C2E6CB7310F0}" destId="{70EFC7D5-AA6E-DA4F-AACE-0942B09CE0D3}" srcOrd="0" destOrd="0" presId="urn:microsoft.com/office/officeart/2005/8/layout/orgChart1"/>
    <dgm:cxn modelId="{E54DDB45-C662-C849-B9D0-68CC8523BEC7}" srcId="{E9BBA411-22B7-6B46-B434-506BC4882FD5}" destId="{AC36F9E5-414E-D24E-9341-B8BCD0DAE0DD}" srcOrd="0" destOrd="0" parTransId="{9F1BC4A7-4B42-114B-AD9C-25DBA80943C9}" sibTransId="{87DD6690-AA14-AE47-B345-BE8F3243C64A}"/>
    <dgm:cxn modelId="{B5E6F051-1381-F540-A43B-2F21D72237E8}" type="presOf" srcId="{00CB5194-4B42-DC46-B277-B46992973FB0}" destId="{2E45FC85-DFAF-6B47-8DB1-AF5924A2E784}" srcOrd="1" destOrd="0" presId="urn:microsoft.com/office/officeart/2005/8/layout/orgChart1"/>
    <dgm:cxn modelId="{54D69D52-AFE3-864B-9AA8-9781BE4E211B}" srcId="{00CB5194-4B42-DC46-B277-B46992973FB0}" destId="{55E097B0-3FFA-2D4B-8FC9-9BA83126ABFE}" srcOrd="1" destOrd="0" parTransId="{89ACC947-7DD0-A94C-8BBA-F88475F6E059}" sibTransId="{D0A98230-6040-E544-8857-15954CDC37AF}"/>
    <dgm:cxn modelId="{E746C752-2FFD-1146-B7CB-2CBBF30E5AE8}" type="presOf" srcId="{AC36F9E5-414E-D24E-9341-B8BCD0DAE0DD}" destId="{BF3B2701-2827-0E4A-A362-246A373B655C}" srcOrd="1" destOrd="0" presId="urn:microsoft.com/office/officeart/2005/8/layout/orgChart1"/>
    <dgm:cxn modelId="{3C8FBD60-FFF2-3142-A7D1-F7CE5365287C}" type="presOf" srcId="{4079B160-766B-DE45-9FD9-F74AAFBA61FF}" destId="{72BD68E0-A7B1-E749-94FC-121302261FBA}" srcOrd="0" destOrd="0" presId="urn:microsoft.com/office/officeart/2005/8/layout/orgChart1"/>
    <dgm:cxn modelId="{6BE54B61-ADD4-5C4D-BAC8-89DFC110900E}" srcId="{E9BBA411-22B7-6B46-B434-506BC4882FD5}" destId="{E3C3DD52-5DA0-B14E-B985-4B96241979D4}" srcOrd="1" destOrd="0" parTransId="{00B1E6AE-95DD-AF4F-8AD0-10F1249902B0}" sibTransId="{C45E4918-27E5-994D-8A18-4EA98EF66867}"/>
    <dgm:cxn modelId="{AB860270-DC0B-D54C-BB7F-04C555C7F01B}" type="presOf" srcId="{55E097B0-3FFA-2D4B-8FC9-9BA83126ABFE}" destId="{DE100E62-A2E2-634C-8395-FCDB20BF850B}" srcOrd="0" destOrd="0" presId="urn:microsoft.com/office/officeart/2005/8/layout/orgChart1"/>
    <dgm:cxn modelId="{77032370-6C6B-C342-A371-7C0E3AA7CDD4}" type="presOf" srcId="{6E3F7D36-8DB8-564B-A489-F29B5E8AAB4F}" destId="{1DC87B3E-4460-E04D-9B52-7EC67CA2D68E}" srcOrd="0" destOrd="0" presId="urn:microsoft.com/office/officeart/2005/8/layout/orgChart1"/>
    <dgm:cxn modelId="{AFE9567D-022F-664A-94F8-EB74CC5C6126}" type="presOf" srcId="{9F1BC4A7-4B42-114B-AD9C-25DBA80943C9}" destId="{425C1B68-EA2B-084C-ADE1-F6C0619A0AFB}" srcOrd="0" destOrd="0" presId="urn:microsoft.com/office/officeart/2005/8/layout/orgChart1"/>
    <dgm:cxn modelId="{7D46D283-0DA8-AF48-A56B-3F5EC3DF6F4F}" type="presOf" srcId="{E9BBA411-22B7-6B46-B434-506BC4882FD5}" destId="{442BD0BC-A57C-A44F-A72E-839DE636615F}" srcOrd="1" destOrd="0" presId="urn:microsoft.com/office/officeart/2005/8/layout/orgChart1"/>
    <dgm:cxn modelId="{D842038B-8D6F-8246-A7C4-549A3283B035}" type="presOf" srcId="{A9E1720D-E412-AA46-956D-84E79B07CCD7}" destId="{2FBF7FA8-E031-104E-8D8D-C5C270A4E16C}" srcOrd="0" destOrd="0" presId="urn:microsoft.com/office/officeart/2005/8/layout/orgChart1"/>
    <dgm:cxn modelId="{66B43491-5450-5146-82D8-A29766F6F88A}" srcId="{A9E1720D-E412-AA46-956D-84E79B07CCD7}" destId="{D07ABB54-18E5-6C48-9D08-49ACA0C5A1E7}" srcOrd="0" destOrd="0" parTransId="{2A16C479-15E5-F44E-A187-67340663EEFE}" sibTransId="{12C91D56-4A41-F04F-B1AB-BE2D159A4521}"/>
    <dgm:cxn modelId="{D66467A1-825C-4649-8DE3-2302CA2E42E4}" type="presOf" srcId="{CE6BA9AC-2160-914F-958E-E1F79467C4D4}" destId="{ABC93E15-3B07-E541-9F19-1913D156394B}" srcOrd="1" destOrd="0" presId="urn:microsoft.com/office/officeart/2005/8/layout/orgChart1"/>
    <dgm:cxn modelId="{E3138FAA-0D5A-B44B-96DA-716F615CC700}" type="presOf" srcId="{AC36F9E5-414E-D24E-9341-B8BCD0DAE0DD}" destId="{002B16A3-584C-F945-A646-381F19AF4712}" srcOrd="0" destOrd="0" presId="urn:microsoft.com/office/officeart/2005/8/layout/orgChart1"/>
    <dgm:cxn modelId="{F68242AC-7E7D-624B-9178-6D197B4181BF}" srcId="{D07ABB54-18E5-6C48-9D08-49ACA0C5A1E7}" destId="{4079B160-766B-DE45-9FD9-F74AAFBA61FF}" srcOrd="0" destOrd="0" parTransId="{B850C949-F2CA-4C4D-8E2E-C2E6CB7310F0}" sibTransId="{DB9E3D50-1759-1440-A601-2ECDAA4A3CCD}"/>
    <dgm:cxn modelId="{E0AE38AD-A2E1-4F4B-A6E2-CEB87B9F33A9}" type="presOf" srcId="{E9BBA411-22B7-6B46-B434-506BC4882FD5}" destId="{9A0AD96F-7151-E841-8E2D-8CA166EF6B7B}" srcOrd="0" destOrd="0" presId="urn:microsoft.com/office/officeart/2005/8/layout/orgChart1"/>
    <dgm:cxn modelId="{DC3930CC-D84E-3640-B571-DD5310025314}" type="presOf" srcId="{CE6BA9AC-2160-914F-958E-E1F79467C4D4}" destId="{A1C7E9C9-1DAF-B949-B73D-39CB25D324A5}" srcOrd="0" destOrd="0" presId="urn:microsoft.com/office/officeart/2005/8/layout/orgChart1"/>
    <dgm:cxn modelId="{5CADECCD-EE2D-1C4B-9997-99CCE9513996}" srcId="{D07ABB54-18E5-6C48-9D08-49ACA0C5A1E7}" destId="{CE6BA9AC-2160-914F-958E-E1F79467C4D4}" srcOrd="1" destOrd="0" parTransId="{4D667BF4-B66F-5242-BC80-0F562CF7F782}" sibTransId="{1EA69239-4E9C-0E45-8CB4-12F139C46B40}"/>
    <dgm:cxn modelId="{86F43FD2-AC35-5643-A78B-B37243083174}" type="presOf" srcId="{60047DA8-BAE7-0C4D-AA20-3BBF43DF0FDC}" destId="{361B4078-057D-1B40-8C16-1D8C320B6FBD}" srcOrd="0" destOrd="0" presId="urn:microsoft.com/office/officeart/2005/8/layout/orgChart1"/>
    <dgm:cxn modelId="{ADA95ED2-6C5D-4F49-B4CE-2E6CE9CA39F4}" type="presOf" srcId="{718C5B2C-50ED-A54F-BA55-43F55D1377DA}" destId="{565B9000-4BE9-E94C-8198-3ECF069DDEAD}" srcOrd="0" destOrd="0" presId="urn:microsoft.com/office/officeart/2005/8/layout/orgChart1"/>
    <dgm:cxn modelId="{C0E7EBD2-4D6A-354D-A475-7735180FCEA3}" type="presOf" srcId="{6E3F7D36-8DB8-564B-A489-F29B5E8AAB4F}" destId="{5C885665-3BB4-574C-A3E6-250AC3C77C81}" srcOrd="1" destOrd="0" presId="urn:microsoft.com/office/officeart/2005/8/layout/orgChart1"/>
    <dgm:cxn modelId="{F6D6EDD3-BAC9-144D-AA28-93DB482BAE1C}" srcId="{CE6BA9AC-2160-914F-958E-E1F79467C4D4}" destId="{E9BBA411-22B7-6B46-B434-506BC4882FD5}" srcOrd="0" destOrd="0" parTransId="{718C5B2C-50ED-A54F-BA55-43F55D1377DA}" sibTransId="{BB0EF850-3E80-7546-BA6E-56609A3A2552}"/>
    <dgm:cxn modelId="{3A1195D5-09CF-3D4F-BE51-89037A835974}" type="presOf" srcId="{89ACC947-7DD0-A94C-8BBA-F88475F6E059}" destId="{611F499B-D08E-7349-9E31-3711662BA078}" srcOrd="0" destOrd="0" presId="urn:microsoft.com/office/officeart/2005/8/layout/orgChart1"/>
    <dgm:cxn modelId="{D220F5E9-25C1-394C-85FD-05BDB232E917}" type="presOf" srcId="{106C0E6D-67EC-E84C-A42B-EB497376DA55}" destId="{8FDB8881-7C2B-7D41-AF08-42A73A1BA9F7}" srcOrd="0" destOrd="0" presId="urn:microsoft.com/office/officeart/2005/8/layout/orgChart1"/>
    <dgm:cxn modelId="{12F9FAEC-FCB9-0D46-901E-633BB44DCB0F}" type="presOf" srcId="{D07ABB54-18E5-6C48-9D08-49ACA0C5A1E7}" destId="{1E128452-E690-CE4E-A317-4DC4EC1FF6EC}" srcOrd="1" destOrd="0" presId="urn:microsoft.com/office/officeart/2005/8/layout/orgChart1"/>
    <dgm:cxn modelId="{66E81DF8-9D4E-C14B-B532-C937F3EF23C1}" type="presOf" srcId="{00B1E6AE-95DD-AF4F-8AD0-10F1249902B0}" destId="{3C3FB315-8650-0B41-B55F-C744F4B5CF60}" srcOrd="0" destOrd="0" presId="urn:microsoft.com/office/officeart/2005/8/layout/orgChart1"/>
    <dgm:cxn modelId="{4CD59AFE-11A0-604C-9BC5-BC64B1666ED2}" type="presOf" srcId="{D07ABB54-18E5-6C48-9D08-49ACA0C5A1E7}" destId="{8FFDAA04-F95F-3A42-98A0-3D053FA550AF}" srcOrd="0" destOrd="0" presId="urn:microsoft.com/office/officeart/2005/8/layout/orgChart1"/>
    <dgm:cxn modelId="{344505DB-737E-3049-BE00-637AD8F99357}" type="presParOf" srcId="{2FBF7FA8-E031-104E-8D8D-C5C270A4E16C}" destId="{0453CF8D-0A4B-1A48-B6D1-40872AB93F6D}" srcOrd="0" destOrd="0" presId="urn:microsoft.com/office/officeart/2005/8/layout/orgChart1"/>
    <dgm:cxn modelId="{E9BD60A2-9E75-3B4B-A44D-25390222D4ED}" type="presParOf" srcId="{0453CF8D-0A4B-1A48-B6D1-40872AB93F6D}" destId="{C1BB1921-2D5F-1543-BD09-84B9E5852A5B}" srcOrd="0" destOrd="0" presId="urn:microsoft.com/office/officeart/2005/8/layout/orgChart1"/>
    <dgm:cxn modelId="{E586F1C5-314B-2C48-A76B-5EEC1B19C752}" type="presParOf" srcId="{C1BB1921-2D5F-1543-BD09-84B9E5852A5B}" destId="{8FFDAA04-F95F-3A42-98A0-3D053FA550AF}" srcOrd="0" destOrd="0" presId="urn:microsoft.com/office/officeart/2005/8/layout/orgChart1"/>
    <dgm:cxn modelId="{86EB984E-88EB-0046-AC3B-8759FB70187F}" type="presParOf" srcId="{C1BB1921-2D5F-1543-BD09-84B9E5852A5B}" destId="{1E128452-E690-CE4E-A317-4DC4EC1FF6EC}" srcOrd="1" destOrd="0" presId="urn:microsoft.com/office/officeart/2005/8/layout/orgChart1"/>
    <dgm:cxn modelId="{8530C7C8-70EE-B847-AB47-9FA719CC44CB}" type="presParOf" srcId="{0453CF8D-0A4B-1A48-B6D1-40872AB93F6D}" destId="{17EB25C8-860E-C643-9B69-8A99E271A683}" srcOrd="1" destOrd="0" presId="urn:microsoft.com/office/officeart/2005/8/layout/orgChart1"/>
    <dgm:cxn modelId="{81B4798C-E49B-5248-BBB2-2A60AE78A65C}" type="presParOf" srcId="{0453CF8D-0A4B-1A48-B6D1-40872AB93F6D}" destId="{4E8521A8-B438-2C45-9438-1DE0DE9915A3}" srcOrd="2" destOrd="0" presId="urn:microsoft.com/office/officeart/2005/8/layout/orgChart1"/>
    <dgm:cxn modelId="{C3E7A308-EBF1-BC4B-AC93-4D7C53BA7FA6}" type="presParOf" srcId="{4E8521A8-B438-2C45-9438-1DE0DE9915A3}" destId="{70EFC7D5-AA6E-DA4F-AACE-0942B09CE0D3}" srcOrd="0" destOrd="0" presId="urn:microsoft.com/office/officeart/2005/8/layout/orgChart1"/>
    <dgm:cxn modelId="{C71FB75D-1D85-B342-B751-733C920E9E1D}" type="presParOf" srcId="{4E8521A8-B438-2C45-9438-1DE0DE9915A3}" destId="{6839F5B9-7A47-B241-96ED-37348BB4C9DA}" srcOrd="1" destOrd="0" presId="urn:microsoft.com/office/officeart/2005/8/layout/orgChart1"/>
    <dgm:cxn modelId="{2E4FF579-4184-444C-A032-CA6805435BB9}" type="presParOf" srcId="{6839F5B9-7A47-B241-96ED-37348BB4C9DA}" destId="{27CD9925-4E2F-D14B-830F-7ED1B5AA018D}" srcOrd="0" destOrd="0" presId="urn:microsoft.com/office/officeart/2005/8/layout/orgChart1"/>
    <dgm:cxn modelId="{B2639BA3-2A45-A44E-A112-75D77C37999E}" type="presParOf" srcId="{27CD9925-4E2F-D14B-830F-7ED1B5AA018D}" destId="{72BD68E0-A7B1-E749-94FC-121302261FBA}" srcOrd="0" destOrd="0" presId="urn:microsoft.com/office/officeart/2005/8/layout/orgChart1"/>
    <dgm:cxn modelId="{0C7CED7A-C731-E948-904E-43B7A75DC535}" type="presParOf" srcId="{27CD9925-4E2F-D14B-830F-7ED1B5AA018D}" destId="{79EF1EFA-4231-F74D-A775-5F0A0BFAC6DF}" srcOrd="1" destOrd="0" presId="urn:microsoft.com/office/officeart/2005/8/layout/orgChart1"/>
    <dgm:cxn modelId="{106ED12B-2167-7D4D-B8E3-F36D29FF73AA}" type="presParOf" srcId="{6839F5B9-7A47-B241-96ED-37348BB4C9DA}" destId="{29CD5F52-1EDD-5945-BCFA-5BE955B53A11}" srcOrd="1" destOrd="0" presId="urn:microsoft.com/office/officeart/2005/8/layout/orgChart1"/>
    <dgm:cxn modelId="{C0A59DF9-A4A1-4F49-8D30-4052A8FEDF54}" type="presParOf" srcId="{6839F5B9-7A47-B241-96ED-37348BB4C9DA}" destId="{4F9DD22D-5900-1A4D-B316-1FE1C47945B3}" srcOrd="2" destOrd="0" presId="urn:microsoft.com/office/officeart/2005/8/layout/orgChart1"/>
    <dgm:cxn modelId="{98C53A65-74CA-E34C-87B5-5A8872C2C285}" type="presParOf" srcId="{4E8521A8-B438-2C45-9438-1DE0DE9915A3}" destId="{B6FF4A6D-F195-374D-9EEE-0E09E920DE9C}" srcOrd="2" destOrd="0" presId="urn:microsoft.com/office/officeart/2005/8/layout/orgChart1"/>
    <dgm:cxn modelId="{796CC348-8113-1D49-BB93-C52AC67855FA}" type="presParOf" srcId="{4E8521A8-B438-2C45-9438-1DE0DE9915A3}" destId="{7CA97F75-649B-E34A-96B8-301BCD5B4FB8}" srcOrd="3" destOrd="0" presId="urn:microsoft.com/office/officeart/2005/8/layout/orgChart1"/>
    <dgm:cxn modelId="{7725CEAC-111B-0649-9F1D-5B8BA0ACCD16}" type="presParOf" srcId="{7CA97F75-649B-E34A-96B8-301BCD5B4FB8}" destId="{B2AA574C-6B73-7D41-8A04-894C44F7F6C9}" srcOrd="0" destOrd="0" presId="urn:microsoft.com/office/officeart/2005/8/layout/orgChart1"/>
    <dgm:cxn modelId="{AF18D80A-157D-4649-A761-0536F4862AF4}" type="presParOf" srcId="{B2AA574C-6B73-7D41-8A04-894C44F7F6C9}" destId="{A1C7E9C9-1DAF-B949-B73D-39CB25D324A5}" srcOrd="0" destOrd="0" presId="urn:microsoft.com/office/officeart/2005/8/layout/orgChart1"/>
    <dgm:cxn modelId="{91F02709-9BC9-A441-8325-0D66E057E9A6}" type="presParOf" srcId="{B2AA574C-6B73-7D41-8A04-894C44F7F6C9}" destId="{ABC93E15-3B07-E541-9F19-1913D156394B}" srcOrd="1" destOrd="0" presId="urn:microsoft.com/office/officeart/2005/8/layout/orgChart1"/>
    <dgm:cxn modelId="{176AAD65-BDBD-FB4C-98EF-C0312C3D32BD}" type="presParOf" srcId="{7CA97F75-649B-E34A-96B8-301BCD5B4FB8}" destId="{AB20E2F3-D9B3-4A4F-8B88-6E5536EA6A98}" srcOrd="1" destOrd="0" presId="urn:microsoft.com/office/officeart/2005/8/layout/orgChart1"/>
    <dgm:cxn modelId="{32D2DD9A-82F1-6743-B9E7-CE0CC07F428B}" type="presParOf" srcId="{7CA97F75-649B-E34A-96B8-301BCD5B4FB8}" destId="{FB4C6E79-B59B-A644-8F43-E6218A534D7F}" srcOrd="2" destOrd="0" presId="urn:microsoft.com/office/officeart/2005/8/layout/orgChart1"/>
    <dgm:cxn modelId="{F357CA44-1651-094F-865E-09593A6896B4}" type="presParOf" srcId="{FB4C6E79-B59B-A644-8F43-E6218A534D7F}" destId="{565B9000-4BE9-E94C-8198-3ECF069DDEAD}" srcOrd="0" destOrd="0" presId="urn:microsoft.com/office/officeart/2005/8/layout/orgChart1"/>
    <dgm:cxn modelId="{26904821-9617-AD40-B7EE-5491071DCEA1}" type="presParOf" srcId="{FB4C6E79-B59B-A644-8F43-E6218A534D7F}" destId="{626BB5DA-85EF-184E-93D5-56B290FD232A}" srcOrd="1" destOrd="0" presId="urn:microsoft.com/office/officeart/2005/8/layout/orgChart1"/>
    <dgm:cxn modelId="{1164D710-340C-4046-AF8C-79B89713F0B9}" type="presParOf" srcId="{626BB5DA-85EF-184E-93D5-56B290FD232A}" destId="{550437D2-B738-D444-BF42-377162106E3C}" srcOrd="0" destOrd="0" presId="urn:microsoft.com/office/officeart/2005/8/layout/orgChart1"/>
    <dgm:cxn modelId="{322C7906-2CE7-2E48-9AEC-1DF3AA713194}" type="presParOf" srcId="{550437D2-B738-D444-BF42-377162106E3C}" destId="{9A0AD96F-7151-E841-8E2D-8CA166EF6B7B}" srcOrd="0" destOrd="0" presId="urn:microsoft.com/office/officeart/2005/8/layout/orgChart1"/>
    <dgm:cxn modelId="{203A8AA7-B9F6-E44E-AA4C-2EEEEC722401}" type="presParOf" srcId="{550437D2-B738-D444-BF42-377162106E3C}" destId="{442BD0BC-A57C-A44F-A72E-839DE636615F}" srcOrd="1" destOrd="0" presId="urn:microsoft.com/office/officeart/2005/8/layout/orgChart1"/>
    <dgm:cxn modelId="{2E82192B-18ED-654A-801F-040160C0E091}" type="presParOf" srcId="{626BB5DA-85EF-184E-93D5-56B290FD232A}" destId="{67A73506-28E9-2741-9C4B-378D06550FFA}" srcOrd="1" destOrd="0" presId="urn:microsoft.com/office/officeart/2005/8/layout/orgChart1"/>
    <dgm:cxn modelId="{F6F76E77-CD5F-2345-9A5F-5C33140BB3ED}" type="presParOf" srcId="{626BB5DA-85EF-184E-93D5-56B290FD232A}" destId="{E922AD32-0B7A-BF4A-8507-B3B0E2CCCE44}" srcOrd="2" destOrd="0" presId="urn:microsoft.com/office/officeart/2005/8/layout/orgChart1"/>
    <dgm:cxn modelId="{B3FE2C8E-6FCD-CE4A-8A78-AD2106E8F3A3}" type="presParOf" srcId="{E922AD32-0B7A-BF4A-8507-B3B0E2CCCE44}" destId="{425C1B68-EA2B-084C-ADE1-F6C0619A0AFB}" srcOrd="0" destOrd="0" presId="urn:microsoft.com/office/officeart/2005/8/layout/orgChart1"/>
    <dgm:cxn modelId="{B044D8E2-8096-7640-A502-FC8567E0BEA8}" type="presParOf" srcId="{E922AD32-0B7A-BF4A-8507-B3B0E2CCCE44}" destId="{7D708D04-F33F-0449-923D-87F1F0F83EBD}" srcOrd="1" destOrd="0" presId="urn:microsoft.com/office/officeart/2005/8/layout/orgChart1"/>
    <dgm:cxn modelId="{0313306F-3CDB-DB41-BF61-AC9265C893D3}" type="presParOf" srcId="{7D708D04-F33F-0449-923D-87F1F0F83EBD}" destId="{7D161AC1-410A-A34E-A5E8-FEF38DC88B4B}" srcOrd="0" destOrd="0" presId="urn:microsoft.com/office/officeart/2005/8/layout/orgChart1"/>
    <dgm:cxn modelId="{AD07A46B-0656-7C48-BBED-13BDA8D572EC}" type="presParOf" srcId="{7D161AC1-410A-A34E-A5E8-FEF38DC88B4B}" destId="{002B16A3-584C-F945-A646-381F19AF4712}" srcOrd="0" destOrd="0" presId="urn:microsoft.com/office/officeart/2005/8/layout/orgChart1"/>
    <dgm:cxn modelId="{18FE5DFC-4DF6-994E-94F3-FE1D2297741D}" type="presParOf" srcId="{7D161AC1-410A-A34E-A5E8-FEF38DC88B4B}" destId="{BF3B2701-2827-0E4A-A362-246A373B655C}" srcOrd="1" destOrd="0" presId="urn:microsoft.com/office/officeart/2005/8/layout/orgChart1"/>
    <dgm:cxn modelId="{C9B7A14D-C424-1A47-8EFB-5F700E983110}" type="presParOf" srcId="{7D708D04-F33F-0449-923D-87F1F0F83EBD}" destId="{621C6DFC-3F58-CA4E-8C7D-5F0D2A4D42B4}" srcOrd="1" destOrd="0" presId="urn:microsoft.com/office/officeart/2005/8/layout/orgChart1"/>
    <dgm:cxn modelId="{241248B6-DD2F-CB44-A906-8F44F6EEF9A6}" type="presParOf" srcId="{7D708D04-F33F-0449-923D-87F1F0F83EBD}" destId="{9C5E24AC-7555-3448-BA12-4D39DA7FE5AA}" srcOrd="2" destOrd="0" presId="urn:microsoft.com/office/officeart/2005/8/layout/orgChart1"/>
    <dgm:cxn modelId="{02C112BD-1B18-8C47-AA03-6E59598DB9F5}" type="presParOf" srcId="{E922AD32-0B7A-BF4A-8507-B3B0E2CCCE44}" destId="{3C3FB315-8650-0B41-B55F-C744F4B5CF60}" srcOrd="2" destOrd="0" presId="urn:microsoft.com/office/officeart/2005/8/layout/orgChart1"/>
    <dgm:cxn modelId="{EFFBFCCC-E6DB-B746-AD5F-A71DCA425031}" type="presParOf" srcId="{E922AD32-0B7A-BF4A-8507-B3B0E2CCCE44}" destId="{0244FB4A-29C5-1045-8D27-C78155904625}" srcOrd="3" destOrd="0" presId="urn:microsoft.com/office/officeart/2005/8/layout/orgChart1"/>
    <dgm:cxn modelId="{17CBE612-EC27-3241-815C-836926597160}" type="presParOf" srcId="{0244FB4A-29C5-1045-8D27-C78155904625}" destId="{FEAA362F-3EB0-9644-A83F-62B340AAE0F1}" srcOrd="0" destOrd="0" presId="urn:microsoft.com/office/officeart/2005/8/layout/orgChart1"/>
    <dgm:cxn modelId="{B869BB05-6B78-8F4C-8191-4CEA9A6573FA}" type="presParOf" srcId="{FEAA362F-3EB0-9644-A83F-62B340AAE0F1}" destId="{991155DD-8EA0-B443-87DF-2C3A118FEB99}" srcOrd="0" destOrd="0" presId="urn:microsoft.com/office/officeart/2005/8/layout/orgChart1"/>
    <dgm:cxn modelId="{91E81871-99FD-4547-96F7-A3D659B90091}" type="presParOf" srcId="{FEAA362F-3EB0-9644-A83F-62B340AAE0F1}" destId="{0CAAA9F4-AC3A-5046-B606-9927CDA0DDD0}" srcOrd="1" destOrd="0" presId="urn:microsoft.com/office/officeart/2005/8/layout/orgChart1"/>
    <dgm:cxn modelId="{03817988-226D-E846-AA29-300F66E33F74}" type="presParOf" srcId="{0244FB4A-29C5-1045-8D27-C78155904625}" destId="{4FDE553D-6B11-574A-AFA9-B56A5069A71E}" srcOrd="1" destOrd="0" presId="urn:microsoft.com/office/officeart/2005/8/layout/orgChart1"/>
    <dgm:cxn modelId="{90B6405F-45B7-E542-A228-DAF37BB5A06E}" type="presParOf" srcId="{0244FB4A-29C5-1045-8D27-C78155904625}" destId="{420C1E2A-1A25-3F47-AA11-CBDC291084BB}" srcOrd="2" destOrd="0" presId="urn:microsoft.com/office/officeart/2005/8/layout/orgChart1"/>
    <dgm:cxn modelId="{573A855B-86FC-E245-8351-7C87728A1C4F}" type="presParOf" srcId="{FB4C6E79-B59B-A644-8F43-E6218A534D7F}" destId="{361B4078-057D-1B40-8C16-1D8C320B6FBD}" srcOrd="2" destOrd="0" presId="urn:microsoft.com/office/officeart/2005/8/layout/orgChart1"/>
    <dgm:cxn modelId="{AF5CB685-CD29-214D-9CDA-2DFB16C336D7}" type="presParOf" srcId="{FB4C6E79-B59B-A644-8F43-E6218A534D7F}" destId="{6B7F1E08-4783-8F46-982C-283F4BA7668D}" srcOrd="3" destOrd="0" presId="urn:microsoft.com/office/officeart/2005/8/layout/orgChart1"/>
    <dgm:cxn modelId="{3774CD03-83C9-AA4C-8E34-E15C06ECCD0A}" type="presParOf" srcId="{6B7F1E08-4783-8F46-982C-283F4BA7668D}" destId="{0A25459B-9C30-C747-B181-A7F950A79DCF}" srcOrd="0" destOrd="0" presId="urn:microsoft.com/office/officeart/2005/8/layout/orgChart1"/>
    <dgm:cxn modelId="{D1AEDBC9-91ED-D040-968C-DC752B0A64AF}" type="presParOf" srcId="{0A25459B-9C30-C747-B181-A7F950A79DCF}" destId="{AD6FC7C6-E814-BF42-B519-A7E7888056E8}" srcOrd="0" destOrd="0" presId="urn:microsoft.com/office/officeart/2005/8/layout/orgChart1"/>
    <dgm:cxn modelId="{5AC8C664-5C16-8A42-B886-3B236DB5947B}" type="presParOf" srcId="{0A25459B-9C30-C747-B181-A7F950A79DCF}" destId="{2E45FC85-DFAF-6B47-8DB1-AF5924A2E784}" srcOrd="1" destOrd="0" presId="urn:microsoft.com/office/officeart/2005/8/layout/orgChart1"/>
    <dgm:cxn modelId="{52B51A37-C252-EE41-B8B2-6651E33E25C8}" type="presParOf" srcId="{6B7F1E08-4783-8F46-982C-283F4BA7668D}" destId="{029F5405-0144-504A-B900-4EFFCCA74A3F}" srcOrd="1" destOrd="0" presId="urn:microsoft.com/office/officeart/2005/8/layout/orgChart1"/>
    <dgm:cxn modelId="{FFB52E97-E75E-3D41-B6BF-6627B1219F63}" type="presParOf" srcId="{6B7F1E08-4783-8F46-982C-283F4BA7668D}" destId="{AD74C378-4B0A-3743-8316-32739368DBC9}" srcOrd="2" destOrd="0" presId="urn:microsoft.com/office/officeart/2005/8/layout/orgChart1"/>
    <dgm:cxn modelId="{9ECB83B9-8291-5E4E-BDFB-6D101BA4DD20}" type="presParOf" srcId="{AD74C378-4B0A-3743-8316-32739368DBC9}" destId="{8FDB8881-7C2B-7D41-AF08-42A73A1BA9F7}" srcOrd="0" destOrd="0" presId="urn:microsoft.com/office/officeart/2005/8/layout/orgChart1"/>
    <dgm:cxn modelId="{6388108E-005D-3348-981A-B8874AF61EE4}" type="presParOf" srcId="{AD74C378-4B0A-3743-8316-32739368DBC9}" destId="{3AD49D37-81A6-4742-8D01-974A1A916248}" srcOrd="1" destOrd="0" presId="urn:microsoft.com/office/officeart/2005/8/layout/orgChart1"/>
    <dgm:cxn modelId="{4F5FE8DA-03FE-F54D-814A-7E210B3CFFF4}" type="presParOf" srcId="{3AD49D37-81A6-4742-8D01-974A1A916248}" destId="{416C33F4-15F8-1742-9504-C70429D3AEEC}" srcOrd="0" destOrd="0" presId="urn:microsoft.com/office/officeart/2005/8/layout/orgChart1"/>
    <dgm:cxn modelId="{E85778A2-1FE0-F245-9E4D-E49DA0F0296D}" type="presParOf" srcId="{416C33F4-15F8-1742-9504-C70429D3AEEC}" destId="{1DC87B3E-4460-E04D-9B52-7EC67CA2D68E}" srcOrd="0" destOrd="0" presId="urn:microsoft.com/office/officeart/2005/8/layout/orgChart1"/>
    <dgm:cxn modelId="{7B9D5D1D-C476-4846-B0DF-099824DB0748}" type="presParOf" srcId="{416C33F4-15F8-1742-9504-C70429D3AEEC}" destId="{5C885665-3BB4-574C-A3E6-250AC3C77C81}" srcOrd="1" destOrd="0" presId="urn:microsoft.com/office/officeart/2005/8/layout/orgChart1"/>
    <dgm:cxn modelId="{B725CF64-579C-F243-8787-4D80DDD779A1}" type="presParOf" srcId="{3AD49D37-81A6-4742-8D01-974A1A916248}" destId="{A0FCE76E-FB60-E74A-9349-4D8297234027}" srcOrd="1" destOrd="0" presId="urn:microsoft.com/office/officeart/2005/8/layout/orgChart1"/>
    <dgm:cxn modelId="{FCAE8777-79A8-1A44-975F-2C5ECA8700FB}" type="presParOf" srcId="{3AD49D37-81A6-4742-8D01-974A1A916248}" destId="{8A755E8F-2FC2-F045-878E-292A2399D2E4}" srcOrd="2" destOrd="0" presId="urn:microsoft.com/office/officeart/2005/8/layout/orgChart1"/>
    <dgm:cxn modelId="{2C4EBB1A-BEA8-3148-9E1F-A1611286CF7B}" type="presParOf" srcId="{AD74C378-4B0A-3743-8316-32739368DBC9}" destId="{611F499B-D08E-7349-9E31-3711662BA078}" srcOrd="2" destOrd="0" presId="urn:microsoft.com/office/officeart/2005/8/layout/orgChart1"/>
    <dgm:cxn modelId="{3FF6657E-30A3-C246-9EEC-0280715C8659}" type="presParOf" srcId="{AD74C378-4B0A-3743-8316-32739368DBC9}" destId="{8333E1CB-A05A-1C4E-8444-B0CE89C69C8C}" srcOrd="3" destOrd="0" presId="urn:microsoft.com/office/officeart/2005/8/layout/orgChart1"/>
    <dgm:cxn modelId="{25527412-1035-6844-89ED-4A8609861030}" type="presParOf" srcId="{8333E1CB-A05A-1C4E-8444-B0CE89C69C8C}" destId="{4288991B-C263-D242-A2EE-3FDB504BF3F4}" srcOrd="0" destOrd="0" presId="urn:microsoft.com/office/officeart/2005/8/layout/orgChart1"/>
    <dgm:cxn modelId="{72F30996-98B2-BF44-BC4C-DC0992EA449C}" type="presParOf" srcId="{4288991B-C263-D242-A2EE-3FDB504BF3F4}" destId="{DE100E62-A2E2-634C-8395-FCDB20BF850B}" srcOrd="0" destOrd="0" presId="urn:microsoft.com/office/officeart/2005/8/layout/orgChart1"/>
    <dgm:cxn modelId="{AE212F1F-41B7-AF4B-907B-E10712ED171F}" type="presParOf" srcId="{4288991B-C263-D242-A2EE-3FDB504BF3F4}" destId="{B4A638E0-57A4-9443-BF8A-676A35C846C8}" srcOrd="1" destOrd="0" presId="urn:microsoft.com/office/officeart/2005/8/layout/orgChart1"/>
    <dgm:cxn modelId="{3937FA38-4862-914B-AEED-BFCD9C69DA58}" type="presParOf" srcId="{8333E1CB-A05A-1C4E-8444-B0CE89C69C8C}" destId="{3848EAC8-5C38-D144-ADF2-0AD855662A93}" srcOrd="1" destOrd="0" presId="urn:microsoft.com/office/officeart/2005/8/layout/orgChart1"/>
    <dgm:cxn modelId="{0416D51A-338A-A049-BE14-E12BD135DA39}" type="presParOf" srcId="{8333E1CB-A05A-1C4E-8444-B0CE89C69C8C}" destId="{0EA523D0-ED06-BE48-B924-2E3A57F6A8D0}"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1F499B-D08E-7349-9E31-3711662BA078}">
      <dsp:nvSpPr>
        <dsp:cNvPr id="0" name=""/>
        <dsp:cNvSpPr/>
      </dsp:nvSpPr>
      <dsp:spPr>
        <a:xfrm>
          <a:off x="4448014" y="2168471"/>
          <a:ext cx="98625" cy="432074"/>
        </a:xfrm>
        <a:custGeom>
          <a:avLst/>
          <a:gdLst/>
          <a:ahLst/>
          <a:cxnLst/>
          <a:rect l="0" t="0" r="0" b="0"/>
          <a:pathLst>
            <a:path>
              <a:moveTo>
                <a:pt x="0" y="0"/>
              </a:moveTo>
              <a:lnTo>
                <a:pt x="0" y="432074"/>
              </a:lnTo>
              <a:lnTo>
                <a:pt x="98625" y="432074"/>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DB8881-7C2B-7D41-AF08-42A73A1BA9F7}">
      <dsp:nvSpPr>
        <dsp:cNvPr id="0" name=""/>
        <dsp:cNvSpPr/>
      </dsp:nvSpPr>
      <dsp:spPr>
        <a:xfrm>
          <a:off x="4349388" y="2168471"/>
          <a:ext cx="98625" cy="432074"/>
        </a:xfrm>
        <a:custGeom>
          <a:avLst/>
          <a:gdLst/>
          <a:ahLst/>
          <a:cxnLst/>
          <a:rect l="0" t="0" r="0" b="0"/>
          <a:pathLst>
            <a:path>
              <a:moveTo>
                <a:pt x="98625" y="0"/>
              </a:moveTo>
              <a:lnTo>
                <a:pt x="98625" y="432074"/>
              </a:lnTo>
              <a:lnTo>
                <a:pt x="0" y="432074"/>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1B4078-057D-1B40-8C16-1D8C320B6FBD}">
      <dsp:nvSpPr>
        <dsp:cNvPr id="0" name=""/>
        <dsp:cNvSpPr/>
      </dsp:nvSpPr>
      <dsp:spPr>
        <a:xfrm>
          <a:off x="3311471" y="1501574"/>
          <a:ext cx="666896" cy="432074"/>
        </a:xfrm>
        <a:custGeom>
          <a:avLst/>
          <a:gdLst/>
          <a:ahLst/>
          <a:cxnLst/>
          <a:rect l="0" t="0" r="0" b="0"/>
          <a:pathLst>
            <a:path>
              <a:moveTo>
                <a:pt x="0" y="0"/>
              </a:moveTo>
              <a:lnTo>
                <a:pt x="0" y="432074"/>
              </a:lnTo>
              <a:lnTo>
                <a:pt x="666896" y="432074"/>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3FB315-8650-0B41-B55F-C744F4B5CF60}">
      <dsp:nvSpPr>
        <dsp:cNvPr id="0" name=""/>
        <dsp:cNvSpPr/>
      </dsp:nvSpPr>
      <dsp:spPr>
        <a:xfrm>
          <a:off x="2174928" y="2168471"/>
          <a:ext cx="98625" cy="432074"/>
        </a:xfrm>
        <a:custGeom>
          <a:avLst/>
          <a:gdLst/>
          <a:ahLst/>
          <a:cxnLst/>
          <a:rect l="0" t="0" r="0" b="0"/>
          <a:pathLst>
            <a:path>
              <a:moveTo>
                <a:pt x="0" y="0"/>
              </a:moveTo>
              <a:lnTo>
                <a:pt x="0" y="432074"/>
              </a:lnTo>
              <a:lnTo>
                <a:pt x="98625" y="432074"/>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5C1B68-EA2B-084C-ADE1-F6C0619A0AFB}">
      <dsp:nvSpPr>
        <dsp:cNvPr id="0" name=""/>
        <dsp:cNvSpPr/>
      </dsp:nvSpPr>
      <dsp:spPr>
        <a:xfrm>
          <a:off x="2076303" y="2168471"/>
          <a:ext cx="98625" cy="432074"/>
        </a:xfrm>
        <a:custGeom>
          <a:avLst/>
          <a:gdLst/>
          <a:ahLst/>
          <a:cxnLst/>
          <a:rect l="0" t="0" r="0" b="0"/>
          <a:pathLst>
            <a:path>
              <a:moveTo>
                <a:pt x="98625" y="0"/>
              </a:moveTo>
              <a:lnTo>
                <a:pt x="98625" y="432074"/>
              </a:lnTo>
              <a:lnTo>
                <a:pt x="0" y="432074"/>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5B9000-4BE9-E94C-8198-3ECF069DDEAD}">
      <dsp:nvSpPr>
        <dsp:cNvPr id="0" name=""/>
        <dsp:cNvSpPr/>
      </dsp:nvSpPr>
      <dsp:spPr>
        <a:xfrm>
          <a:off x="2644574" y="1501574"/>
          <a:ext cx="666896" cy="432074"/>
        </a:xfrm>
        <a:custGeom>
          <a:avLst/>
          <a:gdLst/>
          <a:ahLst/>
          <a:cxnLst/>
          <a:rect l="0" t="0" r="0" b="0"/>
          <a:pathLst>
            <a:path>
              <a:moveTo>
                <a:pt x="666896" y="0"/>
              </a:moveTo>
              <a:lnTo>
                <a:pt x="666896" y="432074"/>
              </a:lnTo>
              <a:lnTo>
                <a:pt x="0" y="432074"/>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FF4A6D-F195-374D-9EEE-0E09E920DE9C}">
      <dsp:nvSpPr>
        <dsp:cNvPr id="0" name=""/>
        <dsp:cNvSpPr/>
      </dsp:nvSpPr>
      <dsp:spPr>
        <a:xfrm>
          <a:off x="1038385" y="834677"/>
          <a:ext cx="1803439" cy="432074"/>
        </a:xfrm>
        <a:custGeom>
          <a:avLst/>
          <a:gdLst/>
          <a:ahLst/>
          <a:cxnLst/>
          <a:rect l="0" t="0" r="0" b="0"/>
          <a:pathLst>
            <a:path>
              <a:moveTo>
                <a:pt x="0" y="0"/>
              </a:moveTo>
              <a:lnTo>
                <a:pt x="0" y="432074"/>
              </a:lnTo>
              <a:lnTo>
                <a:pt x="1803439" y="43207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EFC7D5-AA6E-DA4F-AACE-0942B09CE0D3}">
      <dsp:nvSpPr>
        <dsp:cNvPr id="0" name=""/>
        <dsp:cNvSpPr/>
      </dsp:nvSpPr>
      <dsp:spPr>
        <a:xfrm>
          <a:off x="939760" y="834677"/>
          <a:ext cx="98625" cy="432074"/>
        </a:xfrm>
        <a:custGeom>
          <a:avLst/>
          <a:gdLst/>
          <a:ahLst/>
          <a:cxnLst/>
          <a:rect l="0" t="0" r="0" b="0"/>
          <a:pathLst>
            <a:path>
              <a:moveTo>
                <a:pt x="98625" y="0"/>
              </a:moveTo>
              <a:lnTo>
                <a:pt x="98625" y="432074"/>
              </a:lnTo>
              <a:lnTo>
                <a:pt x="0" y="43207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FDAA04-F95F-3A42-98A0-3D053FA550AF}">
      <dsp:nvSpPr>
        <dsp:cNvPr id="0" name=""/>
        <dsp:cNvSpPr/>
      </dsp:nvSpPr>
      <dsp:spPr>
        <a:xfrm>
          <a:off x="568740" y="365031"/>
          <a:ext cx="939291" cy="469645"/>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8,095 families considered</a:t>
          </a:r>
        </a:p>
      </dsp:txBody>
      <dsp:txXfrm>
        <a:off x="568740" y="365031"/>
        <a:ext cx="939291" cy="469645"/>
      </dsp:txXfrm>
    </dsp:sp>
    <dsp:sp modelId="{72BD68E0-A7B1-E749-94FC-121302261FBA}">
      <dsp:nvSpPr>
        <dsp:cNvPr id="0" name=""/>
        <dsp:cNvSpPr/>
      </dsp:nvSpPr>
      <dsp:spPr>
        <a:xfrm>
          <a:off x="468" y="1031928"/>
          <a:ext cx="939291" cy="469645"/>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1,108 not randomized</a:t>
          </a:r>
        </a:p>
      </dsp:txBody>
      <dsp:txXfrm>
        <a:off x="468" y="1031928"/>
        <a:ext cx="939291" cy="469645"/>
      </dsp:txXfrm>
    </dsp:sp>
    <dsp:sp modelId="{A1C7E9C9-1DAF-B949-B73D-39CB25D324A5}">
      <dsp:nvSpPr>
        <dsp:cNvPr id="0" name=""/>
        <dsp:cNvSpPr/>
      </dsp:nvSpPr>
      <dsp:spPr>
        <a:xfrm>
          <a:off x="2841825" y="1031928"/>
          <a:ext cx="939291" cy="469645"/>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6,987 randomized</a:t>
          </a:r>
        </a:p>
      </dsp:txBody>
      <dsp:txXfrm>
        <a:off x="2841825" y="1031928"/>
        <a:ext cx="939291" cy="469645"/>
      </dsp:txXfrm>
    </dsp:sp>
    <dsp:sp modelId="{9A0AD96F-7151-E841-8E2D-8CA166EF6B7B}">
      <dsp:nvSpPr>
        <dsp:cNvPr id="0" name=""/>
        <dsp:cNvSpPr/>
      </dsp:nvSpPr>
      <dsp:spPr>
        <a:xfrm>
          <a:off x="1705282" y="1698825"/>
          <a:ext cx="939291" cy="469645"/>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3,958 assigned to control (Z=0)</a:t>
          </a:r>
        </a:p>
      </dsp:txBody>
      <dsp:txXfrm>
        <a:off x="1705282" y="1698825"/>
        <a:ext cx="939291" cy="469645"/>
      </dsp:txXfrm>
    </dsp:sp>
    <dsp:sp modelId="{002B16A3-584C-F945-A646-381F19AF4712}">
      <dsp:nvSpPr>
        <dsp:cNvPr id="0" name=""/>
        <dsp:cNvSpPr/>
      </dsp:nvSpPr>
      <dsp:spPr>
        <a:xfrm>
          <a:off x="1137011" y="2365722"/>
          <a:ext cx="939291" cy="469645"/>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3,713 did not receive</a:t>
          </a:r>
        </a:p>
      </dsp:txBody>
      <dsp:txXfrm>
        <a:off x="1137011" y="2365722"/>
        <a:ext cx="939291" cy="469645"/>
      </dsp:txXfrm>
    </dsp:sp>
    <dsp:sp modelId="{991155DD-8EA0-B443-87DF-2C3A118FEB99}">
      <dsp:nvSpPr>
        <dsp:cNvPr id="0" name=""/>
        <dsp:cNvSpPr/>
      </dsp:nvSpPr>
      <dsp:spPr>
        <a:xfrm>
          <a:off x="2273554" y="2365722"/>
          <a:ext cx="939291" cy="469645"/>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245 received</a:t>
          </a:r>
        </a:p>
      </dsp:txBody>
      <dsp:txXfrm>
        <a:off x="2273554" y="2365722"/>
        <a:ext cx="939291" cy="469645"/>
      </dsp:txXfrm>
    </dsp:sp>
    <dsp:sp modelId="{AD6FC7C6-E814-BF42-B519-A7E7888056E8}">
      <dsp:nvSpPr>
        <dsp:cNvPr id="0" name=""/>
        <dsp:cNvSpPr/>
      </dsp:nvSpPr>
      <dsp:spPr>
        <a:xfrm>
          <a:off x="3978368" y="1698825"/>
          <a:ext cx="939291" cy="469645"/>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3,029 assigned to treatment (Z=1)</a:t>
          </a:r>
        </a:p>
      </dsp:txBody>
      <dsp:txXfrm>
        <a:off x="3978368" y="1698825"/>
        <a:ext cx="939291" cy="469645"/>
      </dsp:txXfrm>
    </dsp:sp>
    <dsp:sp modelId="{1DC87B3E-4460-E04D-9B52-7EC67CA2D68E}">
      <dsp:nvSpPr>
        <dsp:cNvPr id="0" name=""/>
        <dsp:cNvSpPr/>
      </dsp:nvSpPr>
      <dsp:spPr>
        <a:xfrm>
          <a:off x="3410096" y="2365722"/>
          <a:ext cx="939291" cy="469645"/>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1,987 received</a:t>
          </a:r>
        </a:p>
      </dsp:txBody>
      <dsp:txXfrm>
        <a:off x="3410096" y="2365722"/>
        <a:ext cx="939291" cy="469645"/>
      </dsp:txXfrm>
    </dsp:sp>
    <dsp:sp modelId="{DE100E62-A2E2-634C-8395-FCDB20BF850B}">
      <dsp:nvSpPr>
        <dsp:cNvPr id="0" name=""/>
        <dsp:cNvSpPr/>
      </dsp:nvSpPr>
      <dsp:spPr>
        <a:xfrm>
          <a:off x="4546639" y="2365722"/>
          <a:ext cx="939291" cy="469645"/>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1,042 did not received</a:t>
          </a:r>
        </a:p>
      </dsp:txBody>
      <dsp:txXfrm>
        <a:off x="4546639" y="2365722"/>
        <a:ext cx="939291" cy="4696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jiCpgZyMj1yhbL6LX7GZ6ejj7A==">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3293</Words>
  <Characters>20621</Characters>
  <Application>Microsoft Office Word</Application>
  <DocSecurity>0</DocSecurity>
  <Lines>389</Lines>
  <Paragraphs>177</Paragraphs>
  <ScaleCrop>false</ScaleCrop>
  <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Valdes Aspillaga</dc:creator>
  <cp:lastModifiedBy>Natalia Valdes Aspillaga</cp:lastModifiedBy>
  <cp:revision>21</cp:revision>
  <dcterms:created xsi:type="dcterms:W3CDTF">2026-02-11T17:59:00Z</dcterms:created>
  <dcterms:modified xsi:type="dcterms:W3CDTF">2026-03-12T21:07:00Z</dcterms:modified>
</cp:coreProperties>
</file>