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9642" w14:textId="77777777" w:rsidR="00F735E1" w:rsidRPr="00C80B83" w:rsidRDefault="009C2049" w:rsidP="009C2049">
      <w:pPr>
        <w:jc w:val="center"/>
        <w:rPr>
          <w:b/>
          <w:sz w:val="28"/>
          <w:szCs w:val="28"/>
          <w:lang w:val="en-GB"/>
        </w:rPr>
      </w:pPr>
      <w:bookmarkStart w:id="0" w:name="_Hlk165374034"/>
      <w:bookmarkEnd w:id="0"/>
      <w:r w:rsidRPr="00C80B83">
        <w:rPr>
          <w:b/>
          <w:sz w:val="28"/>
          <w:szCs w:val="28"/>
          <w:lang w:val="en-GB"/>
        </w:rPr>
        <w:t>Pre-analysis plan</w:t>
      </w:r>
    </w:p>
    <w:p w14:paraId="294950B9" w14:textId="77777777" w:rsidR="00C80B83" w:rsidRPr="00C80B83" w:rsidRDefault="00C80B83" w:rsidP="009C2049">
      <w:pPr>
        <w:jc w:val="center"/>
        <w:rPr>
          <w:sz w:val="28"/>
          <w:szCs w:val="28"/>
          <w:lang w:val="en-GB"/>
        </w:rPr>
      </w:pPr>
    </w:p>
    <w:p w14:paraId="7E15566E" w14:textId="56DA0B9C" w:rsidR="00175C25" w:rsidRDefault="00175C25" w:rsidP="009C2049">
      <w:pPr>
        <w:jc w:val="center"/>
        <w:rPr>
          <w:b/>
          <w:sz w:val="32"/>
          <w:szCs w:val="32"/>
          <w:lang w:val="en-GB"/>
        </w:rPr>
      </w:pPr>
      <w:r>
        <w:rPr>
          <w:b/>
          <w:sz w:val="32"/>
          <w:szCs w:val="32"/>
          <w:lang w:val="en-GB"/>
        </w:rPr>
        <w:t>Social initiatives and stakeholder perceptions</w:t>
      </w:r>
    </w:p>
    <w:p w14:paraId="3EC8CB12" w14:textId="77777777" w:rsidR="00175C25" w:rsidRDefault="00175C25" w:rsidP="009C2049">
      <w:pPr>
        <w:jc w:val="center"/>
        <w:rPr>
          <w:b/>
          <w:sz w:val="32"/>
          <w:szCs w:val="32"/>
          <w:lang w:val="en-GB"/>
        </w:rPr>
      </w:pPr>
    </w:p>
    <w:p w14:paraId="5EBA0B1A" w14:textId="77777777" w:rsidR="00175C25" w:rsidRDefault="00175C25" w:rsidP="009C2049">
      <w:pPr>
        <w:jc w:val="center"/>
        <w:rPr>
          <w:b/>
          <w:sz w:val="32"/>
          <w:szCs w:val="32"/>
          <w:lang w:val="en-GB"/>
        </w:rPr>
      </w:pPr>
    </w:p>
    <w:p w14:paraId="372EB429" w14:textId="511B61D9" w:rsidR="00175C25" w:rsidRPr="00175C25" w:rsidRDefault="00175C25" w:rsidP="009C2049">
      <w:pPr>
        <w:jc w:val="center"/>
        <w:rPr>
          <w:b/>
          <w:lang w:val="en-GB"/>
        </w:rPr>
      </w:pPr>
      <w:r w:rsidRPr="00175C25">
        <w:rPr>
          <w:b/>
          <w:lang w:val="en-GB"/>
        </w:rPr>
        <w:t>Extended title:</w:t>
      </w:r>
    </w:p>
    <w:p w14:paraId="3DCC57CA" w14:textId="13A1BC7D" w:rsidR="00014056" w:rsidRPr="00175C25" w:rsidRDefault="00836ABB" w:rsidP="009C2049">
      <w:pPr>
        <w:jc w:val="center"/>
        <w:rPr>
          <w:b/>
          <w:lang w:val="en-GB"/>
        </w:rPr>
      </w:pPr>
      <w:r w:rsidRPr="00175C25">
        <w:rPr>
          <w:b/>
          <w:lang w:val="en-GB"/>
        </w:rPr>
        <w:t>Reversals of social initiatives, political pressure and stakeholder perceptions</w:t>
      </w:r>
    </w:p>
    <w:p w14:paraId="6951EB2F" w14:textId="77777777" w:rsidR="009C2049" w:rsidRDefault="009C2049">
      <w:pPr>
        <w:rPr>
          <w:lang w:val="en-GB"/>
        </w:rPr>
      </w:pPr>
    </w:p>
    <w:p w14:paraId="06B8536D" w14:textId="77777777" w:rsidR="009C2049" w:rsidRDefault="009C2049">
      <w:pPr>
        <w:rPr>
          <w:lang w:val="en-GB"/>
        </w:rPr>
      </w:pPr>
    </w:p>
    <w:p w14:paraId="68653EE8" w14:textId="77777777" w:rsidR="009C2049" w:rsidRDefault="009C2049">
      <w:pPr>
        <w:rPr>
          <w:lang w:val="en-GB"/>
        </w:rPr>
      </w:pPr>
    </w:p>
    <w:p w14:paraId="0F2B40F9" w14:textId="77777777" w:rsidR="009C2049" w:rsidRDefault="009C2049" w:rsidP="009C2049">
      <w:pPr>
        <w:jc w:val="center"/>
        <w:rPr>
          <w:lang w:val="en-GB"/>
        </w:rPr>
      </w:pPr>
    </w:p>
    <w:p w14:paraId="1072917C" w14:textId="3FFC3556" w:rsidR="00014056" w:rsidRPr="008007BD" w:rsidRDefault="00014056" w:rsidP="00014056">
      <w:pPr>
        <w:jc w:val="center"/>
        <w:rPr>
          <w:lang w:val="nb-NO"/>
        </w:rPr>
      </w:pPr>
      <w:r w:rsidRPr="008007BD">
        <w:rPr>
          <w:lang w:val="nb-NO"/>
        </w:rPr>
        <w:t>Joel Berge,</w:t>
      </w:r>
    </w:p>
    <w:p w14:paraId="4996F756" w14:textId="58CD4159" w:rsidR="00014056" w:rsidRPr="008007BD" w:rsidRDefault="00014056" w:rsidP="00014056">
      <w:pPr>
        <w:jc w:val="center"/>
        <w:rPr>
          <w:lang w:val="nb-NO"/>
        </w:rPr>
      </w:pPr>
      <w:r w:rsidRPr="008007BD">
        <w:rPr>
          <w:lang w:val="nb-NO"/>
        </w:rPr>
        <w:t>Lars Ivar Oppedal Berge,</w:t>
      </w:r>
    </w:p>
    <w:p w14:paraId="22CBE518" w14:textId="2F973B0A" w:rsidR="00014056" w:rsidRPr="00666D6F" w:rsidRDefault="00014056" w:rsidP="00014056">
      <w:pPr>
        <w:jc w:val="center"/>
      </w:pPr>
      <w:r w:rsidRPr="00666D6F">
        <w:t>and</w:t>
      </w:r>
    </w:p>
    <w:p w14:paraId="73E605AE" w14:textId="699D7638" w:rsidR="00014056" w:rsidRPr="00666D6F" w:rsidRDefault="00014056" w:rsidP="00014056">
      <w:pPr>
        <w:jc w:val="center"/>
      </w:pPr>
      <w:r w:rsidRPr="00666D6F">
        <w:t>Ivar Kolstad</w:t>
      </w:r>
    </w:p>
    <w:p w14:paraId="34F924A1" w14:textId="77777777" w:rsidR="009C2049" w:rsidRPr="00666D6F" w:rsidRDefault="009C2049"/>
    <w:p w14:paraId="54FF148C" w14:textId="77777777" w:rsidR="009C2049" w:rsidRPr="00666D6F" w:rsidRDefault="009C2049"/>
    <w:p w14:paraId="58C41374" w14:textId="5E67C948" w:rsidR="009C2049" w:rsidRPr="00666D6F" w:rsidRDefault="00EA59C9" w:rsidP="006A317A">
      <w:pPr>
        <w:jc w:val="center"/>
      </w:pPr>
      <w:r>
        <w:t>2</w:t>
      </w:r>
      <w:r w:rsidR="00175C25">
        <w:t>3</w:t>
      </w:r>
      <w:r w:rsidR="00836ABB">
        <w:t xml:space="preserve"> March 2026</w:t>
      </w:r>
    </w:p>
    <w:p w14:paraId="13542413" w14:textId="77777777" w:rsidR="009C2049" w:rsidRPr="00666D6F" w:rsidRDefault="009C2049"/>
    <w:p w14:paraId="1DF8A0FB" w14:textId="77777777" w:rsidR="009C2049" w:rsidRPr="00666D6F" w:rsidRDefault="009C2049"/>
    <w:p w14:paraId="7FA9A71D" w14:textId="77777777" w:rsidR="009C2049" w:rsidRPr="00666D6F" w:rsidRDefault="009C2049" w:rsidP="00835D8C">
      <w:pPr>
        <w:jc w:val="both"/>
      </w:pPr>
    </w:p>
    <w:p w14:paraId="2A7CFFD8" w14:textId="40A8E435" w:rsidR="009C2049" w:rsidRDefault="009C2049" w:rsidP="00835D8C">
      <w:pPr>
        <w:jc w:val="both"/>
        <w:rPr>
          <w:b/>
          <w:lang w:val="en-GB"/>
        </w:rPr>
      </w:pPr>
      <w:r w:rsidRPr="009C2049">
        <w:rPr>
          <w:b/>
          <w:lang w:val="en-GB"/>
        </w:rPr>
        <w:t>1. Introduction</w:t>
      </w:r>
    </w:p>
    <w:p w14:paraId="7974FFBF" w14:textId="77777777" w:rsidR="00DF075C" w:rsidRDefault="008007BD" w:rsidP="00835D8C">
      <w:pPr>
        <w:jc w:val="both"/>
        <w:rPr>
          <w:lang w:val="en-GB"/>
        </w:rPr>
      </w:pPr>
      <w:r w:rsidRPr="008007BD">
        <w:rPr>
          <w:lang w:val="en-GB"/>
        </w:rPr>
        <w:t xml:space="preserve">After a number of years in which corporations have increased their use of social initiatives and internal diversity policies, corporations are now facing pressure to discontinue such policies, in particular in the United States. This </w:t>
      </w:r>
      <w:r>
        <w:rPr>
          <w:lang w:val="en-GB"/>
        </w:rPr>
        <w:t>paper</w:t>
      </w:r>
      <w:r w:rsidRPr="008007BD">
        <w:rPr>
          <w:lang w:val="en-GB"/>
        </w:rPr>
        <w:t xml:space="preserve"> will study how reversals of CSR policies</w:t>
      </w:r>
      <w:r>
        <w:rPr>
          <w:lang w:val="en-GB"/>
        </w:rPr>
        <w:t xml:space="preserve"> (in particular, </w:t>
      </w:r>
      <w:r w:rsidRPr="008007BD">
        <w:rPr>
          <w:lang w:val="en-GB"/>
        </w:rPr>
        <w:t>diversity and inclusion practices in companies</w:t>
      </w:r>
      <w:r>
        <w:rPr>
          <w:lang w:val="en-GB"/>
        </w:rPr>
        <w:t>)</w:t>
      </w:r>
      <w:r w:rsidRPr="008007BD">
        <w:rPr>
          <w:lang w:val="en-GB"/>
        </w:rPr>
        <w:t xml:space="preserve"> affect stakeholder perceptions of a company. </w:t>
      </w:r>
    </w:p>
    <w:p w14:paraId="24D04E78" w14:textId="77777777" w:rsidR="00DF075C" w:rsidRDefault="00DF075C" w:rsidP="00835D8C">
      <w:pPr>
        <w:jc w:val="both"/>
        <w:rPr>
          <w:lang w:val="en-GB"/>
        </w:rPr>
      </w:pPr>
    </w:p>
    <w:p w14:paraId="69C4CD81" w14:textId="19973BF9" w:rsidR="00DF075C" w:rsidRDefault="008007BD" w:rsidP="00835D8C">
      <w:pPr>
        <w:jc w:val="both"/>
        <w:rPr>
          <w:lang w:val="en-GB"/>
        </w:rPr>
      </w:pPr>
      <w:r w:rsidRPr="008007BD">
        <w:rPr>
          <w:lang w:val="en-GB"/>
        </w:rPr>
        <w:t>The main research question</w:t>
      </w:r>
      <w:r w:rsidR="00175C25">
        <w:rPr>
          <w:lang w:val="en-GB"/>
        </w:rPr>
        <w:t>s</w:t>
      </w:r>
      <w:r w:rsidRPr="008007BD">
        <w:rPr>
          <w:lang w:val="en-GB"/>
        </w:rPr>
        <w:t xml:space="preserve"> </w:t>
      </w:r>
      <w:r w:rsidR="00175C25">
        <w:rPr>
          <w:lang w:val="en-GB"/>
        </w:rPr>
        <w:t>are</w:t>
      </w:r>
      <w:r w:rsidRPr="008007BD">
        <w:rPr>
          <w:lang w:val="en-GB"/>
        </w:rPr>
        <w:t xml:space="preserve">: </w:t>
      </w:r>
      <w:r w:rsidR="00175C25">
        <w:rPr>
          <w:lang w:val="en-GB"/>
        </w:rPr>
        <w:t xml:space="preserve">1) </w:t>
      </w:r>
      <w:r w:rsidRPr="008007BD">
        <w:rPr>
          <w:lang w:val="en-GB"/>
        </w:rPr>
        <w:t xml:space="preserve">Does a reversal negatively affect stakeholder perceptions, and if so, does the reversal lead to worse stakeholder perceptions of the company than if these policies had never been introduced? </w:t>
      </w:r>
      <w:r w:rsidR="00175C25">
        <w:rPr>
          <w:lang w:val="en-GB"/>
        </w:rPr>
        <w:t>2) Is</w:t>
      </w:r>
      <w:r w:rsidR="00376204">
        <w:rPr>
          <w:lang w:val="en-GB"/>
        </w:rPr>
        <w:t xml:space="preserve"> the effect of a reversal </w:t>
      </w:r>
      <w:r w:rsidR="00175C25">
        <w:rPr>
          <w:lang w:val="en-GB"/>
        </w:rPr>
        <w:t>more negative</w:t>
      </w:r>
      <w:r w:rsidR="00376204">
        <w:rPr>
          <w:lang w:val="en-GB"/>
        </w:rPr>
        <w:t xml:space="preserve"> when it is done for political rather than non-political reasons</w:t>
      </w:r>
      <w:r w:rsidR="00175C25">
        <w:rPr>
          <w:lang w:val="en-GB"/>
        </w:rPr>
        <w:t>?</w:t>
      </w:r>
    </w:p>
    <w:p w14:paraId="0C589334" w14:textId="77777777" w:rsidR="00DF075C" w:rsidRDefault="00DF075C" w:rsidP="00835D8C">
      <w:pPr>
        <w:jc w:val="both"/>
        <w:rPr>
          <w:lang w:val="en-GB"/>
        </w:rPr>
      </w:pPr>
    </w:p>
    <w:p w14:paraId="1D405799" w14:textId="4F884D42" w:rsidR="008007BD" w:rsidRDefault="008007BD" w:rsidP="00835D8C">
      <w:pPr>
        <w:jc w:val="both"/>
      </w:pPr>
      <w:r w:rsidRPr="008007BD">
        <w:rPr>
          <w:lang w:val="en-GB"/>
        </w:rPr>
        <w:t xml:space="preserve">In addition, we aim to study mechanisms </w:t>
      </w:r>
      <w:r w:rsidR="00376204">
        <w:rPr>
          <w:lang w:val="en-GB"/>
        </w:rPr>
        <w:t>behind</w:t>
      </w:r>
      <w:r w:rsidRPr="008007BD">
        <w:rPr>
          <w:lang w:val="en-GB"/>
        </w:rPr>
        <w:t xml:space="preserve"> these effects, and heterogen</w:t>
      </w:r>
      <w:r>
        <w:rPr>
          <w:lang w:val="en-GB"/>
        </w:rPr>
        <w:t>e</w:t>
      </w:r>
      <w:r w:rsidRPr="008007BD">
        <w:rPr>
          <w:lang w:val="en-GB"/>
        </w:rPr>
        <w:t>ity, including in the dimensions of respondent social and political attitudes.</w:t>
      </w:r>
      <w:r>
        <w:rPr>
          <w:lang w:val="en-GB"/>
        </w:rPr>
        <w:t xml:space="preserve"> </w:t>
      </w:r>
      <w:r>
        <w:t>To address these questions, we will conduct a randomized</w:t>
      </w:r>
      <w:r w:rsidRPr="008007BD">
        <w:t xml:space="preserve"> experiment </w:t>
      </w:r>
      <w:r>
        <w:t>using</w:t>
      </w:r>
      <w:r w:rsidRPr="008007BD">
        <w:t xml:space="preserve"> vignette</w:t>
      </w:r>
      <w:r>
        <w:t>s describing hypothetical companies</w:t>
      </w:r>
      <w:r w:rsidRPr="008007BD">
        <w:t>, recruiting respondents on an online survey platform.</w:t>
      </w:r>
    </w:p>
    <w:p w14:paraId="0BF854C9" w14:textId="77777777" w:rsidR="00752A17" w:rsidRDefault="00752A17" w:rsidP="00835D8C">
      <w:pPr>
        <w:jc w:val="both"/>
      </w:pPr>
    </w:p>
    <w:p w14:paraId="403950E2" w14:textId="4B566868" w:rsidR="00752A17" w:rsidRDefault="00752A17" w:rsidP="00835D8C">
      <w:pPr>
        <w:jc w:val="both"/>
        <w:rPr>
          <w:lang w:val="en-GB"/>
        </w:rPr>
      </w:pPr>
      <w:r>
        <w:t>Our study focuses on employee reactions to CSR discontinuation, complementing a limited literature tha</w:t>
      </w:r>
      <w:r w:rsidR="00192267">
        <w:t>t</w:t>
      </w:r>
      <w:r>
        <w:t xml:space="preserve"> has examined the impact of discontinuation on investment returns (</w:t>
      </w:r>
      <w:r w:rsidRPr="00752A17">
        <w:t>Briscoe-Tran</w:t>
      </w:r>
      <w:r>
        <w:t xml:space="preserve">, 2024; </w:t>
      </w:r>
      <w:r w:rsidRPr="00752A17">
        <w:t>Bhatterai et al</w:t>
      </w:r>
      <w:r>
        <w:t xml:space="preserve">, 2025; </w:t>
      </w:r>
      <w:r w:rsidRPr="00752A17">
        <w:t>Evans and Nochebuena-Evan</w:t>
      </w:r>
      <w:r>
        <w:t>s, 2025), investor reactions (</w:t>
      </w:r>
      <w:r w:rsidRPr="00752A17">
        <w:t>Garavaglia et al.</w:t>
      </w:r>
      <w:r>
        <w:t>, 2024) and consumer reactions (</w:t>
      </w:r>
      <w:r w:rsidRPr="00752A17">
        <w:t>Li et al.</w:t>
      </w:r>
      <w:r>
        <w:t>, 2017; Blank et al., 2024).</w:t>
      </w:r>
    </w:p>
    <w:p w14:paraId="70826556" w14:textId="77777777" w:rsidR="00DF075C" w:rsidRDefault="00DF075C" w:rsidP="00835D8C">
      <w:pPr>
        <w:jc w:val="both"/>
        <w:rPr>
          <w:lang w:val="en-GB"/>
        </w:rPr>
      </w:pPr>
    </w:p>
    <w:p w14:paraId="78CD5E04" w14:textId="77777777" w:rsidR="009C2049" w:rsidRPr="00BF5FE8" w:rsidRDefault="00BF5FE8" w:rsidP="00835D8C">
      <w:pPr>
        <w:jc w:val="both"/>
        <w:rPr>
          <w:b/>
          <w:lang w:val="en-GB"/>
        </w:rPr>
      </w:pPr>
      <w:r w:rsidRPr="00BF5FE8">
        <w:rPr>
          <w:b/>
          <w:lang w:val="en-GB"/>
        </w:rPr>
        <w:t>2. Research strategy</w:t>
      </w:r>
    </w:p>
    <w:p w14:paraId="3CD10E08" w14:textId="3B990497" w:rsidR="006D70B4" w:rsidRDefault="008007BD" w:rsidP="006D70B4">
      <w:pPr>
        <w:jc w:val="both"/>
      </w:pPr>
      <w:r w:rsidRPr="008007BD">
        <w:t>We plan on recruiting about</w:t>
      </w:r>
      <w:r w:rsidR="008868DA">
        <w:t xml:space="preserve"> </w:t>
      </w:r>
      <w:r w:rsidR="00E17DE8">
        <w:t>4</w:t>
      </w:r>
      <w:r w:rsidRPr="008007BD">
        <w:t xml:space="preserve">00 participants via Prolific in each </w:t>
      </w:r>
      <w:r>
        <w:t>treatment arm</w:t>
      </w:r>
      <w:r w:rsidRPr="008007BD">
        <w:t xml:space="preserve"> for this </w:t>
      </w:r>
      <w:r>
        <w:t>experiment</w:t>
      </w:r>
      <w:r w:rsidRPr="008007BD">
        <w:t xml:space="preserve">. In total, this amounts to </w:t>
      </w:r>
      <w:r w:rsidR="00E17DE8">
        <w:t>1600</w:t>
      </w:r>
      <w:r w:rsidR="00E17DE8" w:rsidRPr="008007BD">
        <w:t xml:space="preserve"> </w:t>
      </w:r>
      <w:r w:rsidRPr="008007BD">
        <w:t xml:space="preserve">participants after implementing </w:t>
      </w:r>
      <w:r w:rsidR="004B19A2">
        <w:t xml:space="preserve">the below </w:t>
      </w:r>
      <w:r w:rsidRPr="008007BD">
        <w:t>prespecified exclusion criteria.</w:t>
      </w:r>
      <w:r>
        <w:t xml:space="preserve"> </w:t>
      </w:r>
      <w:r w:rsidRPr="006D70B4">
        <w:rPr>
          <w:lang w:val="en-GB"/>
        </w:rPr>
        <w:t xml:space="preserve">The </w:t>
      </w:r>
      <w:r w:rsidRPr="006D70B4">
        <w:rPr>
          <w:lang w:val="en-GB"/>
        </w:rPr>
        <w:lastRenderedPageBreak/>
        <w:t xml:space="preserve">study will be </w:t>
      </w:r>
      <w:r w:rsidR="00DF075C">
        <w:rPr>
          <w:lang w:val="en-GB"/>
        </w:rPr>
        <w:t xml:space="preserve">programmed in Qualtrics and </w:t>
      </w:r>
      <w:r w:rsidRPr="006D70B4">
        <w:rPr>
          <w:lang w:val="en-GB"/>
        </w:rPr>
        <w:t>distributed via a Qualtrics link</w:t>
      </w:r>
      <w:r w:rsidR="00DF075C">
        <w:rPr>
          <w:lang w:val="en-GB"/>
        </w:rPr>
        <w:t>.</w:t>
      </w:r>
      <w:r w:rsidR="00EA59C9">
        <w:rPr>
          <w:lang w:val="en-GB"/>
        </w:rPr>
        <w:t xml:space="preserve"> </w:t>
      </w:r>
      <w:r w:rsidR="008868DA">
        <w:rPr>
          <w:lang w:val="en-GB"/>
        </w:rPr>
        <w:t>We will use a representative United States sample from Prolific based on the factors political affiliation, sex and age.</w:t>
      </w:r>
    </w:p>
    <w:p w14:paraId="7852B2E7" w14:textId="77777777" w:rsidR="008007BD" w:rsidRPr="008007BD" w:rsidRDefault="008007BD" w:rsidP="008007BD">
      <w:pPr>
        <w:jc w:val="both"/>
      </w:pPr>
    </w:p>
    <w:p w14:paraId="181FA12C" w14:textId="77777777" w:rsidR="00211C26" w:rsidRDefault="008007BD" w:rsidP="008007BD">
      <w:pPr>
        <w:jc w:val="both"/>
      </w:pPr>
      <w:r>
        <w:t>E</w:t>
      </w:r>
      <w:r w:rsidRPr="008007BD">
        <w:t>xclusion criteria include</w:t>
      </w:r>
      <w:r w:rsidR="00211C26">
        <w:t>:</w:t>
      </w:r>
    </w:p>
    <w:p w14:paraId="711ECB89" w14:textId="520B5D00" w:rsidR="00211C26" w:rsidRDefault="00211C26" w:rsidP="00211C26">
      <w:pPr>
        <w:pStyle w:val="ListParagraph"/>
        <w:numPr>
          <w:ilvl w:val="0"/>
          <w:numId w:val="20"/>
        </w:numPr>
        <w:jc w:val="both"/>
      </w:pPr>
      <w:r>
        <w:t xml:space="preserve">Failing basic attention checks: After the first vignette (see below), we have four </w:t>
      </w:r>
      <w:r w:rsidR="00192267">
        <w:t xml:space="preserve">true/false </w:t>
      </w:r>
      <w:r>
        <w:t>questions on the contents of the vignette. Respondents have two chances to answer all of them correctly. Failure to do so means the respondent will be excluded from the study.</w:t>
      </w:r>
    </w:p>
    <w:p w14:paraId="5570E5FA" w14:textId="55C2CAE4" w:rsidR="00211C26" w:rsidRDefault="00211C26" w:rsidP="00211C26">
      <w:pPr>
        <w:pStyle w:val="ListParagraph"/>
        <w:numPr>
          <w:ilvl w:val="0"/>
          <w:numId w:val="20"/>
        </w:numPr>
        <w:jc w:val="both"/>
      </w:pPr>
      <w:r>
        <w:t>S</w:t>
      </w:r>
      <w:r w:rsidR="008007BD" w:rsidRPr="008007BD">
        <w:t xml:space="preserve">ubmitting non-sensical answers to </w:t>
      </w:r>
      <w:r>
        <w:t xml:space="preserve">an </w:t>
      </w:r>
      <w:r w:rsidR="008007BD" w:rsidRPr="008007BD">
        <w:t xml:space="preserve">open-ended </w:t>
      </w:r>
      <w:r w:rsidRPr="008007BD">
        <w:t>question</w:t>
      </w:r>
      <w:r>
        <w:t>: After the second vignette (see below)</w:t>
      </w:r>
      <w:r w:rsidR="008007BD" w:rsidRPr="008007BD">
        <w:t>,</w:t>
      </w:r>
      <w:r>
        <w:t xml:space="preserve"> we have an open-ended question asking for the reason for their response to the main outcome question</w:t>
      </w:r>
      <w:r w:rsidR="00192267">
        <w:t xml:space="preserve"> (see Section 3.2)</w:t>
      </w:r>
      <w:r>
        <w:t xml:space="preserve">. Non-sensical answers to this question will be flagged, and reviewed </w:t>
      </w:r>
      <w:r w:rsidR="00175C25">
        <w:t>for exclusion</w:t>
      </w:r>
      <w:r w:rsidR="00175C25">
        <w:t xml:space="preserve"> </w:t>
      </w:r>
      <w:r>
        <w:t>by a colleague not involved in the study.</w:t>
      </w:r>
    </w:p>
    <w:p w14:paraId="5D4CCB7F" w14:textId="4FD082F3" w:rsidR="008007BD" w:rsidRDefault="00211C26" w:rsidP="00EA59C9">
      <w:pPr>
        <w:pStyle w:val="ListParagraph"/>
        <w:numPr>
          <w:ilvl w:val="0"/>
          <w:numId w:val="20"/>
        </w:numPr>
        <w:jc w:val="both"/>
      </w:pPr>
      <w:r>
        <w:t>S</w:t>
      </w:r>
      <w:r w:rsidR="008007BD" w:rsidRPr="008007BD">
        <w:t xml:space="preserve">pending very little time on completing the survey. </w:t>
      </w:r>
      <w:r w:rsidR="00B0449C">
        <w:t>The minimum time spent on the survey in the pilot was 4 minutes 20 seconds</w:t>
      </w:r>
      <w:r w:rsidR="00192267">
        <w:t>, the median time 8 minutes 45 seconds</w:t>
      </w:r>
      <w:r w:rsidR="00B0449C">
        <w:t xml:space="preserve">. We exclude any respondent using less </w:t>
      </w:r>
      <w:r w:rsidR="00192267">
        <w:t xml:space="preserve">than </w:t>
      </w:r>
      <w:r w:rsidR="008868DA">
        <w:t>3 minutes 30 seconds</w:t>
      </w:r>
      <w:r w:rsidR="00192267">
        <w:t xml:space="preserve"> on the survey.</w:t>
      </w:r>
    </w:p>
    <w:p w14:paraId="6F97F1C9" w14:textId="5443EFFF" w:rsidR="00E17DE8" w:rsidRDefault="00E17DE8" w:rsidP="008007BD">
      <w:pPr>
        <w:jc w:val="both"/>
      </w:pPr>
    </w:p>
    <w:p w14:paraId="66F5C7F5" w14:textId="67A89197" w:rsidR="00E17DE8" w:rsidRPr="008007BD" w:rsidRDefault="00E17DE8" w:rsidP="008007BD">
      <w:pPr>
        <w:jc w:val="both"/>
      </w:pPr>
      <w:r>
        <w:t xml:space="preserve">We also use an exclusion criterion based on reCAPTCHA scores. We employ Qualtrics’s version of reCAPTCHA v3, which assigns participants a score between 0 and 1, with lower scores indicating likely bot activity. Following </w:t>
      </w:r>
      <w:r w:rsidRPr="008A584C">
        <w:t>Köbis</w:t>
      </w:r>
      <w:r>
        <w:t xml:space="preserve"> et al. (2025), we exclude participants with </w:t>
      </w:r>
      <w:r w:rsidRPr="00D240C8">
        <w:t xml:space="preserve">reCAPTCHA </w:t>
      </w:r>
      <w:r>
        <w:t>scores below 0.7.</w:t>
      </w:r>
    </w:p>
    <w:p w14:paraId="430B078E" w14:textId="0FD3242E" w:rsidR="006D70B4" w:rsidRDefault="006D70B4" w:rsidP="006D70B4">
      <w:pPr>
        <w:jc w:val="both"/>
      </w:pPr>
    </w:p>
    <w:p w14:paraId="1EFA65C3" w14:textId="5A242855" w:rsidR="00BF5FE8" w:rsidRDefault="00BF5FE8" w:rsidP="00835D8C">
      <w:pPr>
        <w:jc w:val="both"/>
        <w:rPr>
          <w:b/>
          <w:lang w:val="en-GB"/>
        </w:rPr>
      </w:pPr>
      <w:r w:rsidRPr="00BF5FE8">
        <w:rPr>
          <w:b/>
          <w:lang w:val="en-GB"/>
        </w:rPr>
        <w:t>3. Research design</w:t>
      </w:r>
    </w:p>
    <w:p w14:paraId="64811E5B" w14:textId="3466CFCA" w:rsidR="00A62494" w:rsidRPr="00DF075C" w:rsidRDefault="00DF075C" w:rsidP="00DF075C">
      <w:pPr>
        <w:jc w:val="both"/>
      </w:pPr>
      <w:r w:rsidRPr="00DF075C">
        <w:t xml:space="preserve">The vignette study presents participants with a fictional company and provides general background information about the firm. We employ a 1×4 experimental design to randomize information regarding a corporate </w:t>
      </w:r>
      <w:r w:rsidR="00C659C2">
        <w:t>programme</w:t>
      </w:r>
      <w:r w:rsidRPr="00DF075C">
        <w:t xml:space="preserve"> aimed at ensuring diversity and inclusion in </w:t>
      </w:r>
      <w:r>
        <w:t>the companies</w:t>
      </w:r>
      <w:r w:rsidRPr="00DF075C">
        <w:t xml:space="preserve"> hiring, promotions, and work culture. Specifically, we manipulate the status of this </w:t>
      </w:r>
      <w:r w:rsidR="00C659C2">
        <w:t>programme</w:t>
      </w:r>
      <w:r w:rsidRPr="00DF075C">
        <w:t xml:space="preserve"> across four distinct conditions: one where </w:t>
      </w:r>
      <w:r>
        <w:t>the company</w:t>
      </w:r>
      <w:r w:rsidRPr="00DF075C">
        <w:t xml:space="preserve"> has never implemented such a </w:t>
      </w:r>
      <w:r w:rsidR="00C659C2">
        <w:t>programme</w:t>
      </w:r>
      <w:r w:rsidRPr="00DF075C">
        <w:t xml:space="preserve">, another where they started and continued it despite political controversy, a third where they started but discontinued it </w:t>
      </w:r>
      <w:r w:rsidR="00192267">
        <w:t xml:space="preserve">for economic/non-political reasons, </w:t>
      </w:r>
      <w:r w:rsidRPr="00DF075C">
        <w:t xml:space="preserve">and a final condition where the </w:t>
      </w:r>
      <w:r w:rsidR="00C659C2">
        <w:t>programme</w:t>
      </w:r>
      <w:r w:rsidRPr="00DF075C">
        <w:t xml:space="preserve"> was discontinued </w:t>
      </w:r>
      <w:r w:rsidR="00192267">
        <w:t>due to</w:t>
      </w:r>
      <w:r w:rsidR="00192267" w:rsidRPr="00DF075C">
        <w:t xml:space="preserve"> political </w:t>
      </w:r>
      <w:r w:rsidR="00192267">
        <w:t>pressure</w:t>
      </w:r>
      <w:r w:rsidR="00192267" w:rsidRPr="00DF075C" w:rsidDel="00192267">
        <w:t xml:space="preserve"> </w:t>
      </w:r>
      <w:r w:rsidRPr="00DF075C">
        <w:t>.</w:t>
      </w:r>
    </w:p>
    <w:p w14:paraId="2E302F86" w14:textId="77777777" w:rsidR="00DF075C" w:rsidRDefault="00DF075C" w:rsidP="006E341E">
      <w:pPr>
        <w:jc w:val="both"/>
        <w:rPr>
          <w:lang w:val="en-GB"/>
        </w:rPr>
      </w:pPr>
    </w:p>
    <w:p w14:paraId="0847371C" w14:textId="3A9CD8A6" w:rsidR="006E341E" w:rsidRDefault="00D05120" w:rsidP="006E341E">
      <w:pPr>
        <w:jc w:val="both"/>
        <w:rPr>
          <w:lang w:val="en-GB"/>
        </w:rPr>
      </w:pPr>
      <w:r>
        <w:rPr>
          <w:lang w:val="en-GB"/>
        </w:rPr>
        <w:t>The survey instrument has the following sections:</w:t>
      </w:r>
    </w:p>
    <w:p w14:paraId="5AD17294" w14:textId="302574E7" w:rsidR="00D05120" w:rsidRDefault="00D05120" w:rsidP="006E341E">
      <w:pPr>
        <w:jc w:val="both"/>
        <w:rPr>
          <w:lang w:val="en-GB"/>
        </w:rPr>
      </w:pPr>
    </w:p>
    <w:p w14:paraId="2802934B" w14:textId="7E9C5683" w:rsidR="00D05120" w:rsidRDefault="00D05120" w:rsidP="00D05120">
      <w:pPr>
        <w:pStyle w:val="ListParagraph"/>
        <w:numPr>
          <w:ilvl w:val="0"/>
          <w:numId w:val="13"/>
        </w:numPr>
        <w:jc w:val="both"/>
        <w:rPr>
          <w:lang w:val="en-GB"/>
        </w:rPr>
      </w:pPr>
      <w:r>
        <w:rPr>
          <w:lang w:val="en-GB"/>
        </w:rPr>
        <w:t>Information and consent</w:t>
      </w:r>
    </w:p>
    <w:p w14:paraId="4EAFE496" w14:textId="37D853F1" w:rsidR="00D05120" w:rsidRDefault="00DF075C" w:rsidP="00D05120">
      <w:pPr>
        <w:pStyle w:val="ListParagraph"/>
        <w:numPr>
          <w:ilvl w:val="0"/>
          <w:numId w:val="13"/>
        </w:numPr>
        <w:jc w:val="both"/>
        <w:rPr>
          <w:lang w:val="en-GB"/>
        </w:rPr>
      </w:pPr>
      <w:r>
        <w:rPr>
          <w:lang w:val="en-GB"/>
        </w:rPr>
        <w:t>Treatment part 1: First vignette</w:t>
      </w:r>
    </w:p>
    <w:p w14:paraId="017C700D" w14:textId="27CBFB80" w:rsidR="00B54528" w:rsidRDefault="00DF075C" w:rsidP="00D05120">
      <w:pPr>
        <w:pStyle w:val="ListParagraph"/>
        <w:numPr>
          <w:ilvl w:val="0"/>
          <w:numId w:val="13"/>
        </w:numPr>
        <w:jc w:val="both"/>
        <w:rPr>
          <w:lang w:val="en-GB"/>
        </w:rPr>
      </w:pPr>
      <w:r>
        <w:rPr>
          <w:lang w:val="en-GB"/>
        </w:rPr>
        <w:t>Outcome questions</w:t>
      </w:r>
    </w:p>
    <w:p w14:paraId="52BD1DC7" w14:textId="73573780" w:rsidR="00DF075C" w:rsidRDefault="00DF075C" w:rsidP="00D05120">
      <w:pPr>
        <w:pStyle w:val="ListParagraph"/>
        <w:numPr>
          <w:ilvl w:val="0"/>
          <w:numId w:val="13"/>
        </w:numPr>
        <w:jc w:val="both"/>
        <w:rPr>
          <w:lang w:val="en-GB"/>
        </w:rPr>
      </w:pPr>
      <w:r>
        <w:rPr>
          <w:lang w:val="en-GB"/>
        </w:rPr>
        <w:t>Treatment part 2: Second vignette</w:t>
      </w:r>
    </w:p>
    <w:p w14:paraId="492A4BAA" w14:textId="12D76FA1" w:rsidR="00DF075C" w:rsidRPr="00DF075C" w:rsidRDefault="00DF075C" w:rsidP="00DF075C">
      <w:pPr>
        <w:pStyle w:val="ListParagraph"/>
        <w:numPr>
          <w:ilvl w:val="0"/>
          <w:numId w:val="13"/>
        </w:numPr>
        <w:jc w:val="both"/>
        <w:rPr>
          <w:lang w:val="en-GB"/>
        </w:rPr>
      </w:pPr>
      <w:r>
        <w:rPr>
          <w:lang w:val="en-GB"/>
        </w:rPr>
        <w:t>Outcome questions</w:t>
      </w:r>
    </w:p>
    <w:p w14:paraId="6DC869B1" w14:textId="051D2B69" w:rsidR="00B54528" w:rsidRDefault="00B54528" w:rsidP="00D05120">
      <w:pPr>
        <w:pStyle w:val="ListParagraph"/>
        <w:numPr>
          <w:ilvl w:val="0"/>
          <w:numId w:val="13"/>
        </w:numPr>
        <w:jc w:val="both"/>
        <w:rPr>
          <w:lang w:val="en-GB"/>
        </w:rPr>
      </w:pPr>
      <w:r>
        <w:rPr>
          <w:lang w:val="en-GB"/>
        </w:rPr>
        <w:t>Post-experiment survey</w:t>
      </w:r>
    </w:p>
    <w:p w14:paraId="4B170FBE" w14:textId="3FC6E817" w:rsidR="00B54528" w:rsidRDefault="00B54528" w:rsidP="00B54528">
      <w:pPr>
        <w:jc w:val="both"/>
        <w:rPr>
          <w:lang w:val="en-GB"/>
        </w:rPr>
      </w:pPr>
    </w:p>
    <w:p w14:paraId="4CC2934B" w14:textId="3475593E" w:rsidR="00B54528" w:rsidRPr="00B54528" w:rsidRDefault="001206EE" w:rsidP="00B54528">
      <w:pPr>
        <w:jc w:val="both"/>
        <w:rPr>
          <w:lang w:val="en-GB"/>
        </w:rPr>
      </w:pPr>
      <w:r>
        <w:rPr>
          <w:lang w:val="en-GB"/>
        </w:rPr>
        <w:t xml:space="preserve">The survey </w:t>
      </w:r>
      <w:r w:rsidR="00175C25">
        <w:rPr>
          <w:lang w:val="en-GB"/>
        </w:rPr>
        <w:t xml:space="preserve">instrument </w:t>
      </w:r>
      <w:r>
        <w:rPr>
          <w:lang w:val="en-GB"/>
        </w:rPr>
        <w:t xml:space="preserve">was piloted on 11 March 2026. </w:t>
      </w:r>
      <w:r w:rsidR="00B54528">
        <w:rPr>
          <w:lang w:val="en-GB"/>
        </w:rPr>
        <w:t xml:space="preserve">Below, we explain the contents </w:t>
      </w:r>
      <w:r w:rsidR="00DF075C">
        <w:rPr>
          <w:lang w:val="en-GB"/>
        </w:rPr>
        <w:t xml:space="preserve">of the survey sections </w:t>
      </w:r>
      <w:r w:rsidR="00B54528">
        <w:rPr>
          <w:lang w:val="en-GB"/>
        </w:rPr>
        <w:t>in more detail.</w:t>
      </w:r>
    </w:p>
    <w:p w14:paraId="28E78E9C" w14:textId="77777777" w:rsidR="00C56ABA" w:rsidRPr="00883A93" w:rsidRDefault="00C56ABA" w:rsidP="006E341E">
      <w:pPr>
        <w:jc w:val="both"/>
        <w:rPr>
          <w:lang w:val="en-GB"/>
        </w:rPr>
      </w:pPr>
    </w:p>
    <w:p w14:paraId="2F19F242" w14:textId="77777777" w:rsidR="006E341E" w:rsidRPr="00883A93" w:rsidRDefault="007A124E" w:rsidP="006E341E">
      <w:pPr>
        <w:jc w:val="both"/>
        <w:rPr>
          <w:i/>
          <w:lang w:val="en-GB"/>
        </w:rPr>
      </w:pPr>
      <w:r w:rsidRPr="00883A93">
        <w:rPr>
          <w:i/>
          <w:lang w:val="en-GB"/>
        </w:rPr>
        <w:t>3.1 Treatments</w:t>
      </w:r>
    </w:p>
    <w:p w14:paraId="007DB185" w14:textId="68272EC9" w:rsidR="005728F8" w:rsidRDefault="00AA5A84" w:rsidP="004B19A2">
      <w:pPr>
        <w:jc w:val="both"/>
      </w:pPr>
      <w:r>
        <w:rPr>
          <w:lang w:val="en-GB"/>
        </w:rPr>
        <w:t xml:space="preserve">Participants </w:t>
      </w:r>
      <w:r w:rsidR="004B19A2">
        <w:rPr>
          <w:lang w:val="en-GB"/>
        </w:rPr>
        <w:t>are randomized into four conditions. In all conditions, they are presented with a hypothetical company in the retail sector. The treatments are then administered through two successive vignettes where the first varies the introduction of a</w:t>
      </w:r>
      <w:r w:rsidR="004B19A2" w:rsidRPr="004B19A2">
        <w:t xml:space="preserve"> diversity and inclusion</w:t>
      </w:r>
      <w:r w:rsidR="004B19A2">
        <w:t xml:space="preserve"> </w:t>
      </w:r>
      <w:r w:rsidR="003E6C83">
        <w:t xml:space="preserve">(DEI) </w:t>
      </w:r>
      <w:r w:rsidR="004B19A2">
        <w:t>programme in the company</w:t>
      </w:r>
      <w:r w:rsidR="004C7397">
        <w:t xml:space="preserve"> across conditions</w:t>
      </w:r>
      <w:r w:rsidR="004B19A2">
        <w:t>, and the second its discontinuation. Specifically</w:t>
      </w:r>
      <w:r w:rsidR="009407BC">
        <w:t>, the conditions are as follows:</w:t>
      </w:r>
    </w:p>
    <w:p w14:paraId="08AF9722" w14:textId="77777777" w:rsidR="009407BC" w:rsidRDefault="009407BC" w:rsidP="004B19A2">
      <w:pPr>
        <w:jc w:val="both"/>
      </w:pPr>
    </w:p>
    <w:p w14:paraId="31B38979" w14:textId="1B982B62" w:rsidR="009407BC" w:rsidRDefault="003E6C83" w:rsidP="009407BC">
      <w:pPr>
        <w:pStyle w:val="ListParagraph"/>
        <w:numPr>
          <w:ilvl w:val="0"/>
          <w:numId w:val="18"/>
        </w:numPr>
        <w:jc w:val="both"/>
      </w:pPr>
      <w:r>
        <w:lastRenderedPageBreak/>
        <w:t>Never DEI condition</w:t>
      </w:r>
      <w:r w:rsidR="009407BC">
        <w:t xml:space="preserve"> (T0</w:t>
      </w:r>
      <w:r>
        <w:t xml:space="preserve"> – control</w:t>
      </w:r>
      <w:r w:rsidR="009407BC">
        <w:t xml:space="preserve">): The first vignette states that the company considered introducing </w:t>
      </w:r>
      <w:r>
        <w:t>a DEI</w:t>
      </w:r>
      <w:r w:rsidR="009407BC">
        <w:t xml:space="preserve"> programme, but decided not to. The second vignette states that the company reviewed its employee policies and decided to continue without </w:t>
      </w:r>
      <w:r w:rsidR="009407BC">
        <w:rPr>
          <w:lang w:val="en-GB"/>
        </w:rPr>
        <w:t>a</w:t>
      </w:r>
      <w:r w:rsidR="009407BC" w:rsidRPr="004B19A2">
        <w:t xml:space="preserve"> </w:t>
      </w:r>
      <w:r>
        <w:t>DEI</w:t>
      </w:r>
      <w:r w:rsidR="009407BC">
        <w:t xml:space="preserve"> programme.</w:t>
      </w:r>
    </w:p>
    <w:p w14:paraId="5ABBBAA6" w14:textId="420AE6DF" w:rsidR="003E6C83" w:rsidRDefault="003E6C83" w:rsidP="009407BC">
      <w:pPr>
        <w:pStyle w:val="ListParagraph"/>
        <w:numPr>
          <w:ilvl w:val="0"/>
          <w:numId w:val="18"/>
        </w:numPr>
        <w:jc w:val="both"/>
      </w:pPr>
      <w:r>
        <w:t xml:space="preserve">Start and maintain DEI condition (T1): The first vignette states that the company considered introducing a DEI programme, and decided to do so. The second vignette states that the company </w:t>
      </w:r>
      <w:r w:rsidR="00192267">
        <w:t xml:space="preserve">reviewed its employee policies and </w:t>
      </w:r>
      <w:r>
        <w:t>decided to continue its DEI programme.</w:t>
      </w:r>
    </w:p>
    <w:p w14:paraId="50B52269" w14:textId="570C826A" w:rsidR="009C5C0C" w:rsidRDefault="009C5C0C" w:rsidP="003E6C83">
      <w:pPr>
        <w:pStyle w:val="ListParagraph"/>
        <w:numPr>
          <w:ilvl w:val="0"/>
          <w:numId w:val="18"/>
        </w:numPr>
        <w:jc w:val="both"/>
      </w:pPr>
      <w:r>
        <w:t xml:space="preserve">Non-political DEI reversal condition (T2): The first vignette is identical to condition T1. The second vignette states that the company </w:t>
      </w:r>
      <w:r w:rsidR="00192267">
        <w:t xml:space="preserve">reviewed its employee policies and </w:t>
      </w:r>
      <w:r>
        <w:t xml:space="preserve">decided to discontinue its DEI programme for </w:t>
      </w:r>
      <w:r w:rsidR="00192267">
        <w:t>economic</w:t>
      </w:r>
      <w:r>
        <w:t xml:space="preserve"> (</w:t>
      </w:r>
      <w:r w:rsidR="00192267">
        <w:t>non-political</w:t>
      </w:r>
      <w:r>
        <w:t>) reasons.</w:t>
      </w:r>
    </w:p>
    <w:p w14:paraId="5298C084" w14:textId="0FDF3F65" w:rsidR="003E6C83" w:rsidRDefault="003E6C83" w:rsidP="003E6C83">
      <w:pPr>
        <w:pStyle w:val="ListParagraph"/>
        <w:numPr>
          <w:ilvl w:val="0"/>
          <w:numId w:val="18"/>
        </w:numPr>
        <w:jc w:val="both"/>
      </w:pPr>
      <w:r>
        <w:t>Political DEI reversal condition (T</w:t>
      </w:r>
      <w:r w:rsidR="009C5C0C">
        <w:t>3</w:t>
      </w:r>
      <w:r>
        <w:t>)</w:t>
      </w:r>
      <w:r w:rsidR="00A20C9A">
        <w:t>:</w:t>
      </w:r>
      <w:r>
        <w:t xml:space="preserve"> The first vignette is identical to condition T1. The second vignette states that the company </w:t>
      </w:r>
      <w:r w:rsidR="00192267">
        <w:t xml:space="preserve">reviewed its employee policies and </w:t>
      </w:r>
      <w:r>
        <w:t>decided to discontinue its DEI programme due to political pressure.</w:t>
      </w:r>
    </w:p>
    <w:p w14:paraId="6EA0A37D" w14:textId="79629CB1" w:rsidR="00D60EB8" w:rsidRPr="00EA59C9" w:rsidRDefault="00D60EB8" w:rsidP="00211C26">
      <w:pPr>
        <w:ind w:left="360"/>
        <w:jc w:val="both"/>
      </w:pPr>
    </w:p>
    <w:p w14:paraId="572237F9" w14:textId="1CEE8C49" w:rsidR="00293D74" w:rsidRPr="00293D74" w:rsidRDefault="00293D74" w:rsidP="00293D74">
      <w:pPr>
        <w:rPr>
          <w:i/>
          <w:highlight w:val="yellow"/>
          <w:lang w:val="en-GB"/>
        </w:rPr>
      </w:pPr>
      <w:r>
        <w:rPr>
          <w:i/>
          <w:lang w:val="en-GB"/>
        </w:rPr>
        <w:t>3.</w:t>
      </w:r>
      <w:r w:rsidR="004C7397">
        <w:rPr>
          <w:i/>
          <w:lang w:val="en-GB"/>
        </w:rPr>
        <w:t>2</w:t>
      </w:r>
      <w:r w:rsidRPr="00986285">
        <w:rPr>
          <w:i/>
          <w:lang w:val="en-GB"/>
        </w:rPr>
        <w:t xml:space="preserve"> Outcome variable</w:t>
      </w:r>
    </w:p>
    <w:p w14:paraId="5C1CCA5B" w14:textId="76D2BFCB" w:rsidR="007055C4" w:rsidRDefault="00493BAF" w:rsidP="00B759B2">
      <w:pPr>
        <w:jc w:val="both"/>
        <w:rPr>
          <w:lang w:val="en-GB"/>
        </w:rPr>
      </w:pPr>
      <w:r>
        <w:rPr>
          <w:lang w:val="en-GB"/>
        </w:rPr>
        <w:t>After each of the two vignettes, respondents are asked the following question:</w:t>
      </w:r>
    </w:p>
    <w:p w14:paraId="4F4B7256" w14:textId="77777777" w:rsidR="00493BAF" w:rsidRDefault="00493BAF" w:rsidP="00B759B2">
      <w:pPr>
        <w:jc w:val="both"/>
        <w:rPr>
          <w:lang w:val="en-GB"/>
        </w:rPr>
      </w:pPr>
    </w:p>
    <w:p w14:paraId="4AA72DBD" w14:textId="6F424FB4" w:rsidR="00493BAF" w:rsidRPr="002678BB" w:rsidRDefault="00493BAF" w:rsidP="00493BAF">
      <w:pPr>
        <w:pStyle w:val="ListParagraph"/>
        <w:numPr>
          <w:ilvl w:val="0"/>
          <w:numId w:val="19"/>
        </w:numPr>
        <w:jc w:val="both"/>
        <w:rPr>
          <w:lang w:val="en-GB"/>
        </w:rPr>
      </w:pPr>
      <w:r w:rsidRPr="00493BAF">
        <w:t xml:space="preserve">In this situation, how willing would you be to work for </w:t>
      </w:r>
      <w:r>
        <w:t>[company</w:t>
      </w:r>
      <w:r w:rsidR="00790A3E">
        <w:t xml:space="preserve"> name</w:t>
      </w:r>
      <w:r>
        <w:t>]</w:t>
      </w:r>
      <w:r w:rsidRPr="00493BAF">
        <w:t>?</w:t>
      </w:r>
    </w:p>
    <w:p w14:paraId="63998802" w14:textId="77777777" w:rsidR="002678BB" w:rsidRDefault="002678BB" w:rsidP="002678BB">
      <w:pPr>
        <w:jc w:val="both"/>
        <w:rPr>
          <w:lang w:val="en-GB"/>
        </w:rPr>
      </w:pPr>
    </w:p>
    <w:p w14:paraId="168CDF9D" w14:textId="2417CF84" w:rsidR="004C7397" w:rsidRDefault="00790A3E" w:rsidP="00B759B2">
      <w:pPr>
        <w:jc w:val="both"/>
        <w:rPr>
          <w:lang w:val="en-GB"/>
        </w:rPr>
      </w:pPr>
      <w:r>
        <w:rPr>
          <w:lang w:val="en-GB"/>
        </w:rPr>
        <w:t>Responses are recorded on a 7-point Likert scale: Extremely unwilling (0), Moderately unwilling (1), Slightly unwilling (2), Neither unwilling nor willing (3), Slightly willing (4), Moderately willing (5) and Extremely willing (6).</w:t>
      </w:r>
    </w:p>
    <w:p w14:paraId="2767F8D4" w14:textId="77777777" w:rsidR="00790A3E" w:rsidRDefault="00790A3E" w:rsidP="00B759B2">
      <w:pPr>
        <w:jc w:val="both"/>
        <w:rPr>
          <w:lang w:val="en-GB"/>
        </w:rPr>
      </w:pPr>
    </w:p>
    <w:p w14:paraId="514C46DD" w14:textId="048FFADB" w:rsidR="00790A3E" w:rsidRDefault="00790A3E" w:rsidP="00B759B2">
      <w:pPr>
        <w:jc w:val="both"/>
        <w:rPr>
          <w:rFonts w:eastAsiaTheme="minorEastAsia"/>
          <w:lang w:val="en-GB"/>
        </w:rPr>
      </w:pPr>
      <w:r>
        <w:rPr>
          <w:lang w:val="en-GB"/>
        </w:rPr>
        <w:t xml:space="preserve">We use response </w:t>
      </w:r>
      <m:oMath>
        <m:sSubSup>
          <m:sSubSupPr>
            <m:ctrlPr>
              <w:rPr>
                <w:rFonts w:ascii="Cambria Math" w:hAnsi="Cambria Math"/>
                <w:i/>
                <w:lang w:val="en-GB"/>
              </w:rPr>
            </m:ctrlPr>
          </m:sSubSupPr>
          <m:e>
            <m:r>
              <w:rPr>
                <w:rFonts w:ascii="Cambria Math" w:hAnsi="Cambria Math"/>
                <w:lang w:val="en-GB"/>
              </w:rPr>
              <m:t>y</m:t>
            </m:r>
          </m:e>
          <m:sub>
            <m:r>
              <w:rPr>
                <w:rFonts w:ascii="Cambria Math" w:hAnsi="Cambria Math"/>
                <w:lang w:val="en-GB"/>
              </w:rPr>
              <m:t>i</m:t>
            </m:r>
          </m:sub>
          <m:sup>
            <m:r>
              <w:rPr>
                <w:rFonts w:ascii="Cambria Math" w:hAnsi="Cambria Math"/>
                <w:lang w:val="en-GB"/>
              </w:rPr>
              <m:t>1</m:t>
            </m:r>
          </m:sup>
        </m:sSubSup>
      </m:oMath>
      <w:r>
        <w:rPr>
          <w:rFonts w:eastAsiaTheme="minorEastAsia"/>
          <w:lang w:val="en-GB"/>
        </w:rPr>
        <w:t xml:space="preserve"> </w:t>
      </w:r>
      <w:r w:rsidR="00CD7EDD">
        <w:rPr>
          <w:rFonts w:eastAsiaTheme="minorEastAsia"/>
          <w:lang w:val="en-GB"/>
        </w:rPr>
        <w:t xml:space="preserve"> for respondent </w:t>
      </w:r>
      <w:r w:rsidR="00CD7EDD" w:rsidRPr="00CD7EDD">
        <w:rPr>
          <w:rFonts w:eastAsiaTheme="minorEastAsia"/>
          <w:i/>
          <w:iCs/>
          <w:lang w:val="en-GB"/>
        </w:rPr>
        <w:t>i</w:t>
      </w:r>
      <w:r w:rsidR="00CD7EDD">
        <w:rPr>
          <w:rFonts w:eastAsiaTheme="minorEastAsia"/>
          <w:lang w:val="en-GB"/>
        </w:rPr>
        <w:t xml:space="preserve"> </w:t>
      </w:r>
      <w:r>
        <w:rPr>
          <w:rFonts w:eastAsiaTheme="minorEastAsia"/>
          <w:lang w:val="en-GB"/>
        </w:rPr>
        <w:t xml:space="preserve">to this question after the first vignette </w:t>
      </w:r>
      <w:r w:rsidR="005279F8">
        <w:rPr>
          <w:rFonts w:eastAsiaTheme="minorEastAsia"/>
          <w:lang w:val="en-GB"/>
        </w:rPr>
        <w:t xml:space="preserve">as our </w:t>
      </w:r>
      <w:r w:rsidR="005279F8" w:rsidRPr="00211C26">
        <w:rPr>
          <w:rFonts w:eastAsiaTheme="minorEastAsia"/>
          <w:i/>
          <w:iCs/>
          <w:lang w:val="en-GB"/>
        </w:rPr>
        <w:t>first outcome variable</w:t>
      </w:r>
      <w:r w:rsidR="005279F8">
        <w:rPr>
          <w:rFonts w:eastAsiaTheme="minorEastAsia"/>
          <w:lang w:val="en-GB"/>
        </w:rPr>
        <w:t xml:space="preserve"> for testing the effect of </w:t>
      </w:r>
      <w:r w:rsidR="005279F8" w:rsidRPr="00211C26">
        <w:rPr>
          <w:rFonts w:eastAsiaTheme="minorEastAsia"/>
          <w:i/>
          <w:iCs/>
          <w:lang w:val="en-GB"/>
        </w:rPr>
        <w:t>introducing</w:t>
      </w:r>
      <w:r w:rsidR="005279F8">
        <w:rPr>
          <w:rFonts w:eastAsiaTheme="minorEastAsia"/>
          <w:lang w:val="en-GB"/>
        </w:rPr>
        <w:t xml:space="preserve"> a DEI programme. We also use this variable </w:t>
      </w:r>
      <w:r>
        <w:rPr>
          <w:rFonts w:eastAsiaTheme="minorEastAsia"/>
          <w:lang w:val="en-GB"/>
        </w:rPr>
        <w:t>to test for balance across treatment groups T1, T2 and T3. As the first part of their treatment is the same, their average responses should be the same.</w:t>
      </w:r>
    </w:p>
    <w:p w14:paraId="4B4E7B03" w14:textId="77777777" w:rsidR="00790A3E" w:rsidRDefault="00790A3E" w:rsidP="00B759B2">
      <w:pPr>
        <w:jc w:val="both"/>
        <w:rPr>
          <w:rFonts w:eastAsiaTheme="minorEastAsia"/>
          <w:lang w:val="en-GB"/>
        </w:rPr>
      </w:pPr>
    </w:p>
    <w:p w14:paraId="3D141E25" w14:textId="0D63215F" w:rsidR="00790A3E" w:rsidRDefault="00790A3E" w:rsidP="00B759B2">
      <w:pPr>
        <w:jc w:val="both"/>
        <w:rPr>
          <w:rFonts w:eastAsiaTheme="minorEastAsia"/>
          <w:lang w:val="en-GB"/>
        </w:rPr>
      </w:pPr>
      <w:r>
        <w:rPr>
          <w:rFonts w:eastAsiaTheme="minorEastAsia"/>
          <w:lang w:val="en-GB"/>
        </w:rPr>
        <w:t xml:space="preserve">We use response </w:t>
      </w:r>
      <m:oMath>
        <m:sSubSup>
          <m:sSubSupPr>
            <m:ctrlPr>
              <w:rPr>
                <w:rFonts w:ascii="Cambria Math" w:hAnsi="Cambria Math"/>
                <w:i/>
                <w:lang w:val="en-GB"/>
              </w:rPr>
            </m:ctrlPr>
          </m:sSubSupPr>
          <m:e>
            <m:r>
              <w:rPr>
                <w:rFonts w:ascii="Cambria Math" w:hAnsi="Cambria Math"/>
                <w:lang w:val="en-GB"/>
              </w:rPr>
              <m:t>y</m:t>
            </m:r>
          </m:e>
          <m:sub>
            <m:r>
              <w:rPr>
                <w:rFonts w:ascii="Cambria Math" w:hAnsi="Cambria Math"/>
                <w:lang w:val="en-GB"/>
              </w:rPr>
              <m:t>i</m:t>
            </m:r>
          </m:sub>
          <m:sup>
            <m:r>
              <w:rPr>
                <w:rFonts w:ascii="Cambria Math" w:hAnsi="Cambria Math"/>
                <w:lang w:val="en-GB"/>
              </w:rPr>
              <m:t>2</m:t>
            </m:r>
          </m:sup>
        </m:sSubSup>
      </m:oMath>
      <w:r>
        <w:rPr>
          <w:rFonts w:eastAsiaTheme="minorEastAsia"/>
          <w:lang w:val="en-GB"/>
        </w:rPr>
        <w:t xml:space="preserve"> to this question after the second vignette as our</w:t>
      </w:r>
      <w:r w:rsidR="005279F8">
        <w:rPr>
          <w:rFonts w:eastAsiaTheme="minorEastAsia"/>
          <w:lang w:val="en-GB"/>
        </w:rPr>
        <w:t xml:space="preserve"> </w:t>
      </w:r>
      <w:r w:rsidR="005279F8" w:rsidRPr="00211C26">
        <w:rPr>
          <w:rFonts w:eastAsiaTheme="minorEastAsia"/>
          <w:i/>
          <w:iCs/>
          <w:lang w:val="en-GB"/>
        </w:rPr>
        <w:t>second</w:t>
      </w:r>
      <w:r w:rsidRPr="00211C26">
        <w:rPr>
          <w:rFonts w:eastAsiaTheme="minorEastAsia"/>
          <w:i/>
          <w:iCs/>
          <w:lang w:val="en-GB"/>
        </w:rPr>
        <w:t xml:space="preserve"> outcome variable</w:t>
      </w:r>
      <w:r w:rsidR="005279F8">
        <w:rPr>
          <w:rFonts w:eastAsiaTheme="minorEastAsia"/>
          <w:lang w:val="en-GB"/>
        </w:rPr>
        <w:t xml:space="preserve"> for testing the effect</w:t>
      </w:r>
      <w:r w:rsidR="00C60720">
        <w:rPr>
          <w:rFonts w:eastAsiaTheme="minorEastAsia"/>
          <w:lang w:val="en-GB"/>
        </w:rPr>
        <w:t>s</w:t>
      </w:r>
      <w:r w:rsidR="005279F8">
        <w:rPr>
          <w:rFonts w:eastAsiaTheme="minorEastAsia"/>
          <w:lang w:val="en-GB"/>
        </w:rPr>
        <w:t xml:space="preserve"> of </w:t>
      </w:r>
      <w:r w:rsidR="005279F8" w:rsidRPr="00211C26">
        <w:rPr>
          <w:rFonts w:eastAsiaTheme="minorEastAsia"/>
          <w:i/>
          <w:iCs/>
          <w:lang w:val="en-GB"/>
        </w:rPr>
        <w:t>reversal</w:t>
      </w:r>
      <w:r w:rsidR="005279F8">
        <w:rPr>
          <w:rFonts w:eastAsiaTheme="minorEastAsia"/>
          <w:lang w:val="en-GB"/>
        </w:rPr>
        <w:t xml:space="preserve"> of </w:t>
      </w:r>
      <w:r w:rsidR="003A5D94">
        <w:rPr>
          <w:rFonts w:eastAsiaTheme="minorEastAsia"/>
          <w:lang w:val="en-GB"/>
        </w:rPr>
        <w:t>a</w:t>
      </w:r>
      <w:r w:rsidR="005279F8">
        <w:rPr>
          <w:rFonts w:eastAsiaTheme="minorEastAsia"/>
          <w:lang w:val="en-GB"/>
        </w:rPr>
        <w:t xml:space="preserve"> DEI programme.</w:t>
      </w:r>
    </w:p>
    <w:p w14:paraId="51EB0A56" w14:textId="77777777" w:rsidR="00790A3E" w:rsidRDefault="00790A3E" w:rsidP="00B759B2">
      <w:pPr>
        <w:jc w:val="both"/>
        <w:rPr>
          <w:rFonts w:eastAsiaTheme="minorEastAsia"/>
          <w:lang w:val="en-GB"/>
        </w:rPr>
      </w:pPr>
    </w:p>
    <w:p w14:paraId="7B2EEEC2" w14:textId="604BC265" w:rsidR="00D60EB8" w:rsidRPr="009A06D3" w:rsidRDefault="00D60EB8" w:rsidP="00D60EB8">
      <w:pPr>
        <w:rPr>
          <w:i/>
          <w:lang w:val="en-GB"/>
        </w:rPr>
      </w:pPr>
      <w:r w:rsidRPr="009A06D3">
        <w:rPr>
          <w:i/>
          <w:lang w:val="en-GB"/>
        </w:rPr>
        <w:t xml:space="preserve">3.3 </w:t>
      </w:r>
      <w:r>
        <w:rPr>
          <w:i/>
          <w:lang w:val="en-GB"/>
        </w:rPr>
        <w:t>Independent variables</w:t>
      </w:r>
    </w:p>
    <w:p w14:paraId="2CF29580" w14:textId="218C6F66" w:rsidR="00110292" w:rsidRDefault="00CD7EDD" w:rsidP="00B759B2">
      <w:pPr>
        <w:jc w:val="both"/>
        <w:rPr>
          <w:lang w:val="en-GB"/>
        </w:rPr>
      </w:pPr>
      <w:r>
        <w:rPr>
          <w:lang w:val="en-GB"/>
        </w:rPr>
        <w:t>To test for balance across conditions, and as covariates for our analyses, we</w:t>
      </w:r>
      <w:r w:rsidR="00110292">
        <w:rPr>
          <w:lang w:val="en-GB"/>
        </w:rPr>
        <w:t xml:space="preserve"> use the following variables:</w:t>
      </w:r>
    </w:p>
    <w:p w14:paraId="4308EFED" w14:textId="77777777" w:rsidR="00110292" w:rsidRDefault="00110292" w:rsidP="00B759B2">
      <w:pPr>
        <w:jc w:val="both"/>
        <w:rPr>
          <w:lang w:val="en-GB"/>
        </w:rPr>
      </w:pPr>
    </w:p>
    <w:p w14:paraId="1F5E8A53" w14:textId="77777777" w:rsidR="00110292" w:rsidRDefault="00110292" w:rsidP="00110292">
      <w:pPr>
        <w:pStyle w:val="ListParagraph"/>
        <w:numPr>
          <w:ilvl w:val="0"/>
          <w:numId w:val="4"/>
        </w:numPr>
        <w:jc w:val="both"/>
        <w:rPr>
          <w:lang w:val="en-GB"/>
        </w:rPr>
      </w:pPr>
      <w:r>
        <w:rPr>
          <w:lang w:val="en-GB"/>
        </w:rPr>
        <w:t>Age (count variable, number of years)</w:t>
      </w:r>
    </w:p>
    <w:p w14:paraId="08ED445C" w14:textId="77777777" w:rsidR="00110292" w:rsidRDefault="00110292" w:rsidP="00110292">
      <w:pPr>
        <w:pStyle w:val="ListParagraph"/>
        <w:jc w:val="both"/>
        <w:rPr>
          <w:lang w:val="en-GB"/>
        </w:rPr>
      </w:pPr>
    </w:p>
    <w:p w14:paraId="1164255D" w14:textId="48B9417A" w:rsidR="00110292" w:rsidRDefault="00110292" w:rsidP="00110292">
      <w:pPr>
        <w:pStyle w:val="ListParagraph"/>
        <w:numPr>
          <w:ilvl w:val="0"/>
          <w:numId w:val="4"/>
        </w:numPr>
        <w:jc w:val="both"/>
        <w:rPr>
          <w:lang w:val="en-GB"/>
        </w:rPr>
      </w:pPr>
      <w:r>
        <w:rPr>
          <w:lang w:val="en-GB"/>
        </w:rPr>
        <w:t>Gender (dummy variable, 1 – male, 0 – other)</w:t>
      </w:r>
    </w:p>
    <w:p w14:paraId="2ECEF510" w14:textId="77777777" w:rsidR="00110292" w:rsidRPr="00110292" w:rsidRDefault="00110292" w:rsidP="00110292">
      <w:pPr>
        <w:pStyle w:val="ListParagraph"/>
        <w:rPr>
          <w:lang w:val="en-GB"/>
        </w:rPr>
      </w:pPr>
    </w:p>
    <w:p w14:paraId="6BF149A2" w14:textId="37E5170A" w:rsidR="00110292" w:rsidRDefault="00110292" w:rsidP="00110292">
      <w:pPr>
        <w:pStyle w:val="ListParagraph"/>
        <w:numPr>
          <w:ilvl w:val="0"/>
          <w:numId w:val="4"/>
        </w:numPr>
        <w:jc w:val="both"/>
        <w:rPr>
          <w:lang w:val="en-GB"/>
        </w:rPr>
      </w:pPr>
      <w:r w:rsidRPr="00D169E0">
        <w:rPr>
          <w:lang w:val="en-GB"/>
        </w:rPr>
        <w:t>Education (</w:t>
      </w:r>
      <w:r>
        <w:rPr>
          <w:lang w:val="en-GB"/>
        </w:rPr>
        <w:t>dummy variable, 1 – college degree, 0 – no college degree</w:t>
      </w:r>
      <w:r w:rsidRPr="00D169E0">
        <w:rPr>
          <w:lang w:val="en-GB"/>
        </w:rPr>
        <w:t>)</w:t>
      </w:r>
    </w:p>
    <w:p w14:paraId="64DD665F" w14:textId="77777777" w:rsidR="00110292" w:rsidRPr="00110292" w:rsidRDefault="00110292" w:rsidP="00110292">
      <w:pPr>
        <w:pStyle w:val="ListParagraph"/>
        <w:rPr>
          <w:lang w:val="en-GB"/>
        </w:rPr>
      </w:pPr>
    </w:p>
    <w:p w14:paraId="3C996C52" w14:textId="79FCE59D" w:rsidR="00110292" w:rsidRDefault="00CD7EDD" w:rsidP="00110292">
      <w:pPr>
        <w:pStyle w:val="ListParagraph"/>
        <w:numPr>
          <w:ilvl w:val="0"/>
          <w:numId w:val="4"/>
        </w:numPr>
        <w:jc w:val="both"/>
        <w:rPr>
          <w:lang w:val="en-GB"/>
        </w:rPr>
      </w:pPr>
      <w:r>
        <w:rPr>
          <w:lang w:val="en-GB"/>
        </w:rPr>
        <w:t>Work experience</w:t>
      </w:r>
      <w:r w:rsidR="00110292">
        <w:rPr>
          <w:lang w:val="en-GB"/>
        </w:rPr>
        <w:t xml:space="preserve"> (</w:t>
      </w:r>
      <w:r>
        <w:rPr>
          <w:lang w:val="en-GB"/>
        </w:rPr>
        <w:t>count variable, number of years</w:t>
      </w:r>
      <w:r w:rsidR="00110292">
        <w:rPr>
          <w:lang w:val="en-GB"/>
        </w:rPr>
        <w:t>)</w:t>
      </w:r>
    </w:p>
    <w:p w14:paraId="796965A8" w14:textId="77777777" w:rsidR="00192267" w:rsidRPr="00192267" w:rsidRDefault="00192267" w:rsidP="00EA59C9">
      <w:pPr>
        <w:pStyle w:val="ListParagraph"/>
        <w:rPr>
          <w:lang w:val="en-GB"/>
        </w:rPr>
      </w:pPr>
    </w:p>
    <w:p w14:paraId="125C4901" w14:textId="1464F2F4" w:rsidR="00192267" w:rsidRDefault="00192267" w:rsidP="00110292">
      <w:pPr>
        <w:pStyle w:val="ListParagraph"/>
        <w:numPr>
          <w:ilvl w:val="0"/>
          <w:numId w:val="4"/>
        </w:numPr>
        <w:jc w:val="both"/>
        <w:rPr>
          <w:lang w:val="en-GB"/>
        </w:rPr>
      </w:pPr>
      <w:r>
        <w:rPr>
          <w:lang w:val="en-GB"/>
        </w:rPr>
        <w:t>Social background (dummy variable, 1 – respondent grew up in area less affluent than average, 0 – respondent did not grow up in are</w:t>
      </w:r>
      <w:r w:rsidR="00C60720">
        <w:rPr>
          <w:lang w:val="en-GB"/>
        </w:rPr>
        <w:t>a</w:t>
      </w:r>
      <w:r>
        <w:rPr>
          <w:lang w:val="en-GB"/>
        </w:rPr>
        <w:t xml:space="preserve"> less affluent than average)</w:t>
      </w:r>
    </w:p>
    <w:p w14:paraId="260A0227" w14:textId="77777777" w:rsidR="00192267" w:rsidRPr="00192267" w:rsidRDefault="00192267" w:rsidP="00EA59C9">
      <w:pPr>
        <w:pStyle w:val="ListParagraph"/>
        <w:rPr>
          <w:lang w:val="en-GB"/>
        </w:rPr>
      </w:pPr>
    </w:p>
    <w:p w14:paraId="20EC5873" w14:textId="5196ADC8" w:rsidR="00192267" w:rsidRPr="00D169E0" w:rsidRDefault="00C60720" w:rsidP="00110292">
      <w:pPr>
        <w:pStyle w:val="ListParagraph"/>
        <w:numPr>
          <w:ilvl w:val="0"/>
          <w:numId w:val="4"/>
        </w:numPr>
        <w:jc w:val="both"/>
        <w:rPr>
          <w:lang w:val="en-GB"/>
        </w:rPr>
      </w:pPr>
      <w:r>
        <w:rPr>
          <w:lang w:val="en-GB"/>
        </w:rPr>
        <w:t>Number of daughters (count variable, number of daughters)</w:t>
      </w:r>
    </w:p>
    <w:p w14:paraId="62322952" w14:textId="77777777" w:rsidR="00EF421A" w:rsidRDefault="00EF421A" w:rsidP="00B759B2">
      <w:pPr>
        <w:jc w:val="both"/>
        <w:rPr>
          <w:lang w:val="en-GB"/>
        </w:rPr>
      </w:pPr>
    </w:p>
    <w:p w14:paraId="65BF5E10" w14:textId="442CDC69" w:rsidR="00B759B2" w:rsidRDefault="00B120F8" w:rsidP="00835D8C">
      <w:pPr>
        <w:jc w:val="both"/>
        <w:rPr>
          <w:lang w:val="en-GB"/>
        </w:rPr>
      </w:pPr>
      <w:r>
        <w:rPr>
          <w:lang w:val="en-GB"/>
        </w:rPr>
        <w:lastRenderedPageBreak/>
        <w:t>As views of DEI policies are likely to follow political fault lines, we also construct the following variable on political preferences to test for these forms of heterogeneity. Our survey includes the following six questions on political preferences:</w:t>
      </w:r>
    </w:p>
    <w:p w14:paraId="0AB41FFD" w14:textId="77777777" w:rsidR="00B120F8" w:rsidRDefault="00B120F8" w:rsidP="00835D8C">
      <w:pPr>
        <w:jc w:val="both"/>
        <w:rPr>
          <w:lang w:val="en-GB"/>
        </w:rPr>
      </w:pPr>
    </w:p>
    <w:p w14:paraId="04C294A1" w14:textId="240A1BDD" w:rsidR="00B120F8" w:rsidRDefault="00B120F8" w:rsidP="00B120F8">
      <w:pPr>
        <w:pStyle w:val="ListParagraph"/>
        <w:numPr>
          <w:ilvl w:val="0"/>
          <w:numId w:val="19"/>
        </w:numPr>
        <w:jc w:val="both"/>
        <w:rPr>
          <w:lang w:val="en-GB"/>
        </w:rPr>
      </w:pPr>
      <w:r>
        <w:rPr>
          <w:lang w:val="en-GB"/>
        </w:rPr>
        <w:t>The military budget should not be increased</w:t>
      </w:r>
    </w:p>
    <w:p w14:paraId="32705F73" w14:textId="547676CC" w:rsidR="00B120F8" w:rsidRDefault="00B120F8" w:rsidP="00B120F8">
      <w:pPr>
        <w:pStyle w:val="ListParagraph"/>
        <w:numPr>
          <w:ilvl w:val="0"/>
          <w:numId w:val="19"/>
        </w:numPr>
        <w:jc w:val="both"/>
        <w:rPr>
          <w:lang w:val="en-GB"/>
        </w:rPr>
      </w:pPr>
      <w:r>
        <w:rPr>
          <w:lang w:val="en-GB"/>
        </w:rPr>
        <w:t>Environmental regulations have already gone too far</w:t>
      </w:r>
    </w:p>
    <w:p w14:paraId="400D3201" w14:textId="48AE3389" w:rsidR="00B120F8" w:rsidRDefault="00B120F8" w:rsidP="00B120F8">
      <w:pPr>
        <w:pStyle w:val="ListParagraph"/>
        <w:numPr>
          <w:ilvl w:val="0"/>
          <w:numId w:val="19"/>
        </w:numPr>
        <w:jc w:val="both"/>
        <w:rPr>
          <w:lang w:val="en-GB"/>
        </w:rPr>
      </w:pPr>
      <w:r>
        <w:rPr>
          <w:lang w:val="en-GB"/>
        </w:rPr>
        <w:t>Healthcare should primarily be provided through private markets</w:t>
      </w:r>
    </w:p>
    <w:p w14:paraId="68BA8617" w14:textId="7A33F1BA" w:rsidR="00B120F8" w:rsidRDefault="00B120F8" w:rsidP="00B120F8">
      <w:pPr>
        <w:pStyle w:val="ListParagraph"/>
        <w:numPr>
          <w:ilvl w:val="0"/>
          <w:numId w:val="19"/>
        </w:numPr>
        <w:jc w:val="both"/>
        <w:rPr>
          <w:lang w:val="en-GB"/>
        </w:rPr>
      </w:pPr>
      <w:r>
        <w:rPr>
          <w:lang w:val="en-GB"/>
        </w:rPr>
        <w:t>Stronger border control is needed</w:t>
      </w:r>
    </w:p>
    <w:p w14:paraId="241DA1C0" w14:textId="67AEB425" w:rsidR="00B120F8" w:rsidRDefault="00B120F8" w:rsidP="00B120F8">
      <w:pPr>
        <w:pStyle w:val="ListParagraph"/>
        <w:numPr>
          <w:ilvl w:val="0"/>
          <w:numId w:val="19"/>
        </w:numPr>
        <w:jc w:val="both"/>
        <w:rPr>
          <w:lang w:val="en-GB"/>
        </w:rPr>
      </w:pPr>
      <w:r>
        <w:rPr>
          <w:lang w:val="en-GB"/>
        </w:rPr>
        <w:t>Existing gun laws are too restrictive</w:t>
      </w:r>
    </w:p>
    <w:p w14:paraId="5FDE46C2" w14:textId="44A997FF" w:rsidR="00B120F8" w:rsidRDefault="00B120F8" w:rsidP="00B120F8">
      <w:pPr>
        <w:pStyle w:val="ListParagraph"/>
        <w:numPr>
          <w:ilvl w:val="0"/>
          <w:numId w:val="19"/>
        </w:numPr>
        <w:jc w:val="both"/>
        <w:rPr>
          <w:lang w:val="en-GB"/>
        </w:rPr>
      </w:pPr>
      <w:r>
        <w:rPr>
          <w:lang w:val="en-GB"/>
        </w:rPr>
        <w:t>The government should decrease the regulation of business</w:t>
      </w:r>
    </w:p>
    <w:p w14:paraId="59D66029" w14:textId="77777777" w:rsidR="00B120F8" w:rsidRDefault="00B120F8" w:rsidP="00B120F8">
      <w:pPr>
        <w:jc w:val="both"/>
        <w:rPr>
          <w:lang w:val="en-GB"/>
        </w:rPr>
      </w:pPr>
    </w:p>
    <w:p w14:paraId="25AB07FF" w14:textId="41468823" w:rsidR="00B120F8" w:rsidRPr="00B120F8" w:rsidRDefault="00B120F8" w:rsidP="00B120F8">
      <w:pPr>
        <w:jc w:val="both"/>
        <w:rPr>
          <w:lang w:val="en-GB"/>
        </w:rPr>
      </w:pPr>
      <w:r>
        <w:rPr>
          <w:lang w:val="en-GB"/>
        </w:rPr>
        <w:t xml:space="preserve">Respondents are asked to state their level of agreement with each of these statements on a scale: Strongly disagree (0), somewhat disagree (1), neither agree nor disagree (2), somewhat agree (3) and strongly agree (4). </w:t>
      </w:r>
      <w:r w:rsidR="00621AD8">
        <w:rPr>
          <w:lang w:val="en-GB"/>
        </w:rPr>
        <w:t xml:space="preserve">Reversing responses to the first question, we measure how conservative or right-wing the political preferences of a respondent </w:t>
      </w:r>
      <w:r w:rsidR="0067120F">
        <w:rPr>
          <w:lang w:val="en-GB"/>
        </w:rPr>
        <w:t>are</w:t>
      </w:r>
      <w:r w:rsidR="00621AD8">
        <w:rPr>
          <w:lang w:val="en-GB"/>
        </w:rPr>
        <w:t xml:space="preserve"> through a simple average of their responses to these six questions.</w:t>
      </w:r>
    </w:p>
    <w:p w14:paraId="1E33D82B" w14:textId="77777777" w:rsidR="00B120F8" w:rsidRDefault="00B120F8" w:rsidP="00835D8C">
      <w:pPr>
        <w:jc w:val="both"/>
        <w:rPr>
          <w:lang w:val="en-GB"/>
        </w:rPr>
      </w:pPr>
    </w:p>
    <w:p w14:paraId="79888904" w14:textId="77777777" w:rsidR="009C2049" w:rsidRPr="009729A2" w:rsidRDefault="00020417" w:rsidP="00835D8C">
      <w:pPr>
        <w:jc w:val="both"/>
        <w:rPr>
          <w:b/>
          <w:lang w:val="en-GB"/>
        </w:rPr>
      </w:pPr>
      <w:r w:rsidRPr="009729A2">
        <w:rPr>
          <w:b/>
          <w:lang w:val="en-GB"/>
        </w:rPr>
        <w:t>4. Empirical strategy</w:t>
      </w:r>
    </w:p>
    <w:p w14:paraId="3CFE6AAB" w14:textId="26E4DDFA" w:rsidR="003A5D94" w:rsidRPr="003A5D94" w:rsidRDefault="003A5D94" w:rsidP="00261167">
      <w:pPr>
        <w:jc w:val="both"/>
        <w:rPr>
          <w:i/>
          <w:iCs/>
          <w:lang w:val="en-GB"/>
        </w:rPr>
      </w:pPr>
      <w:r w:rsidRPr="003A5D94">
        <w:rPr>
          <w:i/>
          <w:iCs/>
          <w:lang w:val="en-GB"/>
        </w:rPr>
        <w:t>4.1 Effects of introducing a DEI programme</w:t>
      </w:r>
    </w:p>
    <w:p w14:paraId="57C8DE55" w14:textId="3A7BE62C" w:rsidR="003A5D94" w:rsidRDefault="003A5D94" w:rsidP="00261167">
      <w:pPr>
        <w:jc w:val="both"/>
        <w:rPr>
          <w:lang w:val="en-GB"/>
        </w:rPr>
      </w:pPr>
      <w:r>
        <w:rPr>
          <w:lang w:val="en-GB"/>
        </w:rPr>
        <w:t>Our first hypothesis is as follows:</w:t>
      </w:r>
    </w:p>
    <w:p w14:paraId="4FF8CBC4" w14:textId="77777777" w:rsidR="003A5D94" w:rsidRDefault="003A5D94" w:rsidP="00261167">
      <w:pPr>
        <w:jc w:val="both"/>
        <w:rPr>
          <w:lang w:val="en-GB"/>
        </w:rPr>
      </w:pPr>
    </w:p>
    <w:p w14:paraId="11D75A08" w14:textId="12CC8AFE" w:rsidR="003A5D94" w:rsidRPr="00946A1F" w:rsidRDefault="003A5D94" w:rsidP="003A5D94">
      <w:pPr>
        <w:jc w:val="both"/>
        <w:rPr>
          <w:i/>
          <w:iCs/>
          <w:lang w:val="en-GB"/>
        </w:rPr>
      </w:pPr>
      <w:r w:rsidRPr="00946A1F">
        <w:rPr>
          <w:i/>
          <w:iCs/>
          <w:lang w:val="en-GB"/>
        </w:rPr>
        <w:t xml:space="preserve">Hypothesis </w:t>
      </w:r>
      <w:r>
        <w:rPr>
          <w:i/>
          <w:iCs/>
          <w:lang w:val="en-GB"/>
        </w:rPr>
        <w:t>1</w:t>
      </w:r>
      <w:r w:rsidRPr="00946A1F">
        <w:rPr>
          <w:i/>
          <w:iCs/>
          <w:lang w:val="en-GB"/>
        </w:rPr>
        <w:t xml:space="preserve">: </w:t>
      </w:r>
      <w:r>
        <w:rPr>
          <w:i/>
          <w:iCs/>
          <w:lang w:val="en-GB"/>
        </w:rPr>
        <w:t>Willingness to work is greater for companies that introduce a DEI programme</w:t>
      </w:r>
      <w:r w:rsidRPr="00946A1F">
        <w:rPr>
          <w:i/>
          <w:iCs/>
          <w:lang w:val="en-GB"/>
        </w:rPr>
        <w:t>.</w:t>
      </w:r>
    </w:p>
    <w:p w14:paraId="2CBDDC66" w14:textId="77777777" w:rsidR="003A5D94" w:rsidRDefault="003A5D94" w:rsidP="00261167">
      <w:pPr>
        <w:jc w:val="both"/>
        <w:rPr>
          <w:lang w:val="en-GB"/>
        </w:rPr>
      </w:pPr>
    </w:p>
    <w:p w14:paraId="1D64ED36" w14:textId="756124FE" w:rsidR="003A5D94" w:rsidRDefault="003A5D94" w:rsidP="00261167">
      <w:pPr>
        <w:jc w:val="both"/>
        <w:rPr>
          <w:lang w:val="en-GB"/>
        </w:rPr>
      </w:pPr>
      <w:r>
        <w:rPr>
          <w:lang w:val="en-GB"/>
        </w:rPr>
        <w:t>We test this through OLS estimation (with robust standard errors) of the following equation:</w:t>
      </w:r>
    </w:p>
    <w:p w14:paraId="4B026F61" w14:textId="77777777" w:rsidR="003A5D94" w:rsidRDefault="003A5D94" w:rsidP="00261167">
      <w:pPr>
        <w:jc w:val="both"/>
        <w:rPr>
          <w:lang w:val="en-GB"/>
        </w:rPr>
      </w:pPr>
    </w:p>
    <w:p w14:paraId="065491A8" w14:textId="2FABA0DA" w:rsidR="003A5D94" w:rsidRDefault="00F05A46" w:rsidP="003A5D94">
      <w:pPr>
        <w:jc w:val="right"/>
        <w:rPr>
          <w:lang w:val="en-GB"/>
        </w:rPr>
      </w:pPr>
      <m:oMath>
        <m:sSubSup>
          <m:sSubSupPr>
            <m:ctrlPr>
              <w:rPr>
                <w:rFonts w:ascii="Cambria Math" w:hAnsi="Cambria Math"/>
                <w:i/>
                <w:lang w:val="en-GB"/>
              </w:rPr>
            </m:ctrlPr>
          </m:sSubSupPr>
          <m:e>
            <m:r>
              <w:rPr>
                <w:rFonts w:ascii="Cambria Math" w:hAnsi="Cambria Math"/>
                <w:lang w:val="en-GB"/>
              </w:rPr>
              <m:t>y</m:t>
            </m:r>
          </m:e>
          <m:sub>
            <m:r>
              <w:rPr>
                <w:rFonts w:ascii="Cambria Math" w:hAnsi="Cambria Math"/>
                <w:lang w:val="en-GB"/>
              </w:rPr>
              <m:t>i</m:t>
            </m:r>
          </m:sub>
          <m:sup>
            <m:r>
              <w:rPr>
                <w:rFonts w:ascii="Cambria Math" w:hAnsi="Cambria Math"/>
                <w:lang w:val="en-GB"/>
              </w:rPr>
              <m:t>1</m:t>
            </m:r>
          </m:sup>
        </m:sSubSup>
        <m:r>
          <w:rPr>
            <w:rFonts w:ascii="Cambria Math" w:hAnsi="Cambria Math"/>
            <w:lang w:val="en-GB"/>
          </w:rPr>
          <m:t>=α+</m:t>
        </m:r>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1</m:t>
            </m:r>
          </m:sub>
        </m:sSub>
        <m:sSub>
          <m:sSubPr>
            <m:ctrlPr>
              <w:rPr>
                <w:rFonts w:ascii="Cambria Math" w:hAnsi="Cambria Math"/>
                <w:i/>
                <w:lang w:val="en-GB"/>
              </w:rPr>
            </m:ctrlPr>
          </m:sSubPr>
          <m:e>
            <m:r>
              <w:rPr>
                <w:rFonts w:ascii="Cambria Math" w:hAnsi="Cambria Math"/>
                <w:lang w:val="en-GB"/>
              </w:rPr>
              <m:t>T123</m:t>
            </m:r>
          </m:e>
          <m:sub>
            <m:r>
              <w:rPr>
                <w:rFonts w:ascii="Cambria Math" w:hAnsi="Cambria Math"/>
                <w:lang w:val="en-GB"/>
              </w:rPr>
              <m:t>i</m:t>
            </m:r>
          </m:sub>
        </m:sSub>
        <m:r>
          <w:rPr>
            <w:rFonts w:ascii="Cambria Math" w:hAnsi="Cambria Math"/>
            <w:lang w:val="en-GB"/>
          </w:rPr>
          <m:t>+</m:t>
        </m:r>
        <m:sSub>
          <m:sSubPr>
            <m:ctrlPr>
              <w:rPr>
                <w:rFonts w:ascii="Cambria Math" w:hAnsi="Cambria Math"/>
                <w:b/>
                <w:bCs/>
                <w:i/>
                <w:lang w:val="en-GB"/>
              </w:rPr>
            </m:ctrlPr>
          </m:sSubPr>
          <m:e>
            <m:r>
              <m:rPr>
                <m:sty m:val="bi"/>
              </m:rPr>
              <w:rPr>
                <w:rFonts w:ascii="Cambria Math" w:hAnsi="Cambria Math"/>
                <w:lang w:val="en-GB"/>
              </w:rPr>
              <m:t>X</m:t>
            </m:r>
          </m:e>
          <m:sub>
            <m:r>
              <m:rPr>
                <m:sty m:val="bi"/>
              </m:rPr>
              <w:rPr>
                <w:rFonts w:ascii="Cambria Math" w:hAnsi="Cambria Math"/>
                <w:lang w:val="en-GB"/>
              </w:rPr>
              <m:t>i</m:t>
            </m:r>
          </m:sub>
        </m:sSub>
        <m:r>
          <m:rPr>
            <m:sty m:val="bi"/>
          </m:rPr>
          <w:rPr>
            <w:rFonts w:ascii="Cambria Math" w:hAnsi="Cambria Math"/>
            <w:lang w:val="en-GB"/>
          </w:rPr>
          <m:t>γ</m:t>
        </m:r>
        <m:r>
          <w:rPr>
            <w:rFonts w:ascii="Cambria Math" w:hAnsi="Cambria Math"/>
            <w:lang w:val="en-GB"/>
          </w:rPr>
          <m:t>+</m:t>
        </m:r>
        <m:sSub>
          <m:sSubPr>
            <m:ctrlPr>
              <w:rPr>
                <w:rFonts w:ascii="Cambria Math" w:hAnsi="Cambria Math"/>
                <w:i/>
                <w:lang w:val="en-GB"/>
              </w:rPr>
            </m:ctrlPr>
          </m:sSubPr>
          <m:e>
            <m:r>
              <w:rPr>
                <w:rFonts w:ascii="Cambria Math" w:hAnsi="Cambria Math"/>
                <w:lang w:val="en-GB"/>
              </w:rPr>
              <m:t>ε</m:t>
            </m:r>
          </m:e>
          <m:sub>
            <m:r>
              <w:rPr>
                <w:rFonts w:ascii="Cambria Math" w:hAnsi="Cambria Math"/>
                <w:lang w:val="en-GB"/>
              </w:rPr>
              <m:t>i</m:t>
            </m:r>
          </m:sub>
        </m:sSub>
      </m:oMath>
      <w:r w:rsidR="003A5D94">
        <w:rPr>
          <w:rFonts w:eastAsiaTheme="minorEastAsia"/>
          <w:lang w:val="en-GB"/>
        </w:rPr>
        <w:tab/>
      </w:r>
      <w:r w:rsidR="003A5D94">
        <w:rPr>
          <w:rFonts w:eastAsiaTheme="minorEastAsia"/>
          <w:lang w:val="en-GB"/>
        </w:rPr>
        <w:tab/>
      </w:r>
      <w:r w:rsidR="003A5D94">
        <w:rPr>
          <w:rFonts w:eastAsiaTheme="minorEastAsia"/>
          <w:lang w:val="en-GB"/>
        </w:rPr>
        <w:tab/>
      </w:r>
      <w:r w:rsidR="003A5D94">
        <w:rPr>
          <w:rFonts w:eastAsiaTheme="minorEastAsia"/>
          <w:lang w:val="en-GB"/>
        </w:rPr>
        <w:tab/>
      </w:r>
      <w:r w:rsidR="003A5D94">
        <w:rPr>
          <w:rFonts w:eastAsiaTheme="minorEastAsia"/>
          <w:lang w:val="en-GB"/>
        </w:rPr>
        <w:tab/>
      </w:r>
      <w:r w:rsidR="003A5D94">
        <w:rPr>
          <w:rFonts w:eastAsiaTheme="minorEastAsia"/>
          <w:lang w:val="en-GB"/>
        </w:rPr>
        <w:tab/>
      </w:r>
      <w:r w:rsidR="003A5D94">
        <w:rPr>
          <w:rFonts w:eastAsiaTheme="minorEastAsia"/>
          <w:lang w:val="en-GB"/>
        </w:rPr>
        <w:tab/>
      </w:r>
      <w:r w:rsidR="003A5D94">
        <w:rPr>
          <w:rFonts w:eastAsiaTheme="minorEastAsia"/>
          <w:lang w:val="en-GB"/>
        </w:rPr>
        <w:tab/>
      </w:r>
      <w:r w:rsidR="003A5D94">
        <w:rPr>
          <w:rFonts w:eastAsiaTheme="minorEastAsia"/>
          <w:lang w:val="en-GB"/>
        </w:rPr>
        <w:tab/>
        <w:t>(1)</w:t>
      </w:r>
    </w:p>
    <w:p w14:paraId="79985B65" w14:textId="77777777" w:rsidR="003A5D94" w:rsidRDefault="003A5D94" w:rsidP="00261167">
      <w:pPr>
        <w:jc w:val="both"/>
        <w:rPr>
          <w:lang w:val="en-GB"/>
        </w:rPr>
      </w:pPr>
    </w:p>
    <w:p w14:paraId="03975FEC" w14:textId="4A7DEEAB" w:rsidR="003A5D94" w:rsidRPr="00B977D5" w:rsidRDefault="00B977D5" w:rsidP="00261167">
      <w:pPr>
        <w:jc w:val="both"/>
        <w:rPr>
          <w:lang w:val="en-GB"/>
        </w:rPr>
      </w:pPr>
      <w:r>
        <w:rPr>
          <w:lang w:val="en-GB"/>
        </w:rPr>
        <w:t xml:space="preserve">where </w:t>
      </w:r>
      <m:oMath>
        <m:sSubSup>
          <m:sSubSupPr>
            <m:ctrlPr>
              <w:rPr>
                <w:rFonts w:ascii="Cambria Math" w:hAnsi="Cambria Math"/>
                <w:i/>
                <w:lang w:val="en-GB"/>
              </w:rPr>
            </m:ctrlPr>
          </m:sSubSupPr>
          <m:e>
            <m:r>
              <w:rPr>
                <w:rFonts w:ascii="Cambria Math" w:hAnsi="Cambria Math"/>
                <w:lang w:val="en-GB"/>
              </w:rPr>
              <m:t>y</m:t>
            </m:r>
          </m:e>
          <m:sub>
            <m:r>
              <w:rPr>
                <w:rFonts w:ascii="Cambria Math" w:hAnsi="Cambria Math"/>
                <w:lang w:val="en-GB"/>
              </w:rPr>
              <m:t>i</m:t>
            </m:r>
          </m:sub>
          <m:sup>
            <m:r>
              <w:rPr>
                <w:rFonts w:ascii="Cambria Math" w:hAnsi="Cambria Math"/>
                <w:lang w:val="en-GB"/>
              </w:rPr>
              <m:t>1</m:t>
            </m:r>
          </m:sup>
        </m:sSubSup>
      </m:oMath>
      <w:r>
        <w:rPr>
          <w:lang w:val="en-GB"/>
        </w:rPr>
        <w:t xml:space="preserve"> is the response of respondent </w:t>
      </w:r>
      <w:r>
        <w:rPr>
          <w:i/>
          <w:iCs/>
          <w:lang w:val="en-GB"/>
        </w:rPr>
        <w:t>i</w:t>
      </w:r>
      <w:r>
        <w:rPr>
          <w:lang w:val="en-GB"/>
        </w:rPr>
        <w:t xml:space="preserve"> </w:t>
      </w:r>
      <w:r w:rsidR="00030E07">
        <w:rPr>
          <w:lang w:val="en-GB"/>
        </w:rPr>
        <w:t xml:space="preserve">to the willingness to work question </w:t>
      </w:r>
      <w:r>
        <w:rPr>
          <w:lang w:val="en-GB"/>
        </w:rPr>
        <w:t xml:space="preserve">after the first vignette, </w:t>
      </w:r>
      <m:oMath>
        <m:sSub>
          <m:sSubPr>
            <m:ctrlPr>
              <w:rPr>
                <w:rFonts w:ascii="Cambria Math" w:hAnsi="Cambria Math"/>
                <w:i/>
                <w:lang w:val="en-GB"/>
              </w:rPr>
            </m:ctrlPr>
          </m:sSubPr>
          <m:e>
            <m:r>
              <w:rPr>
                <w:rFonts w:ascii="Cambria Math" w:hAnsi="Cambria Math"/>
                <w:lang w:val="en-GB"/>
              </w:rPr>
              <m:t>T123</m:t>
            </m:r>
          </m:e>
          <m:sub>
            <m:r>
              <w:rPr>
                <w:rFonts w:ascii="Cambria Math" w:hAnsi="Cambria Math"/>
                <w:lang w:val="en-GB"/>
              </w:rPr>
              <m:t>i</m:t>
            </m:r>
          </m:sub>
        </m:sSub>
      </m:oMath>
      <w:r>
        <w:rPr>
          <w:lang w:val="en-GB"/>
        </w:rPr>
        <w:t xml:space="preserve"> is an indicator variable for whether respondent </w:t>
      </w:r>
      <w:r>
        <w:rPr>
          <w:i/>
          <w:iCs/>
          <w:lang w:val="en-GB"/>
        </w:rPr>
        <w:t>i</w:t>
      </w:r>
      <w:r>
        <w:rPr>
          <w:lang w:val="en-GB"/>
        </w:rPr>
        <w:t xml:space="preserve"> is in either of the three conditions where a DEI programme is introduced according to the first vignette (T1, T2 or T3), and </w:t>
      </w:r>
      <m:oMath>
        <m:sSub>
          <m:sSubPr>
            <m:ctrlPr>
              <w:rPr>
                <w:rFonts w:ascii="Cambria Math" w:hAnsi="Cambria Math"/>
                <w:b/>
                <w:bCs/>
                <w:i/>
                <w:lang w:val="en-GB"/>
              </w:rPr>
            </m:ctrlPr>
          </m:sSubPr>
          <m:e>
            <m:r>
              <m:rPr>
                <m:sty m:val="bi"/>
              </m:rPr>
              <w:rPr>
                <w:rFonts w:ascii="Cambria Math" w:hAnsi="Cambria Math"/>
                <w:lang w:val="en-GB"/>
              </w:rPr>
              <m:t>X</m:t>
            </m:r>
          </m:e>
          <m:sub>
            <m:r>
              <m:rPr>
                <m:sty m:val="bi"/>
              </m:rPr>
              <w:rPr>
                <w:rFonts w:ascii="Cambria Math" w:hAnsi="Cambria Math"/>
                <w:lang w:val="en-GB"/>
              </w:rPr>
              <m:t>i</m:t>
            </m:r>
          </m:sub>
        </m:sSub>
      </m:oMath>
      <w:r>
        <w:rPr>
          <w:rFonts w:eastAsiaTheme="minorEastAsia"/>
          <w:lang w:val="en-GB"/>
        </w:rPr>
        <w:t xml:space="preserve"> is a vector of the </w:t>
      </w:r>
      <w:r w:rsidR="00C60720">
        <w:rPr>
          <w:rFonts w:eastAsiaTheme="minorEastAsia"/>
          <w:lang w:val="en-GB"/>
        </w:rPr>
        <w:t xml:space="preserve">six </w:t>
      </w:r>
      <w:r>
        <w:rPr>
          <w:rFonts w:eastAsiaTheme="minorEastAsia"/>
          <w:lang w:val="en-GB"/>
        </w:rPr>
        <w:t>covariates age, gender, education</w:t>
      </w:r>
      <w:r w:rsidR="00C60720">
        <w:rPr>
          <w:rFonts w:eastAsiaTheme="minorEastAsia"/>
          <w:lang w:val="en-GB"/>
        </w:rPr>
        <w:t xml:space="preserve">, </w:t>
      </w:r>
      <w:r>
        <w:rPr>
          <w:rFonts w:eastAsiaTheme="minorEastAsia"/>
          <w:lang w:val="en-GB"/>
        </w:rPr>
        <w:t>work experience</w:t>
      </w:r>
      <w:r w:rsidR="00C60720">
        <w:rPr>
          <w:rFonts w:eastAsiaTheme="minorEastAsia"/>
          <w:lang w:val="en-GB"/>
        </w:rPr>
        <w:t>, social background and number of daughters</w:t>
      </w:r>
      <w:r>
        <w:rPr>
          <w:rFonts w:eastAsiaTheme="minorEastAsia"/>
          <w:lang w:val="en-GB"/>
        </w:rPr>
        <w:t>.</w:t>
      </w:r>
    </w:p>
    <w:p w14:paraId="0F13EF90" w14:textId="77777777" w:rsidR="003A5D94" w:rsidRDefault="003A5D94" w:rsidP="00261167">
      <w:pPr>
        <w:jc w:val="both"/>
        <w:rPr>
          <w:lang w:val="en-GB"/>
        </w:rPr>
      </w:pPr>
    </w:p>
    <w:p w14:paraId="4A26870E" w14:textId="77777777" w:rsidR="004C0805" w:rsidRDefault="004C0805" w:rsidP="004C0805">
      <w:pPr>
        <w:jc w:val="both"/>
        <w:rPr>
          <w:lang w:val="en-GB"/>
        </w:rPr>
      </w:pPr>
      <w:r>
        <w:rPr>
          <w:lang w:val="en-GB"/>
        </w:rPr>
        <w:t>We express Hypothesis 1 formally as:</w:t>
      </w:r>
    </w:p>
    <w:p w14:paraId="4317F815" w14:textId="77777777" w:rsidR="004C0805" w:rsidRDefault="004C0805" w:rsidP="004C0805">
      <w:pPr>
        <w:jc w:val="both"/>
        <w:rPr>
          <w:lang w:val="en-GB"/>
        </w:rPr>
      </w:pPr>
    </w:p>
    <w:p w14:paraId="099508DC" w14:textId="75335967" w:rsidR="004C0805" w:rsidRDefault="00F05A46" w:rsidP="004C0805">
      <w:pPr>
        <w:jc w:val="right"/>
        <w:rPr>
          <w:rFonts w:eastAsiaTheme="minorEastAsia"/>
          <w:lang w:val="en-GB"/>
        </w:rPr>
      </w:pPr>
      <m:oMath>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1</m:t>
            </m:r>
          </m:sub>
        </m:sSub>
        <m:r>
          <w:rPr>
            <w:rFonts w:ascii="Cambria Math" w:hAnsi="Cambria Math"/>
            <w:lang w:val="en-GB"/>
          </w:rPr>
          <m:t>=0</m:t>
        </m:r>
      </m:oMath>
      <w:r w:rsidR="004C0805">
        <w:rPr>
          <w:rFonts w:eastAsiaTheme="minorEastAsia"/>
          <w:lang w:val="en-GB"/>
        </w:rPr>
        <w:tab/>
      </w:r>
      <w:r w:rsidR="004C0805">
        <w:rPr>
          <w:rFonts w:eastAsiaTheme="minorEastAsia"/>
          <w:lang w:val="en-GB"/>
        </w:rPr>
        <w:tab/>
      </w:r>
      <w:r w:rsidR="004C0805">
        <w:rPr>
          <w:rFonts w:eastAsiaTheme="minorEastAsia"/>
          <w:lang w:val="en-GB"/>
        </w:rPr>
        <w:tab/>
      </w:r>
      <w:r w:rsidR="004C0805">
        <w:rPr>
          <w:rFonts w:eastAsiaTheme="minorEastAsia"/>
          <w:lang w:val="en-GB"/>
        </w:rPr>
        <w:tab/>
      </w:r>
      <w:r w:rsidR="004C0805">
        <w:rPr>
          <w:rFonts w:eastAsiaTheme="minorEastAsia"/>
          <w:lang w:val="en-GB"/>
        </w:rPr>
        <w:tab/>
      </w:r>
      <w:r w:rsidR="004C0805">
        <w:rPr>
          <w:rFonts w:eastAsiaTheme="minorEastAsia"/>
          <w:lang w:val="en-GB"/>
        </w:rPr>
        <w:tab/>
      </w:r>
      <w:r w:rsidR="004C0805">
        <w:rPr>
          <w:rFonts w:eastAsiaTheme="minorEastAsia"/>
          <w:lang w:val="en-GB"/>
        </w:rPr>
        <w:tab/>
      </w:r>
      <w:r w:rsidR="004C0805">
        <w:rPr>
          <w:rFonts w:eastAsiaTheme="minorEastAsia"/>
          <w:lang w:val="en-GB"/>
        </w:rPr>
        <w:tab/>
      </w:r>
      <w:r w:rsidR="004C0805">
        <w:rPr>
          <w:rFonts w:eastAsiaTheme="minorEastAsia"/>
          <w:lang w:val="en-GB"/>
        </w:rPr>
        <w:tab/>
      </w:r>
      <w:r w:rsidR="004C0805">
        <w:rPr>
          <w:rFonts w:eastAsiaTheme="minorEastAsia"/>
          <w:lang w:val="en-GB"/>
        </w:rPr>
        <w:tab/>
      </w:r>
      <w:r w:rsidR="004C0805">
        <w:rPr>
          <w:rFonts w:eastAsiaTheme="minorEastAsia"/>
          <w:lang w:val="en-GB"/>
        </w:rPr>
        <w:tab/>
      </w:r>
      <w:r w:rsidR="004C0805">
        <w:rPr>
          <w:rFonts w:eastAsiaTheme="minorEastAsia"/>
          <w:lang w:val="en-GB"/>
        </w:rPr>
        <w:tab/>
        <w:t>(2)</w:t>
      </w:r>
    </w:p>
    <w:p w14:paraId="3581A17C" w14:textId="77777777" w:rsidR="004C0805" w:rsidRDefault="004C0805" w:rsidP="004C0805">
      <w:pPr>
        <w:jc w:val="both"/>
        <w:rPr>
          <w:lang w:val="en-GB"/>
        </w:rPr>
      </w:pPr>
    </w:p>
    <w:p w14:paraId="55294EF1" w14:textId="5A190FAD" w:rsidR="00A860CC" w:rsidRDefault="00066978" w:rsidP="00261167">
      <w:pPr>
        <w:jc w:val="both"/>
        <w:rPr>
          <w:rFonts w:eastAsiaTheme="minorEastAsia"/>
          <w:lang w:val="en-GB"/>
        </w:rPr>
      </w:pPr>
      <w:r>
        <w:rPr>
          <w:lang w:val="en-GB"/>
        </w:rPr>
        <w:t>P</w:t>
      </w:r>
      <w:r w:rsidR="004C0805">
        <w:rPr>
          <w:lang w:val="en-GB"/>
        </w:rPr>
        <w:t xml:space="preserve">revious studies suggest that employees favour companies with better CSR policies (Hedblom et al., 2019), </w:t>
      </w:r>
      <w:r>
        <w:rPr>
          <w:lang w:val="en-GB"/>
        </w:rPr>
        <w:t xml:space="preserve">so we expect the effect of DEI on willingness to work to be positive, </w:t>
      </w:r>
      <m:oMath>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1</m:t>
            </m:r>
          </m:sub>
        </m:sSub>
        <m:r>
          <w:rPr>
            <w:rFonts w:ascii="Cambria Math" w:hAnsi="Cambria Math"/>
            <w:lang w:val="en-GB"/>
          </w:rPr>
          <m:t>&gt;0</m:t>
        </m:r>
      </m:oMath>
      <w:r>
        <w:rPr>
          <w:rFonts w:eastAsiaTheme="minorEastAsia"/>
          <w:lang w:val="en-GB"/>
        </w:rPr>
        <w:t xml:space="preserve">, which we test with a one-sided test. </w:t>
      </w:r>
      <w:r w:rsidR="00A860CC">
        <w:rPr>
          <w:rFonts w:eastAsiaTheme="minorEastAsia"/>
          <w:lang w:val="en-GB"/>
        </w:rPr>
        <w:t xml:space="preserve">With 400 respondents in the control group and 1200 in total across the three treatment groups, we have 97.33 per cent power to detect .2 of a standard deviation </w:t>
      </w:r>
      <w:r w:rsidR="005F2D48">
        <w:rPr>
          <w:rFonts w:eastAsiaTheme="minorEastAsia"/>
          <w:lang w:val="en-GB"/>
        </w:rPr>
        <w:t xml:space="preserve">in the outcome variable </w:t>
      </w:r>
      <w:r w:rsidR="00A860CC">
        <w:rPr>
          <w:rFonts w:eastAsiaTheme="minorEastAsia"/>
          <w:lang w:val="en-GB"/>
        </w:rPr>
        <w:t>at 5 per cent significance</w:t>
      </w:r>
      <w:r w:rsidR="001206EE">
        <w:rPr>
          <w:rFonts w:eastAsiaTheme="minorEastAsia"/>
          <w:lang w:val="en-GB"/>
        </w:rPr>
        <w:t>, based on means and standard deviations</w:t>
      </w:r>
      <w:r w:rsidR="008E6BC7">
        <w:rPr>
          <w:rFonts w:eastAsiaTheme="minorEastAsia"/>
          <w:lang w:val="en-GB"/>
        </w:rPr>
        <w:t xml:space="preserve"> in the control group</w:t>
      </w:r>
      <w:r w:rsidR="001206EE">
        <w:rPr>
          <w:rFonts w:eastAsiaTheme="minorEastAsia"/>
          <w:lang w:val="en-GB"/>
        </w:rPr>
        <w:t xml:space="preserve"> </w:t>
      </w:r>
      <w:r w:rsidR="008E6BC7">
        <w:rPr>
          <w:rFonts w:eastAsiaTheme="minorEastAsia"/>
          <w:lang w:val="en-GB"/>
        </w:rPr>
        <w:t>in</w:t>
      </w:r>
      <w:r w:rsidR="001206EE">
        <w:rPr>
          <w:rFonts w:eastAsiaTheme="minorEastAsia"/>
          <w:lang w:val="en-GB"/>
        </w:rPr>
        <w:t xml:space="preserve"> the pilot data.</w:t>
      </w:r>
    </w:p>
    <w:p w14:paraId="1D099F28" w14:textId="77777777" w:rsidR="00A860CC" w:rsidRDefault="00A860CC" w:rsidP="00261167">
      <w:pPr>
        <w:jc w:val="both"/>
        <w:rPr>
          <w:rFonts w:eastAsiaTheme="minorEastAsia"/>
          <w:lang w:val="en-GB"/>
        </w:rPr>
      </w:pPr>
    </w:p>
    <w:p w14:paraId="5C8CE779" w14:textId="673E41CF" w:rsidR="00621AD8" w:rsidRDefault="00A860CC" w:rsidP="00261167">
      <w:pPr>
        <w:jc w:val="both"/>
        <w:rPr>
          <w:lang w:val="en-GB"/>
        </w:rPr>
      </w:pPr>
      <w:r>
        <w:rPr>
          <w:rFonts w:eastAsiaTheme="minorEastAsia"/>
          <w:lang w:val="en-GB"/>
        </w:rPr>
        <w:t>T</w:t>
      </w:r>
      <w:r w:rsidR="004C0805">
        <w:rPr>
          <w:lang w:val="en-GB"/>
        </w:rPr>
        <w:t>here is also evidence that these types of company policies can be divisive (Colon</w:t>
      </w:r>
      <w:r w:rsidR="00C659C2">
        <w:rPr>
          <w:lang w:val="en-GB"/>
        </w:rPr>
        <w:t>n</w:t>
      </w:r>
      <w:r w:rsidR="004C0805">
        <w:rPr>
          <w:lang w:val="en-GB"/>
        </w:rPr>
        <w:t>elli et al. 2025), which may be particularly relevant in the case of DEI policies</w:t>
      </w:r>
      <w:r>
        <w:rPr>
          <w:lang w:val="en-GB"/>
        </w:rPr>
        <w:t xml:space="preserve">. </w:t>
      </w:r>
      <w:r w:rsidR="00621AD8">
        <w:rPr>
          <w:lang w:val="en-GB"/>
        </w:rPr>
        <w:t>To further understand political differences in the assessment of the introduction of DEI policies, we expand the specification in equation 1 with an interaction term between the treatments variable and our measure of how politically conservative a respondent is:</w:t>
      </w:r>
    </w:p>
    <w:p w14:paraId="065975CD" w14:textId="77777777" w:rsidR="00621AD8" w:rsidRDefault="00621AD8" w:rsidP="00261167">
      <w:pPr>
        <w:jc w:val="both"/>
        <w:rPr>
          <w:lang w:val="en-GB"/>
        </w:rPr>
      </w:pPr>
    </w:p>
    <w:p w14:paraId="7BCE53FE" w14:textId="15777C38" w:rsidR="00621AD8" w:rsidRDefault="00F05A46" w:rsidP="00621AD8">
      <w:pPr>
        <w:jc w:val="right"/>
        <w:rPr>
          <w:lang w:val="en-GB"/>
        </w:rPr>
      </w:pPr>
      <m:oMath>
        <m:sSubSup>
          <m:sSubSupPr>
            <m:ctrlPr>
              <w:rPr>
                <w:rFonts w:ascii="Cambria Math" w:hAnsi="Cambria Math"/>
                <w:i/>
                <w:lang w:val="en-GB"/>
              </w:rPr>
            </m:ctrlPr>
          </m:sSubSupPr>
          <m:e>
            <m:r>
              <w:rPr>
                <w:rFonts w:ascii="Cambria Math" w:hAnsi="Cambria Math"/>
                <w:lang w:val="en-GB"/>
              </w:rPr>
              <m:t>y</m:t>
            </m:r>
          </m:e>
          <m:sub>
            <m:r>
              <w:rPr>
                <w:rFonts w:ascii="Cambria Math" w:hAnsi="Cambria Math"/>
                <w:lang w:val="en-GB"/>
              </w:rPr>
              <m:t>i</m:t>
            </m:r>
          </m:sub>
          <m:sup>
            <m:r>
              <w:rPr>
                <w:rFonts w:ascii="Cambria Math" w:hAnsi="Cambria Math"/>
                <w:lang w:val="en-GB"/>
              </w:rPr>
              <m:t>1</m:t>
            </m:r>
          </m:sup>
        </m:sSubSup>
        <m:r>
          <w:rPr>
            <w:rFonts w:ascii="Cambria Math" w:hAnsi="Cambria Math"/>
            <w:lang w:val="en-GB"/>
          </w:rPr>
          <m:t>=α+</m:t>
        </m:r>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1</m:t>
            </m:r>
          </m:sub>
        </m:sSub>
        <m:sSub>
          <m:sSubPr>
            <m:ctrlPr>
              <w:rPr>
                <w:rFonts w:ascii="Cambria Math" w:hAnsi="Cambria Math"/>
                <w:i/>
                <w:lang w:val="en-GB"/>
              </w:rPr>
            </m:ctrlPr>
          </m:sSubPr>
          <m:e>
            <m:r>
              <w:rPr>
                <w:rFonts w:ascii="Cambria Math" w:hAnsi="Cambria Math"/>
                <w:lang w:val="en-GB"/>
              </w:rPr>
              <m:t>T123</m:t>
            </m:r>
          </m:e>
          <m:sub>
            <m:r>
              <w:rPr>
                <w:rFonts w:ascii="Cambria Math" w:hAnsi="Cambria Math"/>
                <w:lang w:val="en-GB"/>
              </w:rPr>
              <m:t>i</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2</m:t>
            </m:r>
          </m:sub>
        </m:sSub>
        <m:sSub>
          <m:sSubPr>
            <m:ctrlPr>
              <w:rPr>
                <w:rFonts w:ascii="Cambria Math" w:hAnsi="Cambria Math"/>
                <w:i/>
                <w:lang w:val="en-GB"/>
              </w:rPr>
            </m:ctrlPr>
          </m:sSubPr>
          <m:e>
            <m:r>
              <w:rPr>
                <w:rFonts w:ascii="Cambria Math" w:hAnsi="Cambria Math"/>
                <w:lang w:val="en-GB"/>
              </w:rPr>
              <m:t>Conservative</m:t>
            </m:r>
          </m:e>
          <m:sub>
            <m:r>
              <w:rPr>
                <w:rFonts w:ascii="Cambria Math" w:hAnsi="Cambria Math"/>
                <w:lang w:val="en-GB"/>
              </w:rPr>
              <m:t>i</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3</m:t>
            </m:r>
          </m:sub>
        </m:sSub>
        <m:sSub>
          <m:sSubPr>
            <m:ctrlPr>
              <w:rPr>
                <w:rFonts w:ascii="Cambria Math" w:hAnsi="Cambria Math"/>
                <w:i/>
                <w:lang w:val="en-GB"/>
              </w:rPr>
            </m:ctrlPr>
          </m:sSubPr>
          <m:e>
            <m:r>
              <w:rPr>
                <w:rFonts w:ascii="Cambria Math" w:hAnsi="Cambria Math"/>
                <w:lang w:val="en-GB"/>
              </w:rPr>
              <m:t>T123</m:t>
            </m:r>
          </m:e>
          <m:sub>
            <m:r>
              <w:rPr>
                <w:rFonts w:ascii="Cambria Math" w:hAnsi="Cambria Math"/>
                <w:lang w:val="en-GB"/>
              </w:rPr>
              <m:t>i</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Conservative</m:t>
            </m:r>
          </m:e>
          <m:sub>
            <m:r>
              <w:rPr>
                <w:rFonts w:ascii="Cambria Math" w:hAnsi="Cambria Math"/>
                <w:lang w:val="en-GB"/>
              </w:rPr>
              <m:t>i</m:t>
            </m:r>
          </m:sub>
        </m:sSub>
        <m:r>
          <w:rPr>
            <w:rFonts w:ascii="Cambria Math" w:hAnsi="Cambria Math"/>
            <w:lang w:val="en-GB"/>
          </w:rPr>
          <m:t>+</m:t>
        </m:r>
        <m:sSub>
          <m:sSubPr>
            <m:ctrlPr>
              <w:rPr>
                <w:rFonts w:ascii="Cambria Math" w:hAnsi="Cambria Math"/>
                <w:b/>
                <w:bCs/>
                <w:i/>
                <w:lang w:val="en-GB"/>
              </w:rPr>
            </m:ctrlPr>
          </m:sSubPr>
          <m:e>
            <m:r>
              <m:rPr>
                <m:sty m:val="bi"/>
              </m:rPr>
              <w:rPr>
                <w:rFonts w:ascii="Cambria Math" w:hAnsi="Cambria Math"/>
                <w:lang w:val="en-GB"/>
              </w:rPr>
              <m:t>X</m:t>
            </m:r>
          </m:e>
          <m:sub>
            <m:r>
              <m:rPr>
                <m:sty m:val="bi"/>
              </m:rPr>
              <w:rPr>
                <w:rFonts w:ascii="Cambria Math" w:hAnsi="Cambria Math"/>
                <w:lang w:val="en-GB"/>
              </w:rPr>
              <m:t>i</m:t>
            </m:r>
          </m:sub>
        </m:sSub>
        <m:r>
          <m:rPr>
            <m:sty m:val="bi"/>
          </m:rPr>
          <w:rPr>
            <w:rFonts w:ascii="Cambria Math" w:hAnsi="Cambria Math"/>
            <w:lang w:val="en-GB"/>
          </w:rPr>
          <m:t>γ</m:t>
        </m:r>
        <m:r>
          <w:rPr>
            <w:rFonts w:ascii="Cambria Math" w:hAnsi="Cambria Math"/>
            <w:lang w:val="en-GB"/>
          </w:rPr>
          <m:t>+</m:t>
        </m:r>
        <m:sSub>
          <m:sSubPr>
            <m:ctrlPr>
              <w:rPr>
                <w:rFonts w:ascii="Cambria Math" w:hAnsi="Cambria Math"/>
                <w:i/>
                <w:lang w:val="en-GB"/>
              </w:rPr>
            </m:ctrlPr>
          </m:sSubPr>
          <m:e>
            <m:r>
              <w:rPr>
                <w:rFonts w:ascii="Cambria Math" w:hAnsi="Cambria Math"/>
                <w:lang w:val="en-GB"/>
              </w:rPr>
              <m:t>ε</m:t>
            </m:r>
          </m:e>
          <m:sub>
            <m:r>
              <w:rPr>
                <w:rFonts w:ascii="Cambria Math" w:hAnsi="Cambria Math"/>
                <w:lang w:val="en-GB"/>
              </w:rPr>
              <m:t>i</m:t>
            </m:r>
          </m:sub>
        </m:sSub>
      </m:oMath>
      <w:r w:rsidR="00621AD8">
        <w:rPr>
          <w:rFonts w:eastAsiaTheme="minorEastAsia"/>
          <w:lang w:val="en-GB"/>
        </w:rPr>
        <w:tab/>
      </w:r>
      <w:r w:rsidR="00621AD8">
        <w:rPr>
          <w:rFonts w:eastAsiaTheme="minorEastAsia"/>
          <w:lang w:val="en-GB"/>
        </w:rPr>
        <w:tab/>
        <w:t>(</w:t>
      </w:r>
      <w:r w:rsidR="002A7B3B">
        <w:rPr>
          <w:rFonts w:eastAsiaTheme="minorEastAsia"/>
          <w:lang w:val="en-GB"/>
        </w:rPr>
        <w:t>3</w:t>
      </w:r>
      <w:r w:rsidR="00621AD8">
        <w:rPr>
          <w:rFonts w:eastAsiaTheme="minorEastAsia"/>
          <w:lang w:val="en-GB"/>
        </w:rPr>
        <w:t>)</w:t>
      </w:r>
    </w:p>
    <w:p w14:paraId="411A798F" w14:textId="77777777" w:rsidR="00621AD8" w:rsidRDefault="00621AD8" w:rsidP="00261167">
      <w:pPr>
        <w:jc w:val="both"/>
        <w:rPr>
          <w:lang w:val="en-GB"/>
        </w:rPr>
      </w:pPr>
    </w:p>
    <w:p w14:paraId="2509B6C4" w14:textId="1DB7D85F" w:rsidR="00621AD8" w:rsidRDefault="00621AD8" w:rsidP="00261167">
      <w:pPr>
        <w:jc w:val="both"/>
        <w:rPr>
          <w:lang w:val="en-GB"/>
        </w:rPr>
      </w:pPr>
      <w:r>
        <w:rPr>
          <w:lang w:val="en-GB"/>
        </w:rPr>
        <w:t xml:space="preserve">We expect </w:t>
      </w:r>
      <m:oMath>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1</m:t>
            </m:r>
          </m:sub>
        </m:sSub>
      </m:oMath>
      <w:r>
        <w:rPr>
          <w:rFonts w:eastAsiaTheme="minorEastAsia"/>
          <w:lang w:val="en-GB"/>
        </w:rPr>
        <w:t xml:space="preserve"> to be positive, and </w:t>
      </w:r>
      <m:oMath>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3</m:t>
            </m:r>
          </m:sub>
        </m:sSub>
      </m:oMath>
      <w:r>
        <w:rPr>
          <w:rFonts w:eastAsiaTheme="minorEastAsia"/>
          <w:lang w:val="en-GB"/>
        </w:rPr>
        <w:t xml:space="preserve"> to be negative, both of which we test through one-sided test</w:t>
      </w:r>
      <w:r w:rsidR="00D971C7">
        <w:rPr>
          <w:rFonts w:eastAsiaTheme="minorEastAsia"/>
          <w:lang w:val="en-GB"/>
        </w:rPr>
        <w:t>s</w:t>
      </w:r>
      <w:r>
        <w:rPr>
          <w:rFonts w:eastAsiaTheme="minorEastAsia"/>
          <w:lang w:val="en-GB"/>
        </w:rPr>
        <w:t>.</w:t>
      </w:r>
    </w:p>
    <w:p w14:paraId="1CF42294" w14:textId="77777777" w:rsidR="00621AD8" w:rsidRDefault="00621AD8" w:rsidP="00261167">
      <w:pPr>
        <w:jc w:val="both"/>
        <w:rPr>
          <w:lang w:val="en-GB"/>
        </w:rPr>
      </w:pPr>
    </w:p>
    <w:p w14:paraId="3D15FE76" w14:textId="66AF5A8B" w:rsidR="009729EA" w:rsidRPr="003A5D94" w:rsidRDefault="009729EA" w:rsidP="009729EA">
      <w:pPr>
        <w:jc w:val="both"/>
        <w:rPr>
          <w:i/>
          <w:iCs/>
          <w:lang w:val="en-GB"/>
        </w:rPr>
      </w:pPr>
      <w:r w:rsidRPr="003A5D94">
        <w:rPr>
          <w:i/>
          <w:iCs/>
          <w:lang w:val="en-GB"/>
        </w:rPr>
        <w:t>4.</w:t>
      </w:r>
      <w:r>
        <w:rPr>
          <w:i/>
          <w:iCs/>
          <w:lang w:val="en-GB"/>
        </w:rPr>
        <w:t>2</w:t>
      </w:r>
      <w:r w:rsidRPr="003A5D94">
        <w:rPr>
          <w:i/>
          <w:iCs/>
          <w:lang w:val="en-GB"/>
        </w:rPr>
        <w:t xml:space="preserve"> Effects of a DEI programme</w:t>
      </w:r>
      <w:r w:rsidR="00964F06">
        <w:rPr>
          <w:i/>
          <w:iCs/>
          <w:lang w:val="en-GB"/>
        </w:rPr>
        <w:t xml:space="preserve"> reversal</w:t>
      </w:r>
    </w:p>
    <w:p w14:paraId="55DED325" w14:textId="00CBB538" w:rsidR="003A5D94" w:rsidRDefault="002A7B3B" w:rsidP="00261167">
      <w:pPr>
        <w:jc w:val="both"/>
        <w:rPr>
          <w:lang w:val="en-GB"/>
        </w:rPr>
      </w:pPr>
      <w:r>
        <w:rPr>
          <w:lang w:val="en-GB"/>
        </w:rPr>
        <w:t>Our second hypothesis is the following:</w:t>
      </w:r>
    </w:p>
    <w:p w14:paraId="21BAEE82" w14:textId="77777777" w:rsidR="002A7B3B" w:rsidRDefault="002A7B3B" w:rsidP="00261167">
      <w:pPr>
        <w:jc w:val="both"/>
        <w:rPr>
          <w:lang w:val="en-GB"/>
        </w:rPr>
      </w:pPr>
    </w:p>
    <w:p w14:paraId="5039602E" w14:textId="2636AA92" w:rsidR="002A7B3B" w:rsidRPr="002A7B3B" w:rsidRDefault="002A7B3B" w:rsidP="00261167">
      <w:pPr>
        <w:jc w:val="both"/>
        <w:rPr>
          <w:i/>
          <w:iCs/>
          <w:lang w:val="en-GB"/>
        </w:rPr>
      </w:pPr>
      <w:r w:rsidRPr="002A7B3B">
        <w:rPr>
          <w:i/>
          <w:iCs/>
          <w:lang w:val="en-GB"/>
        </w:rPr>
        <w:t xml:space="preserve">Hypothesis 2: A reversal of a DEI programme </w:t>
      </w:r>
      <w:r w:rsidR="005F2D48">
        <w:rPr>
          <w:i/>
          <w:iCs/>
          <w:lang w:val="en-GB"/>
        </w:rPr>
        <w:t xml:space="preserve">for economic reasons </w:t>
      </w:r>
      <w:r w:rsidRPr="002A7B3B">
        <w:rPr>
          <w:i/>
          <w:iCs/>
          <w:lang w:val="en-GB"/>
        </w:rPr>
        <w:t>reduces the willingness to work for a company.</w:t>
      </w:r>
    </w:p>
    <w:p w14:paraId="540B5BC8" w14:textId="77777777" w:rsidR="002A7B3B" w:rsidRDefault="002A7B3B" w:rsidP="00261167">
      <w:pPr>
        <w:jc w:val="both"/>
        <w:rPr>
          <w:lang w:val="en-GB"/>
        </w:rPr>
      </w:pPr>
    </w:p>
    <w:p w14:paraId="4DC24B36" w14:textId="6A5D28A9" w:rsidR="00A860CC" w:rsidRDefault="00A860CC" w:rsidP="00A860CC">
      <w:pPr>
        <w:jc w:val="both"/>
        <w:rPr>
          <w:rFonts w:eastAsiaTheme="minorEastAsia"/>
          <w:lang w:val="en-GB"/>
        </w:rPr>
      </w:pPr>
      <w:r>
        <w:rPr>
          <w:rFonts w:eastAsiaTheme="minorEastAsia"/>
          <w:lang w:val="en-GB"/>
        </w:rPr>
        <w:t xml:space="preserve">To address this, we use OLS (with robust </w:t>
      </w:r>
      <w:r w:rsidR="00C60720">
        <w:rPr>
          <w:rFonts w:eastAsiaTheme="minorEastAsia"/>
          <w:lang w:val="en-GB"/>
        </w:rPr>
        <w:t xml:space="preserve">standard </w:t>
      </w:r>
      <w:r>
        <w:rPr>
          <w:rFonts w:eastAsiaTheme="minorEastAsia"/>
          <w:lang w:val="en-GB"/>
        </w:rPr>
        <w:t>errors) to estimate the following specification:</w:t>
      </w:r>
    </w:p>
    <w:p w14:paraId="31CC4357" w14:textId="77777777" w:rsidR="00A860CC" w:rsidRDefault="00A860CC" w:rsidP="00A860CC">
      <w:pPr>
        <w:jc w:val="both"/>
        <w:rPr>
          <w:rFonts w:eastAsiaTheme="minorEastAsia"/>
          <w:lang w:val="en-GB"/>
        </w:rPr>
      </w:pPr>
    </w:p>
    <w:p w14:paraId="04402997" w14:textId="5698CA9C" w:rsidR="00A860CC" w:rsidRDefault="00F05A46" w:rsidP="00A860CC">
      <w:pPr>
        <w:jc w:val="right"/>
        <w:rPr>
          <w:lang w:val="en-GB"/>
        </w:rPr>
      </w:pPr>
      <m:oMath>
        <m:sSubSup>
          <m:sSubSupPr>
            <m:ctrlPr>
              <w:rPr>
                <w:rFonts w:ascii="Cambria Math" w:hAnsi="Cambria Math"/>
                <w:i/>
                <w:lang w:val="en-GB"/>
              </w:rPr>
            </m:ctrlPr>
          </m:sSubSupPr>
          <m:e>
            <m:r>
              <w:rPr>
                <w:rFonts w:ascii="Cambria Math" w:hAnsi="Cambria Math"/>
                <w:lang w:val="en-GB"/>
              </w:rPr>
              <m:t>y</m:t>
            </m:r>
          </m:e>
          <m:sub>
            <m:r>
              <w:rPr>
                <w:rFonts w:ascii="Cambria Math" w:hAnsi="Cambria Math"/>
                <w:lang w:val="en-GB"/>
              </w:rPr>
              <m:t>i</m:t>
            </m:r>
          </m:sub>
          <m:sup>
            <m:r>
              <w:rPr>
                <w:rFonts w:ascii="Cambria Math" w:hAnsi="Cambria Math"/>
                <w:lang w:val="en-GB"/>
              </w:rPr>
              <m:t>2</m:t>
            </m:r>
          </m:sup>
        </m:sSubSup>
        <m:r>
          <w:rPr>
            <w:rFonts w:ascii="Cambria Math" w:hAnsi="Cambria Math"/>
            <w:lang w:val="en-GB"/>
          </w:rPr>
          <m:t>=α+</m:t>
        </m:r>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1</m:t>
            </m:r>
          </m:sub>
        </m:sSub>
        <m:sSub>
          <m:sSubPr>
            <m:ctrlPr>
              <w:rPr>
                <w:rFonts w:ascii="Cambria Math" w:hAnsi="Cambria Math"/>
                <w:i/>
                <w:lang w:val="en-GB"/>
              </w:rPr>
            </m:ctrlPr>
          </m:sSubPr>
          <m:e>
            <m:r>
              <w:rPr>
                <w:rFonts w:ascii="Cambria Math" w:hAnsi="Cambria Math"/>
                <w:lang w:val="en-GB"/>
              </w:rPr>
              <m:t>T1</m:t>
            </m:r>
          </m:e>
          <m:sub>
            <m:r>
              <w:rPr>
                <w:rFonts w:ascii="Cambria Math" w:hAnsi="Cambria Math"/>
                <w:lang w:val="en-GB"/>
              </w:rPr>
              <m:t>i</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2</m:t>
            </m:r>
          </m:sub>
        </m:sSub>
        <m:sSub>
          <m:sSubPr>
            <m:ctrlPr>
              <w:rPr>
                <w:rFonts w:ascii="Cambria Math" w:hAnsi="Cambria Math"/>
                <w:i/>
                <w:lang w:val="en-GB"/>
              </w:rPr>
            </m:ctrlPr>
          </m:sSubPr>
          <m:e>
            <m:r>
              <w:rPr>
                <w:rFonts w:ascii="Cambria Math" w:hAnsi="Cambria Math"/>
                <w:lang w:val="en-GB"/>
              </w:rPr>
              <m:t>T2</m:t>
            </m:r>
          </m:e>
          <m:sub>
            <m:r>
              <w:rPr>
                <w:rFonts w:ascii="Cambria Math" w:hAnsi="Cambria Math"/>
                <w:lang w:val="en-GB"/>
              </w:rPr>
              <m:t>i</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3</m:t>
            </m:r>
          </m:sub>
        </m:sSub>
        <m:sSub>
          <m:sSubPr>
            <m:ctrlPr>
              <w:rPr>
                <w:rFonts w:ascii="Cambria Math" w:hAnsi="Cambria Math"/>
                <w:i/>
                <w:lang w:val="en-GB"/>
              </w:rPr>
            </m:ctrlPr>
          </m:sSubPr>
          <m:e>
            <m:r>
              <w:rPr>
                <w:rFonts w:ascii="Cambria Math" w:hAnsi="Cambria Math"/>
                <w:lang w:val="en-GB"/>
              </w:rPr>
              <m:t>T3</m:t>
            </m:r>
          </m:e>
          <m:sub>
            <m:r>
              <w:rPr>
                <w:rFonts w:ascii="Cambria Math" w:hAnsi="Cambria Math"/>
                <w:lang w:val="en-GB"/>
              </w:rPr>
              <m:t>i</m:t>
            </m:r>
          </m:sub>
        </m:sSub>
        <m:r>
          <w:rPr>
            <w:rFonts w:ascii="Cambria Math" w:hAnsi="Cambria Math"/>
            <w:lang w:val="en-GB"/>
          </w:rPr>
          <m:t>+</m:t>
        </m:r>
        <m:sSub>
          <m:sSubPr>
            <m:ctrlPr>
              <w:rPr>
                <w:rFonts w:ascii="Cambria Math" w:hAnsi="Cambria Math"/>
                <w:b/>
                <w:bCs/>
                <w:i/>
                <w:lang w:val="en-GB"/>
              </w:rPr>
            </m:ctrlPr>
          </m:sSubPr>
          <m:e>
            <m:r>
              <m:rPr>
                <m:sty m:val="bi"/>
              </m:rPr>
              <w:rPr>
                <w:rFonts w:ascii="Cambria Math" w:hAnsi="Cambria Math"/>
                <w:lang w:val="en-GB"/>
              </w:rPr>
              <m:t>X</m:t>
            </m:r>
          </m:e>
          <m:sub>
            <m:r>
              <m:rPr>
                <m:sty m:val="bi"/>
              </m:rPr>
              <w:rPr>
                <w:rFonts w:ascii="Cambria Math" w:hAnsi="Cambria Math"/>
                <w:lang w:val="en-GB"/>
              </w:rPr>
              <m:t>i</m:t>
            </m:r>
          </m:sub>
        </m:sSub>
        <m:r>
          <m:rPr>
            <m:sty m:val="bi"/>
          </m:rPr>
          <w:rPr>
            <w:rFonts w:ascii="Cambria Math" w:hAnsi="Cambria Math"/>
            <w:lang w:val="en-GB"/>
          </w:rPr>
          <m:t>γ</m:t>
        </m:r>
        <m:r>
          <w:rPr>
            <w:rFonts w:ascii="Cambria Math" w:hAnsi="Cambria Math"/>
            <w:lang w:val="en-GB"/>
          </w:rPr>
          <m:t>+</m:t>
        </m:r>
        <m:sSub>
          <m:sSubPr>
            <m:ctrlPr>
              <w:rPr>
                <w:rFonts w:ascii="Cambria Math" w:hAnsi="Cambria Math"/>
                <w:i/>
                <w:lang w:val="en-GB"/>
              </w:rPr>
            </m:ctrlPr>
          </m:sSubPr>
          <m:e>
            <m:r>
              <w:rPr>
                <w:rFonts w:ascii="Cambria Math" w:hAnsi="Cambria Math"/>
                <w:lang w:val="en-GB"/>
              </w:rPr>
              <m:t>ε</m:t>
            </m:r>
          </m:e>
          <m:sub>
            <m:r>
              <w:rPr>
                <w:rFonts w:ascii="Cambria Math" w:hAnsi="Cambria Math"/>
                <w:lang w:val="en-GB"/>
              </w:rPr>
              <m:t>i</m:t>
            </m:r>
          </m:sub>
        </m:sSub>
      </m:oMath>
      <w:r w:rsidR="00A860CC">
        <w:rPr>
          <w:rFonts w:eastAsiaTheme="minorEastAsia"/>
          <w:lang w:val="en-GB"/>
        </w:rPr>
        <w:tab/>
      </w:r>
      <w:r w:rsidR="00A860CC">
        <w:rPr>
          <w:rFonts w:eastAsiaTheme="minorEastAsia"/>
          <w:lang w:val="en-GB"/>
        </w:rPr>
        <w:tab/>
      </w:r>
      <w:r w:rsidR="00A860CC">
        <w:rPr>
          <w:rFonts w:eastAsiaTheme="minorEastAsia"/>
          <w:lang w:val="en-GB"/>
        </w:rPr>
        <w:tab/>
      </w:r>
      <w:r w:rsidR="00A860CC">
        <w:rPr>
          <w:rFonts w:eastAsiaTheme="minorEastAsia"/>
          <w:lang w:val="en-GB"/>
        </w:rPr>
        <w:tab/>
      </w:r>
      <w:r w:rsidR="00A860CC">
        <w:rPr>
          <w:rFonts w:eastAsiaTheme="minorEastAsia"/>
          <w:lang w:val="en-GB"/>
        </w:rPr>
        <w:tab/>
      </w:r>
      <w:r w:rsidR="00A860CC">
        <w:rPr>
          <w:rFonts w:eastAsiaTheme="minorEastAsia"/>
          <w:lang w:val="en-GB"/>
        </w:rPr>
        <w:tab/>
      </w:r>
      <w:r w:rsidR="00A860CC">
        <w:rPr>
          <w:rFonts w:eastAsiaTheme="minorEastAsia"/>
          <w:lang w:val="en-GB"/>
        </w:rPr>
        <w:tab/>
        <w:t>(</w:t>
      </w:r>
      <w:r w:rsidR="00A25B3B">
        <w:rPr>
          <w:rFonts w:eastAsiaTheme="minorEastAsia"/>
          <w:lang w:val="en-GB"/>
        </w:rPr>
        <w:t>4</w:t>
      </w:r>
      <w:r w:rsidR="00A860CC">
        <w:rPr>
          <w:rFonts w:eastAsiaTheme="minorEastAsia"/>
          <w:lang w:val="en-GB"/>
        </w:rPr>
        <w:t>)</w:t>
      </w:r>
    </w:p>
    <w:p w14:paraId="2C883630" w14:textId="77777777" w:rsidR="00A860CC" w:rsidRDefault="00A860CC" w:rsidP="00A860CC">
      <w:pPr>
        <w:jc w:val="both"/>
        <w:rPr>
          <w:lang w:val="en-GB"/>
        </w:rPr>
      </w:pPr>
    </w:p>
    <w:p w14:paraId="7ACE9461" w14:textId="0E7B4741" w:rsidR="00A860CC" w:rsidRDefault="00A860CC" w:rsidP="00A860CC">
      <w:pPr>
        <w:jc w:val="both"/>
        <w:rPr>
          <w:lang w:val="en-GB"/>
        </w:rPr>
      </w:pPr>
      <w:r>
        <w:rPr>
          <w:lang w:val="en-GB"/>
        </w:rPr>
        <w:t xml:space="preserve">where </w:t>
      </w:r>
      <m:oMath>
        <m:sSubSup>
          <m:sSubSupPr>
            <m:ctrlPr>
              <w:rPr>
                <w:rFonts w:ascii="Cambria Math" w:hAnsi="Cambria Math"/>
                <w:i/>
                <w:lang w:val="en-GB"/>
              </w:rPr>
            </m:ctrlPr>
          </m:sSubSupPr>
          <m:e>
            <m:r>
              <w:rPr>
                <w:rFonts w:ascii="Cambria Math" w:hAnsi="Cambria Math"/>
                <w:lang w:val="en-GB"/>
              </w:rPr>
              <m:t>y</m:t>
            </m:r>
          </m:e>
          <m:sub>
            <m:r>
              <w:rPr>
                <w:rFonts w:ascii="Cambria Math" w:hAnsi="Cambria Math"/>
                <w:lang w:val="en-GB"/>
              </w:rPr>
              <m:t>i</m:t>
            </m:r>
          </m:sub>
          <m:sup>
            <m:r>
              <w:rPr>
                <w:rFonts w:ascii="Cambria Math" w:hAnsi="Cambria Math"/>
                <w:lang w:val="en-GB"/>
              </w:rPr>
              <m:t>2</m:t>
            </m:r>
          </m:sup>
        </m:sSubSup>
      </m:oMath>
      <w:r>
        <w:rPr>
          <w:lang w:val="en-GB"/>
        </w:rPr>
        <w:t xml:space="preserve"> is the response of respondent </w:t>
      </w:r>
      <w:r>
        <w:rPr>
          <w:i/>
          <w:iCs/>
          <w:lang w:val="en-GB"/>
        </w:rPr>
        <w:t>i</w:t>
      </w:r>
      <w:r>
        <w:rPr>
          <w:lang w:val="en-GB"/>
        </w:rPr>
        <w:t xml:space="preserve"> to the willingness to work question after the second vignette, </w:t>
      </w:r>
      <m:oMath>
        <m:sSub>
          <m:sSubPr>
            <m:ctrlPr>
              <w:rPr>
                <w:rFonts w:ascii="Cambria Math" w:hAnsi="Cambria Math"/>
                <w:i/>
                <w:lang w:val="en-GB"/>
              </w:rPr>
            </m:ctrlPr>
          </m:sSubPr>
          <m:e>
            <m:r>
              <w:rPr>
                <w:rFonts w:ascii="Cambria Math" w:hAnsi="Cambria Math"/>
                <w:lang w:val="en-GB"/>
              </w:rPr>
              <m:t>T1</m:t>
            </m:r>
          </m:e>
          <m:sub>
            <m:r>
              <w:rPr>
                <w:rFonts w:ascii="Cambria Math" w:hAnsi="Cambria Math"/>
                <w:lang w:val="en-GB"/>
              </w:rPr>
              <m:t>i</m:t>
            </m:r>
          </m:sub>
        </m:sSub>
      </m:oMath>
      <w:r>
        <w:rPr>
          <w:rFonts w:eastAsiaTheme="minorEastAsia"/>
          <w:lang w:val="en-GB"/>
        </w:rPr>
        <w:t xml:space="preserve">, </w:t>
      </w:r>
      <m:oMath>
        <m:sSub>
          <m:sSubPr>
            <m:ctrlPr>
              <w:rPr>
                <w:rFonts w:ascii="Cambria Math" w:hAnsi="Cambria Math"/>
                <w:i/>
                <w:lang w:val="en-GB"/>
              </w:rPr>
            </m:ctrlPr>
          </m:sSubPr>
          <m:e>
            <m:r>
              <w:rPr>
                <w:rFonts w:ascii="Cambria Math" w:hAnsi="Cambria Math"/>
                <w:lang w:val="en-GB"/>
              </w:rPr>
              <m:t>T2</m:t>
            </m:r>
          </m:e>
          <m:sub>
            <m:r>
              <w:rPr>
                <w:rFonts w:ascii="Cambria Math" w:hAnsi="Cambria Math"/>
                <w:lang w:val="en-GB"/>
              </w:rPr>
              <m:t>i</m:t>
            </m:r>
          </m:sub>
        </m:sSub>
      </m:oMath>
      <w:r>
        <w:rPr>
          <w:rFonts w:eastAsiaTheme="minorEastAsia"/>
          <w:lang w:val="en-GB"/>
        </w:rPr>
        <w:t xml:space="preserve"> and </w:t>
      </w:r>
      <m:oMath>
        <m:sSub>
          <m:sSubPr>
            <m:ctrlPr>
              <w:rPr>
                <w:rFonts w:ascii="Cambria Math" w:hAnsi="Cambria Math"/>
                <w:i/>
                <w:lang w:val="en-GB"/>
              </w:rPr>
            </m:ctrlPr>
          </m:sSubPr>
          <m:e>
            <m:r>
              <w:rPr>
                <w:rFonts w:ascii="Cambria Math" w:hAnsi="Cambria Math"/>
                <w:lang w:val="en-GB"/>
              </w:rPr>
              <m:t>T3</m:t>
            </m:r>
          </m:e>
          <m:sub>
            <m:r>
              <w:rPr>
                <w:rFonts w:ascii="Cambria Math" w:hAnsi="Cambria Math"/>
                <w:lang w:val="en-GB"/>
              </w:rPr>
              <m:t>i</m:t>
            </m:r>
          </m:sub>
        </m:sSub>
      </m:oMath>
      <w:r>
        <w:rPr>
          <w:rFonts w:eastAsiaTheme="minorEastAsia"/>
          <w:lang w:val="en-GB"/>
        </w:rPr>
        <w:t xml:space="preserve"> are indicator variables for whether respondent </w:t>
      </w:r>
      <w:r>
        <w:rPr>
          <w:rFonts w:eastAsiaTheme="minorEastAsia"/>
          <w:i/>
          <w:iCs/>
          <w:lang w:val="en-GB"/>
        </w:rPr>
        <w:t>i</w:t>
      </w:r>
      <w:r>
        <w:rPr>
          <w:rFonts w:eastAsiaTheme="minorEastAsia"/>
          <w:lang w:val="en-GB"/>
        </w:rPr>
        <w:t xml:space="preserve"> is in condition T1, T2 or T3</w:t>
      </w:r>
      <w:r w:rsidR="008E6BC7">
        <w:rPr>
          <w:rFonts w:eastAsiaTheme="minorEastAsia"/>
          <w:lang w:val="en-GB"/>
        </w:rPr>
        <w:t>,</w:t>
      </w:r>
      <w:r>
        <w:rPr>
          <w:rFonts w:eastAsiaTheme="minorEastAsia"/>
          <w:lang w:val="en-GB"/>
        </w:rPr>
        <w:t xml:space="preserve"> respectively</w:t>
      </w:r>
      <w:r>
        <w:rPr>
          <w:lang w:val="en-GB"/>
        </w:rPr>
        <w:t xml:space="preserve">, and </w:t>
      </w:r>
      <m:oMath>
        <m:sSub>
          <m:sSubPr>
            <m:ctrlPr>
              <w:rPr>
                <w:rFonts w:ascii="Cambria Math" w:hAnsi="Cambria Math"/>
                <w:b/>
                <w:bCs/>
                <w:i/>
                <w:lang w:val="en-GB"/>
              </w:rPr>
            </m:ctrlPr>
          </m:sSubPr>
          <m:e>
            <m:r>
              <m:rPr>
                <m:sty m:val="bi"/>
              </m:rPr>
              <w:rPr>
                <w:rFonts w:ascii="Cambria Math" w:hAnsi="Cambria Math"/>
                <w:lang w:val="en-GB"/>
              </w:rPr>
              <m:t>X</m:t>
            </m:r>
          </m:e>
          <m:sub>
            <m:r>
              <m:rPr>
                <m:sty m:val="bi"/>
              </m:rPr>
              <w:rPr>
                <w:rFonts w:ascii="Cambria Math" w:hAnsi="Cambria Math"/>
                <w:lang w:val="en-GB"/>
              </w:rPr>
              <m:t>i</m:t>
            </m:r>
          </m:sub>
        </m:sSub>
      </m:oMath>
      <w:r>
        <w:rPr>
          <w:rFonts w:eastAsiaTheme="minorEastAsia"/>
          <w:lang w:val="en-GB"/>
        </w:rPr>
        <w:t xml:space="preserve"> is a vector of the </w:t>
      </w:r>
      <w:r w:rsidR="00C60720">
        <w:rPr>
          <w:rFonts w:eastAsiaTheme="minorEastAsia"/>
          <w:lang w:val="en-GB"/>
        </w:rPr>
        <w:t xml:space="preserve">six </w:t>
      </w:r>
      <w:r>
        <w:rPr>
          <w:rFonts w:eastAsiaTheme="minorEastAsia"/>
          <w:lang w:val="en-GB"/>
        </w:rPr>
        <w:t>covariates age, gender, education</w:t>
      </w:r>
      <w:r w:rsidR="00C60720">
        <w:rPr>
          <w:rFonts w:eastAsiaTheme="minorEastAsia"/>
          <w:lang w:val="en-GB"/>
        </w:rPr>
        <w:t>,</w:t>
      </w:r>
      <w:r>
        <w:rPr>
          <w:rFonts w:eastAsiaTheme="minorEastAsia"/>
          <w:lang w:val="en-GB"/>
        </w:rPr>
        <w:t xml:space="preserve"> </w:t>
      </w:r>
      <w:r w:rsidR="00C60720">
        <w:rPr>
          <w:rFonts w:eastAsiaTheme="minorEastAsia"/>
          <w:lang w:val="en-GB"/>
        </w:rPr>
        <w:t>work experience, social background and number of daughters</w:t>
      </w:r>
      <w:r w:rsidR="00C60720" w:rsidDel="00C60720">
        <w:rPr>
          <w:rFonts w:eastAsiaTheme="minorEastAsia"/>
          <w:lang w:val="en-GB"/>
        </w:rPr>
        <w:t xml:space="preserve"> </w:t>
      </w:r>
      <w:r>
        <w:rPr>
          <w:rFonts w:eastAsiaTheme="minorEastAsia"/>
          <w:lang w:val="en-GB"/>
        </w:rPr>
        <w:t>.</w:t>
      </w:r>
    </w:p>
    <w:p w14:paraId="32DE3870" w14:textId="77777777" w:rsidR="002A7B3B" w:rsidRDefault="002A7B3B" w:rsidP="002A7B3B">
      <w:pPr>
        <w:jc w:val="both"/>
        <w:rPr>
          <w:rFonts w:eastAsiaTheme="minorEastAsia"/>
          <w:lang w:val="en-GB"/>
        </w:rPr>
      </w:pPr>
    </w:p>
    <w:p w14:paraId="22304550" w14:textId="67EF0416" w:rsidR="002A7B3B" w:rsidRDefault="002A7B3B" w:rsidP="002A7B3B">
      <w:pPr>
        <w:jc w:val="both"/>
        <w:rPr>
          <w:rFonts w:eastAsiaTheme="minorEastAsia"/>
          <w:lang w:val="en-GB"/>
        </w:rPr>
      </w:pPr>
      <w:r>
        <w:rPr>
          <w:rFonts w:eastAsiaTheme="minorEastAsia"/>
          <w:lang w:val="en-GB"/>
        </w:rPr>
        <w:t xml:space="preserve">Hypothesis 2 can be formally stated </w:t>
      </w:r>
      <w:r w:rsidR="00603174">
        <w:rPr>
          <w:rFonts w:eastAsiaTheme="minorEastAsia"/>
          <w:lang w:val="en-GB"/>
        </w:rPr>
        <w:t xml:space="preserve">in null form </w:t>
      </w:r>
      <w:r>
        <w:rPr>
          <w:rFonts w:eastAsiaTheme="minorEastAsia"/>
          <w:lang w:val="en-GB"/>
        </w:rPr>
        <w:t>as:</w:t>
      </w:r>
    </w:p>
    <w:p w14:paraId="32738646" w14:textId="77777777" w:rsidR="002A7B3B" w:rsidRDefault="002A7B3B" w:rsidP="002A7B3B">
      <w:pPr>
        <w:jc w:val="both"/>
        <w:rPr>
          <w:rFonts w:eastAsiaTheme="minorEastAsia"/>
          <w:lang w:val="en-GB"/>
        </w:rPr>
      </w:pPr>
    </w:p>
    <w:p w14:paraId="51A74D58" w14:textId="1C82B373" w:rsidR="002A7B3B" w:rsidRDefault="00F05A46" w:rsidP="002A7B3B">
      <w:pPr>
        <w:jc w:val="right"/>
        <w:rPr>
          <w:rFonts w:eastAsiaTheme="minorEastAsia"/>
          <w:lang w:val="en-GB"/>
        </w:rPr>
      </w:pPr>
      <m:oMath>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2</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1</m:t>
            </m:r>
          </m:sub>
        </m:sSub>
      </m:oMath>
      <w:r w:rsidR="002A7B3B">
        <w:rPr>
          <w:rFonts w:eastAsiaTheme="minorEastAsia"/>
          <w:lang w:val="en-GB"/>
        </w:rPr>
        <w:tab/>
      </w:r>
      <w:r w:rsidR="002A7B3B">
        <w:rPr>
          <w:rFonts w:eastAsiaTheme="minorEastAsia"/>
          <w:lang w:val="en-GB"/>
        </w:rPr>
        <w:tab/>
      </w:r>
      <w:r w:rsidR="002A7B3B">
        <w:rPr>
          <w:rFonts w:eastAsiaTheme="minorEastAsia"/>
          <w:lang w:val="en-GB"/>
        </w:rPr>
        <w:tab/>
      </w:r>
      <w:r w:rsidR="002A7B3B">
        <w:rPr>
          <w:rFonts w:eastAsiaTheme="minorEastAsia"/>
          <w:lang w:val="en-GB"/>
        </w:rPr>
        <w:tab/>
      </w:r>
      <w:r w:rsidR="002A7B3B">
        <w:rPr>
          <w:rFonts w:eastAsiaTheme="minorEastAsia"/>
          <w:lang w:val="en-GB"/>
        </w:rPr>
        <w:tab/>
      </w:r>
      <w:r w:rsidR="002A7B3B">
        <w:rPr>
          <w:rFonts w:eastAsiaTheme="minorEastAsia"/>
          <w:lang w:val="en-GB"/>
        </w:rPr>
        <w:tab/>
      </w:r>
      <w:r w:rsidR="002A7B3B">
        <w:rPr>
          <w:rFonts w:eastAsiaTheme="minorEastAsia"/>
          <w:lang w:val="en-GB"/>
        </w:rPr>
        <w:tab/>
      </w:r>
      <w:r w:rsidR="002A7B3B">
        <w:rPr>
          <w:rFonts w:eastAsiaTheme="minorEastAsia"/>
          <w:lang w:val="en-GB"/>
        </w:rPr>
        <w:tab/>
      </w:r>
      <w:r w:rsidR="002A7B3B">
        <w:rPr>
          <w:rFonts w:eastAsiaTheme="minorEastAsia"/>
          <w:lang w:val="en-GB"/>
        </w:rPr>
        <w:tab/>
      </w:r>
      <w:r w:rsidR="002A7B3B">
        <w:rPr>
          <w:rFonts w:eastAsiaTheme="minorEastAsia"/>
          <w:lang w:val="en-GB"/>
        </w:rPr>
        <w:tab/>
      </w:r>
      <w:r w:rsidR="002A7B3B">
        <w:rPr>
          <w:rFonts w:eastAsiaTheme="minorEastAsia"/>
          <w:lang w:val="en-GB"/>
        </w:rPr>
        <w:tab/>
        <w:t>(5)</w:t>
      </w:r>
    </w:p>
    <w:p w14:paraId="4604C8F1" w14:textId="77777777" w:rsidR="002A7B3B" w:rsidRPr="00B977D5" w:rsidRDefault="002A7B3B" w:rsidP="002A7B3B">
      <w:pPr>
        <w:jc w:val="both"/>
        <w:rPr>
          <w:lang w:val="en-GB"/>
        </w:rPr>
      </w:pPr>
    </w:p>
    <w:p w14:paraId="1C0FD2FD" w14:textId="71A38960" w:rsidR="002A7B3B" w:rsidRDefault="00603174" w:rsidP="00261167">
      <w:pPr>
        <w:jc w:val="both"/>
        <w:rPr>
          <w:lang w:val="en-GB"/>
        </w:rPr>
      </w:pPr>
      <w:r>
        <w:rPr>
          <w:lang w:val="en-GB"/>
        </w:rPr>
        <w:t xml:space="preserve">In other words, we are testing whether after the second vignette, the respondents in the </w:t>
      </w:r>
      <w:r w:rsidR="005F2D48">
        <w:rPr>
          <w:lang w:val="en-GB"/>
        </w:rPr>
        <w:t xml:space="preserve">non-political </w:t>
      </w:r>
      <w:r>
        <w:rPr>
          <w:lang w:val="en-GB"/>
        </w:rPr>
        <w:t xml:space="preserve">DEI reversal condition (T2) have a lower willingness to work for the company than the respondents in the condition where the DEI programme was maintained (T1). We expect the effect of discontinuing the DEI programme to be negative, our alternative hypothesis is hence </w:t>
      </w:r>
      <m:oMath>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2</m:t>
            </m:r>
          </m:sub>
        </m:sSub>
        <m:r>
          <w:rPr>
            <w:rFonts w:ascii="Cambria Math" w:hAnsi="Cambria Math"/>
            <w:lang w:val="en-GB"/>
          </w:rPr>
          <m:t>&lt;</m:t>
        </m:r>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1</m:t>
            </m:r>
          </m:sub>
        </m:sSub>
      </m:oMath>
      <w:r>
        <w:rPr>
          <w:rFonts w:eastAsiaTheme="minorEastAsia"/>
          <w:lang w:val="en-GB"/>
        </w:rPr>
        <w:t>, and we test this through a one-sided test.</w:t>
      </w:r>
    </w:p>
    <w:p w14:paraId="062E7B74" w14:textId="77777777" w:rsidR="003A5D94" w:rsidRDefault="003A5D94" w:rsidP="00261167">
      <w:pPr>
        <w:jc w:val="both"/>
        <w:rPr>
          <w:lang w:val="en-GB"/>
        </w:rPr>
      </w:pPr>
    </w:p>
    <w:p w14:paraId="5C77F354" w14:textId="46A56AC2" w:rsidR="003A5D94" w:rsidRDefault="00F455C8" w:rsidP="00261167">
      <w:pPr>
        <w:jc w:val="both"/>
        <w:rPr>
          <w:lang w:val="en-GB"/>
        </w:rPr>
      </w:pPr>
      <w:r>
        <w:rPr>
          <w:lang w:val="en-GB"/>
        </w:rPr>
        <w:t>Our third hypothesis is as follows:</w:t>
      </w:r>
    </w:p>
    <w:p w14:paraId="5FE28692" w14:textId="77777777" w:rsidR="00F455C8" w:rsidRDefault="00F455C8" w:rsidP="00261167">
      <w:pPr>
        <w:jc w:val="both"/>
        <w:rPr>
          <w:lang w:val="en-GB"/>
        </w:rPr>
      </w:pPr>
    </w:p>
    <w:p w14:paraId="1F81A248" w14:textId="4E015016" w:rsidR="00F455C8" w:rsidRPr="00EE5363" w:rsidRDefault="00F455C8" w:rsidP="00261167">
      <w:pPr>
        <w:jc w:val="both"/>
        <w:rPr>
          <w:i/>
          <w:iCs/>
          <w:lang w:val="en-GB"/>
        </w:rPr>
      </w:pPr>
      <w:r w:rsidRPr="00EE5363">
        <w:rPr>
          <w:i/>
          <w:iCs/>
          <w:lang w:val="en-GB"/>
        </w:rPr>
        <w:t>Hypothesis 3: Willingness to work for a company that reverses a DEI programme</w:t>
      </w:r>
      <w:r w:rsidR="005F2D48">
        <w:rPr>
          <w:i/>
          <w:iCs/>
          <w:lang w:val="en-GB"/>
        </w:rPr>
        <w:t xml:space="preserve"> for economic reasons</w:t>
      </w:r>
      <w:r w:rsidRPr="00EE5363">
        <w:rPr>
          <w:i/>
          <w:iCs/>
          <w:lang w:val="en-GB"/>
        </w:rPr>
        <w:t xml:space="preserve"> is lower tha</w:t>
      </w:r>
      <w:r w:rsidR="00EE5363" w:rsidRPr="00EE5363">
        <w:rPr>
          <w:i/>
          <w:iCs/>
          <w:lang w:val="en-GB"/>
        </w:rPr>
        <w:t>n for a company that never introduced a DEI programme in the first place.</w:t>
      </w:r>
    </w:p>
    <w:p w14:paraId="5FA784E9" w14:textId="51CF8D38" w:rsidR="00F455C8" w:rsidRDefault="00F455C8" w:rsidP="00261167">
      <w:pPr>
        <w:jc w:val="both"/>
        <w:rPr>
          <w:lang w:val="en-GB"/>
        </w:rPr>
      </w:pPr>
    </w:p>
    <w:p w14:paraId="42813E15" w14:textId="29DA2382" w:rsidR="00EE5363" w:rsidRDefault="00EE5363" w:rsidP="00261167">
      <w:pPr>
        <w:jc w:val="both"/>
        <w:rPr>
          <w:lang w:val="en-GB"/>
        </w:rPr>
      </w:pPr>
      <w:r>
        <w:rPr>
          <w:lang w:val="en-GB"/>
        </w:rPr>
        <w:t xml:space="preserve">In other words, this hypothesis posits that willingness to work for the company is lower in the </w:t>
      </w:r>
      <w:r w:rsidR="005F2D48">
        <w:rPr>
          <w:lang w:val="en-GB"/>
        </w:rPr>
        <w:t xml:space="preserve">non-political </w:t>
      </w:r>
      <w:r>
        <w:rPr>
          <w:lang w:val="en-GB"/>
        </w:rPr>
        <w:t>DEI reversal conditions (T2) than in the condition where the company never introduced a DEI programme (T0). Formally, this can be expressed as:</w:t>
      </w:r>
    </w:p>
    <w:p w14:paraId="30275105" w14:textId="77777777" w:rsidR="00EE5363" w:rsidRDefault="00EE5363" w:rsidP="00261167">
      <w:pPr>
        <w:jc w:val="both"/>
        <w:rPr>
          <w:lang w:val="en-GB"/>
        </w:rPr>
      </w:pPr>
    </w:p>
    <w:p w14:paraId="1C3704A7" w14:textId="41068FE3" w:rsidR="00EE5363" w:rsidRDefault="00F05A46" w:rsidP="00EE5363">
      <w:pPr>
        <w:jc w:val="right"/>
        <w:rPr>
          <w:rFonts w:eastAsiaTheme="minorEastAsia"/>
          <w:lang w:val="en-GB"/>
        </w:rPr>
      </w:pPr>
      <m:oMath>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2</m:t>
            </m:r>
          </m:sub>
        </m:sSub>
        <m:r>
          <w:rPr>
            <w:rFonts w:ascii="Cambria Math" w:hAnsi="Cambria Math"/>
            <w:lang w:val="en-GB"/>
          </w:rPr>
          <m:t>=0</m:t>
        </m:r>
      </m:oMath>
      <w:r w:rsidR="00EE5363">
        <w:rPr>
          <w:rFonts w:eastAsiaTheme="minorEastAsia"/>
          <w:lang w:val="en-GB"/>
        </w:rPr>
        <w:tab/>
      </w:r>
      <w:r w:rsidR="00EE5363">
        <w:rPr>
          <w:rFonts w:eastAsiaTheme="minorEastAsia"/>
          <w:lang w:val="en-GB"/>
        </w:rPr>
        <w:tab/>
      </w:r>
      <w:r w:rsidR="00EE5363">
        <w:rPr>
          <w:rFonts w:eastAsiaTheme="minorEastAsia"/>
          <w:lang w:val="en-GB"/>
        </w:rPr>
        <w:tab/>
      </w:r>
      <w:r w:rsidR="00EE5363">
        <w:rPr>
          <w:rFonts w:eastAsiaTheme="minorEastAsia"/>
          <w:lang w:val="en-GB"/>
        </w:rPr>
        <w:tab/>
      </w:r>
      <w:r w:rsidR="00EE5363">
        <w:rPr>
          <w:rFonts w:eastAsiaTheme="minorEastAsia"/>
          <w:lang w:val="en-GB"/>
        </w:rPr>
        <w:tab/>
      </w:r>
      <w:r w:rsidR="00EE5363">
        <w:rPr>
          <w:rFonts w:eastAsiaTheme="minorEastAsia"/>
          <w:lang w:val="en-GB"/>
        </w:rPr>
        <w:tab/>
      </w:r>
      <w:r w:rsidR="00EE5363">
        <w:rPr>
          <w:rFonts w:eastAsiaTheme="minorEastAsia"/>
          <w:lang w:val="en-GB"/>
        </w:rPr>
        <w:tab/>
      </w:r>
      <w:r w:rsidR="00EE5363">
        <w:rPr>
          <w:rFonts w:eastAsiaTheme="minorEastAsia"/>
          <w:lang w:val="en-GB"/>
        </w:rPr>
        <w:tab/>
      </w:r>
      <w:r w:rsidR="00EE5363">
        <w:rPr>
          <w:rFonts w:eastAsiaTheme="minorEastAsia"/>
          <w:lang w:val="en-GB"/>
        </w:rPr>
        <w:tab/>
      </w:r>
      <w:r w:rsidR="00EE5363">
        <w:rPr>
          <w:rFonts w:eastAsiaTheme="minorEastAsia"/>
          <w:lang w:val="en-GB"/>
        </w:rPr>
        <w:tab/>
      </w:r>
      <w:r w:rsidR="00EE5363">
        <w:rPr>
          <w:rFonts w:eastAsiaTheme="minorEastAsia"/>
          <w:lang w:val="en-GB"/>
        </w:rPr>
        <w:tab/>
      </w:r>
      <w:r w:rsidR="00EE5363">
        <w:rPr>
          <w:rFonts w:eastAsiaTheme="minorEastAsia"/>
          <w:lang w:val="en-GB"/>
        </w:rPr>
        <w:tab/>
        <w:t>(</w:t>
      </w:r>
      <w:r w:rsidR="00E568D2">
        <w:rPr>
          <w:rFonts w:eastAsiaTheme="minorEastAsia"/>
          <w:lang w:val="en-GB"/>
        </w:rPr>
        <w:t>6</w:t>
      </w:r>
      <w:r w:rsidR="00EE5363">
        <w:rPr>
          <w:rFonts w:eastAsiaTheme="minorEastAsia"/>
          <w:lang w:val="en-GB"/>
        </w:rPr>
        <w:t>)</w:t>
      </w:r>
    </w:p>
    <w:p w14:paraId="36DA3F54" w14:textId="77777777" w:rsidR="00EE5363" w:rsidRDefault="00EE5363" w:rsidP="00261167">
      <w:pPr>
        <w:jc w:val="both"/>
        <w:rPr>
          <w:lang w:val="en-GB"/>
        </w:rPr>
      </w:pPr>
    </w:p>
    <w:p w14:paraId="6BB9A6D1" w14:textId="5484F51A" w:rsidR="00EE5363" w:rsidRDefault="00EE5363" w:rsidP="00261167">
      <w:pPr>
        <w:jc w:val="both"/>
        <w:rPr>
          <w:rFonts w:eastAsiaTheme="minorEastAsia"/>
          <w:lang w:val="en-GB"/>
        </w:rPr>
      </w:pPr>
      <w:r>
        <w:rPr>
          <w:lang w:val="en-GB"/>
        </w:rPr>
        <w:t xml:space="preserve">In this case, we are agnostic about the direction of the effect. A reversal may be worse than never having introduced the programme, however, having had the programme for a period may be perceived as positive compared to never having introduced it. We formulate the alternative hypothesis as </w:t>
      </w:r>
      <m:oMath>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2</m:t>
            </m:r>
          </m:sub>
        </m:sSub>
        <m:r>
          <w:rPr>
            <w:rFonts w:ascii="Cambria Math" w:hAnsi="Cambria Math"/>
            <w:lang w:val="en-GB"/>
          </w:rPr>
          <m:t>≠0</m:t>
        </m:r>
      </m:oMath>
      <w:r>
        <w:rPr>
          <w:rFonts w:eastAsiaTheme="minorEastAsia"/>
          <w:lang w:val="en-GB"/>
        </w:rPr>
        <w:t>, to be tested through a two-sided test.</w:t>
      </w:r>
    </w:p>
    <w:p w14:paraId="1789F19E" w14:textId="77777777" w:rsidR="00EE5363" w:rsidRDefault="00EE5363" w:rsidP="00261167">
      <w:pPr>
        <w:jc w:val="both"/>
        <w:rPr>
          <w:rFonts w:eastAsiaTheme="minorEastAsia"/>
          <w:lang w:val="en-GB"/>
        </w:rPr>
      </w:pPr>
    </w:p>
    <w:p w14:paraId="29495AD2" w14:textId="15B8869D" w:rsidR="00E568D2" w:rsidRDefault="00E568D2" w:rsidP="00261167">
      <w:pPr>
        <w:jc w:val="both"/>
        <w:rPr>
          <w:rFonts w:eastAsiaTheme="minorEastAsia"/>
          <w:lang w:val="en-GB"/>
        </w:rPr>
      </w:pPr>
      <w:r>
        <w:rPr>
          <w:rFonts w:eastAsiaTheme="minorEastAsia"/>
          <w:lang w:val="en-GB"/>
        </w:rPr>
        <w:t>Finally, we are interested in whether the reason for discontinuing a DEI programme matters for how a company is perceived. We formulate a fourth hypothesis:</w:t>
      </w:r>
    </w:p>
    <w:p w14:paraId="1D7D9B31" w14:textId="77777777" w:rsidR="00E568D2" w:rsidRDefault="00E568D2" w:rsidP="00261167">
      <w:pPr>
        <w:jc w:val="both"/>
        <w:rPr>
          <w:rFonts w:eastAsiaTheme="minorEastAsia"/>
          <w:lang w:val="en-GB"/>
        </w:rPr>
      </w:pPr>
    </w:p>
    <w:p w14:paraId="750ED071" w14:textId="7E014018" w:rsidR="00E568D2" w:rsidRPr="00E568D2" w:rsidRDefault="00E568D2" w:rsidP="00261167">
      <w:pPr>
        <w:jc w:val="both"/>
        <w:rPr>
          <w:rFonts w:eastAsiaTheme="minorEastAsia"/>
          <w:i/>
          <w:iCs/>
          <w:lang w:val="en-GB"/>
        </w:rPr>
      </w:pPr>
      <w:r w:rsidRPr="00E568D2">
        <w:rPr>
          <w:rFonts w:eastAsiaTheme="minorEastAsia"/>
          <w:i/>
          <w:iCs/>
          <w:lang w:val="en-GB"/>
        </w:rPr>
        <w:t>Hypothesis 4: A reversal of a DEI programme leads to a greater reduction in the willingness to work for a company if it is done due to political pressure rather than for economic reasons.</w:t>
      </w:r>
    </w:p>
    <w:p w14:paraId="3B1491A8" w14:textId="77777777" w:rsidR="00E568D2" w:rsidRDefault="00E568D2" w:rsidP="00E568D2">
      <w:pPr>
        <w:jc w:val="both"/>
        <w:rPr>
          <w:rFonts w:eastAsiaTheme="minorEastAsia"/>
          <w:lang w:val="en-GB"/>
        </w:rPr>
      </w:pPr>
    </w:p>
    <w:p w14:paraId="6E2AEE2B" w14:textId="2A692F34" w:rsidR="00E568D2" w:rsidRDefault="00E568D2" w:rsidP="00E568D2">
      <w:pPr>
        <w:jc w:val="both"/>
        <w:rPr>
          <w:rFonts w:eastAsiaTheme="minorEastAsia"/>
          <w:lang w:val="en-GB"/>
        </w:rPr>
      </w:pPr>
      <w:r>
        <w:rPr>
          <w:rFonts w:eastAsiaTheme="minorEastAsia"/>
          <w:lang w:val="en-GB"/>
        </w:rPr>
        <w:t>Our interest here is in testing whether the effect of a DEI reversal is more negative if it is</w:t>
      </w:r>
      <w:r w:rsidR="00EA59C9">
        <w:rPr>
          <w:rFonts w:eastAsiaTheme="minorEastAsia"/>
          <w:lang w:val="en-GB"/>
        </w:rPr>
        <w:t xml:space="preserve"> a</w:t>
      </w:r>
      <w:r>
        <w:rPr>
          <w:rFonts w:eastAsiaTheme="minorEastAsia"/>
          <w:lang w:val="en-GB"/>
        </w:rPr>
        <w:t xml:space="preserve"> result </w:t>
      </w:r>
      <w:r w:rsidR="00EA59C9">
        <w:rPr>
          <w:rFonts w:eastAsiaTheme="minorEastAsia"/>
          <w:lang w:val="en-GB"/>
        </w:rPr>
        <w:t>of</w:t>
      </w:r>
      <w:r>
        <w:rPr>
          <w:rFonts w:eastAsiaTheme="minorEastAsia"/>
          <w:lang w:val="en-GB"/>
        </w:rPr>
        <w:t xml:space="preserve"> political pressure (as in condition T</w:t>
      </w:r>
      <w:r w:rsidR="009C5C0C">
        <w:rPr>
          <w:rFonts w:eastAsiaTheme="minorEastAsia"/>
          <w:lang w:val="en-GB"/>
        </w:rPr>
        <w:t>3</w:t>
      </w:r>
      <w:r>
        <w:rPr>
          <w:rFonts w:eastAsiaTheme="minorEastAsia"/>
          <w:lang w:val="en-GB"/>
        </w:rPr>
        <w:t>) rather than economic arguments (as in condition T</w:t>
      </w:r>
      <w:r w:rsidR="009C5C0C">
        <w:rPr>
          <w:rFonts w:eastAsiaTheme="minorEastAsia"/>
          <w:lang w:val="en-GB"/>
        </w:rPr>
        <w:t>2</w:t>
      </w:r>
      <w:r w:rsidR="00240E33">
        <w:rPr>
          <w:rFonts w:eastAsiaTheme="minorEastAsia"/>
          <w:lang w:val="en-GB"/>
        </w:rPr>
        <w:t>)</w:t>
      </w:r>
      <w:r>
        <w:rPr>
          <w:rFonts w:eastAsiaTheme="minorEastAsia"/>
          <w:lang w:val="en-GB"/>
        </w:rPr>
        <w:t>, formally:</w:t>
      </w:r>
    </w:p>
    <w:p w14:paraId="196EEC4A" w14:textId="77777777" w:rsidR="00E568D2" w:rsidRDefault="00E568D2" w:rsidP="00E568D2">
      <w:pPr>
        <w:jc w:val="both"/>
        <w:rPr>
          <w:rFonts w:eastAsiaTheme="minorEastAsia"/>
          <w:lang w:val="en-GB"/>
        </w:rPr>
      </w:pPr>
    </w:p>
    <w:p w14:paraId="2B3B44B8" w14:textId="0E0BD417" w:rsidR="00E568D2" w:rsidRDefault="00F05A46" w:rsidP="00E568D2">
      <w:pPr>
        <w:jc w:val="right"/>
        <w:rPr>
          <w:rFonts w:eastAsiaTheme="minorEastAsia"/>
          <w:lang w:val="en-GB"/>
        </w:rPr>
      </w:pPr>
      <m:oMath>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3</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2</m:t>
            </m:r>
          </m:sub>
        </m:sSub>
      </m:oMath>
      <w:r w:rsidR="00E568D2">
        <w:rPr>
          <w:rFonts w:eastAsiaTheme="minorEastAsia"/>
          <w:lang w:val="en-GB"/>
        </w:rPr>
        <w:tab/>
      </w:r>
      <w:r w:rsidR="00E568D2">
        <w:rPr>
          <w:rFonts w:eastAsiaTheme="minorEastAsia"/>
          <w:lang w:val="en-GB"/>
        </w:rPr>
        <w:tab/>
      </w:r>
      <w:r w:rsidR="00E568D2">
        <w:rPr>
          <w:rFonts w:eastAsiaTheme="minorEastAsia"/>
          <w:lang w:val="en-GB"/>
        </w:rPr>
        <w:tab/>
      </w:r>
      <w:r w:rsidR="00E568D2">
        <w:rPr>
          <w:rFonts w:eastAsiaTheme="minorEastAsia"/>
          <w:lang w:val="en-GB"/>
        </w:rPr>
        <w:tab/>
      </w:r>
      <w:r w:rsidR="00E568D2">
        <w:rPr>
          <w:rFonts w:eastAsiaTheme="minorEastAsia"/>
          <w:lang w:val="en-GB"/>
        </w:rPr>
        <w:tab/>
      </w:r>
      <w:r w:rsidR="00E568D2">
        <w:rPr>
          <w:rFonts w:eastAsiaTheme="minorEastAsia"/>
          <w:lang w:val="en-GB"/>
        </w:rPr>
        <w:tab/>
      </w:r>
      <w:r w:rsidR="00E568D2">
        <w:rPr>
          <w:rFonts w:eastAsiaTheme="minorEastAsia"/>
          <w:lang w:val="en-GB"/>
        </w:rPr>
        <w:tab/>
      </w:r>
      <w:r w:rsidR="00E568D2">
        <w:rPr>
          <w:rFonts w:eastAsiaTheme="minorEastAsia"/>
          <w:lang w:val="en-GB"/>
        </w:rPr>
        <w:tab/>
      </w:r>
      <w:r w:rsidR="00E568D2">
        <w:rPr>
          <w:rFonts w:eastAsiaTheme="minorEastAsia"/>
          <w:lang w:val="en-GB"/>
        </w:rPr>
        <w:tab/>
      </w:r>
      <w:r w:rsidR="00E568D2">
        <w:rPr>
          <w:rFonts w:eastAsiaTheme="minorEastAsia"/>
          <w:lang w:val="en-GB"/>
        </w:rPr>
        <w:tab/>
      </w:r>
      <w:r w:rsidR="00E568D2">
        <w:rPr>
          <w:rFonts w:eastAsiaTheme="minorEastAsia"/>
          <w:lang w:val="en-GB"/>
        </w:rPr>
        <w:tab/>
        <w:t>(</w:t>
      </w:r>
      <w:r w:rsidR="00A25B3B">
        <w:rPr>
          <w:rFonts w:eastAsiaTheme="minorEastAsia"/>
          <w:lang w:val="en-GB"/>
        </w:rPr>
        <w:t>7</w:t>
      </w:r>
      <w:r w:rsidR="00E568D2">
        <w:rPr>
          <w:rFonts w:eastAsiaTheme="minorEastAsia"/>
          <w:lang w:val="en-GB"/>
        </w:rPr>
        <w:t>)</w:t>
      </w:r>
    </w:p>
    <w:p w14:paraId="6EC2DE6A" w14:textId="77777777" w:rsidR="00E568D2" w:rsidRDefault="00E568D2" w:rsidP="00E568D2">
      <w:pPr>
        <w:jc w:val="both"/>
        <w:rPr>
          <w:rFonts w:eastAsiaTheme="minorEastAsia"/>
          <w:lang w:val="en-GB"/>
        </w:rPr>
      </w:pPr>
    </w:p>
    <w:p w14:paraId="7FE03B9E" w14:textId="4788DD31" w:rsidR="00E568D2" w:rsidRDefault="00240E33" w:rsidP="00261167">
      <w:pPr>
        <w:jc w:val="both"/>
        <w:rPr>
          <w:rFonts w:eastAsiaTheme="minorEastAsia"/>
          <w:lang w:val="en-GB"/>
        </w:rPr>
      </w:pPr>
      <w:r>
        <w:rPr>
          <w:rFonts w:eastAsiaTheme="minorEastAsia"/>
          <w:lang w:val="en-GB"/>
        </w:rPr>
        <w:t xml:space="preserve">The direction of the effect here is not obvious, as bowing to political pressure can be seen to reflect a lack of agency vis-à-vis a powerful state, or as a lack of courage in the face of political pressure. Our alternative hypothesis is </w:t>
      </w:r>
      <m:oMath>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3</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β</m:t>
            </m:r>
          </m:e>
          <m:sub>
            <m:r>
              <w:rPr>
                <w:rFonts w:ascii="Cambria Math" w:hAnsi="Cambria Math"/>
                <w:lang w:val="en-GB"/>
              </w:rPr>
              <m:t>2</m:t>
            </m:r>
          </m:sub>
        </m:sSub>
      </m:oMath>
      <w:r>
        <w:rPr>
          <w:rFonts w:eastAsiaTheme="minorEastAsia"/>
          <w:lang w:val="en-GB"/>
        </w:rPr>
        <w:t>, which we test with a two-sided test.</w:t>
      </w:r>
    </w:p>
    <w:p w14:paraId="3E64850F" w14:textId="77777777" w:rsidR="005F2D48" w:rsidRDefault="005F2D48" w:rsidP="00261167">
      <w:pPr>
        <w:jc w:val="both"/>
        <w:rPr>
          <w:rFonts w:eastAsiaTheme="minorEastAsia"/>
          <w:lang w:val="en-GB"/>
        </w:rPr>
      </w:pPr>
    </w:p>
    <w:p w14:paraId="3B6A5A4F" w14:textId="62330EA6" w:rsidR="005F2D48" w:rsidRDefault="005F2D48" w:rsidP="00261167">
      <w:pPr>
        <w:jc w:val="both"/>
        <w:rPr>
          <w:rFonts w:eastAsiaTheme="minorEastAsia"/>
          <w:lang w:val="en-GB"/>
        </w:rPr>
      </w:pPr>
      <w:r>
        <w:rPr>
          <w:rFonts w:eastAsiaTheme="minorEastAsia"/>
          <w:lang w:val="en-GB"/>
        </w:rPr>
        <w:t xml:space="preserve">With 400 respondents in each treatment </w:t>
      </w:r>
      <w:r w:rsidR="009C5C0C">
        <w:rPr>
          <w:rFonts w:eastAsiaTheme="minorEastAsia"/>
          <w:lang w:val="en-GB"/>
        </w:rPr>
        <w:t>arm</w:t>
      </w:r>
      <w:r>
        <w:rPr>
          <w:rFonts w:eastAsiaTheme="minorEastAsia"/>
          <w:lang w:val="en-GB"/>
        </w:rPr>
        <w:t>, our power to detect .2 of a control group standard deviation in the outcome variable at 5 per cent significance is 88.12 per cent for the one-sided tests and 80.65 per cent for the two-sided tests in this section.</w:t>
      </w:r>
    </w:p>
    <w:p w14:paraId="6A6377CB" w14:textId="77777777" w:rsidR="00D76658" w:rsidRDefault="00D76658" w:rsidP="005610D8">
      <w:pPr>
        <w:jc w:val="both"/>
        <w:rPr>
          <w:lang w:val="en-GB"/>
        </w:rPr>
      </w:pPr>
    </w:p>
    <w:p w14:paraId="39439EAB" w14:textId="2AEB88F1" w:rsidR="005610D8" w:rsidRDefault="00D76658" w:rsidP="005610D8">
      <w:pPr>
        <w:jc w:val="both"/>
        <w:rPr>
          <w:lang w:val="en-GB"/>
        </w:rPr>
      </w:pPr>
      <w:r>
        <w:rPr>
          <w:lang w:val="en-GB"/>
        </w:rPr>
        <w:t xml:space="preserve">In addition to the above </w:t>
      </w:r>
      <w:r w:rsidR="00240E33">
        <w:rPr>
          <w:lang w:val="en-GB"/>
        </w:rPr>
        <w:t>analyses</w:t>
      </w:r>
      <w:r>
        <w:rPr>
          <w:lang w:val="en-GB"/>
        </w:rPr>
        <w:t xml:space="preserve">, </w:t>
      </w:r>
      <w:r w:rsidR="00240E33">
        <w:rPr>
          <w:lang w:val="en-GB"/>
        </w:rPr>
        <w:t>we will conduct additional ones to</w:t>
      </w:r>
      <w:r w:rsidR="005610D8" w:rsidRPr="00986285">
        <w:rPr>
          <w:lang w:val="en-GB"/>
        </w:rPr>
        <w:t xml:space="preserve"> </w:t>
      </w:r>
      <w:r w:rsidR="00240E33">
        <w:rPr>
          <w:lang w:val="en-GB"/>
        </w:rPr>
        <w:t>shed light on</w:t>
      </w:r>
      <w:r w:rsidR="005610D8" w:rsidRPr="00986285">
        <w:rPr>
          <w:lang w:val="en-GB"/>
        </w:rPr>
        <w:t xml:space="preserve"> mechanisms behind our results and heterogeneities in effects. We do </w:t>
      </w:r>
      <w:r w:rsidR="002630E6">
        <w:rPr>
          <w:lang w:val="en-GB"/>
        </w:rPr>
        <w:t xml:space="preserve">not </w:t>
      </w:r>
      <w:r w:rsidR="005610D8" w:rsidRPr="00986285">
        <w:rPr>
          <w:lang w:val="en-GB"/>
        </w:rPr>
        <w:t>pre-specify these</w:t>
      </w:r>
      <w:r w:rsidR="005610D8">
        <w:rPr>
          <w:lang w:val="en-GB"/>
        </w:rPr>
        <w:t xml:space="preserve"> additional</w:t>
      </w:r>
      <w:r w:rsidR="005610D8" w:rsidRPr="00986285">
        <w:rPr>
          <w:lang w:val="en-GB"/>
        </w:rPr>
        <w:t xml:space="preserve"> analyses, </w:t>
      </w:r>
      <w:r w:rsidR="00240E33">
        <w:rPr>
          <w:lang w:val="en-GB"/>
        </w:rPr>
        <w:t>due to the</w:t>
      </w:r>
      <w:r w:rsidR="005610D8" w:rsidRPr="00986285">
        <w:rPr>
          <w:lang w:val="en-GB"/>
        </w:rPr>
        <w:t xml:space="preserve"> trade-off between credibility </w:t>
      </w:r>
      <w:r w:rsidR="005610D8">
        <w:rPr>
          <w:lang w:val="en-GB"/>
        </w:rPr>
        <w:t>from</w:t>
      </w:r>
      <w:r w:rsidR="005610D8" w:rsidRPr="00986285">
        <w:rPr>
          <w:lang w:val="en-GB"/>
        </w:rPr>
        <w:t xml:space="preserve"> pre-specification </w:t>
      </w:r>
      <w:r w:rsidR="005610D8">
        <w:rPr>
          <w:lang w:val="en-GB"/>
        </w:rPr>
        <w:t xml:space="preserve">and </w:t>
      </w:r>
      <w:r w:rsidR="00000DD2">
        <w:rPr>
          <w:lang w:val="en-GB"/>
        </w:rPr>
        <w:t xml:space="preserve">the complexity involved in extensive pre-specification as well as the </w:t>
      </w:r>
      <w:r w:rsidR="008E6BC7">
        <w:rPr>
          <w:lang w:val="en-GB"/>
        </w:rPr>
        <w:t>resulting</w:t>
      </w:r>
      <w:r w:rsidR="00000DD2">
        <w:rPr>
          <w:lang w:val="en-GB"/>
        </w:rPr>
        <w:t xml:space="preserve"> constraints on learning from the data</w:t>
      </w:r>
      <w:r w:rsidR="008E6BC7">
        <w:rPr>
          <w:lang w:val="en-GB"/>
        </w:rPr>
        <w:t xml:space="preserve"> collected</w:t>
      </w:r>
      <w:r w:rsidR="00000DD2">
        <w:rPr>
          <w:lang w:val="en-GB"/>
        </w:rPr>
        <w:t xml:space="preserve"> </w:t>
      </w:r>
      <w:r w:rsidR="005610D8" w:rsidRPr="00986285">
        <w:rPr>
          <w:lang w:val="en-GB"/>
        </w:rPr>
        <w:t>(Olken, 2015).</w:t>
      </w:r>
    </w:p>
    <w:p w14:paraId="02C692F1" w14:textId="77777777" w:rsidR="005610D8" w:rsidRDefault="005610D8" w:rsidP="00D577B2">
      <w:pPr>
        <w:jc w:val="both"/>
        <w:rPr>
          <w:lang w:val="en-GB"/>
        </w:rPr>
      </w:pPr>
    </w:p>
    <w:p w14:paraId="1F4C2451" w14:textId="77777777" w:rsidR="005B1C1D" w:rsidRDefault="005B1C1D" w:rsidP="00D577B2">
      <w:pPr>
        <w:jc w:val="both"/>
        <w:rPr>
          <w:lang w:val="en-GB"/>
        </w:rPr>
      </w:pPr>
    </w:p>
    <w:p w14:paraId="212986B2" w14:textId="3B8A5E8A" w:rsidR="00044906" w:rsidRPr="005674FA" w:rsidRDefault="00044906" w:rsidP="00261167">
      <w:pPr>
        <w:jc w:val="both"/>
        <w:rPr>
          <w:lang w:val="en-GB"/>
        </w:rPr>
      </w:pPr>
      <w:r w:rsidRPr="00044906">
        <w:rPr>
          <w:b/>
          <w:lang w:val="en-GB"/>
        </w:rPr>
        <w:t>References</w:t>
      </w:r>
    </w:p>
    <w:p w14:paraId="489D2D58" w14:textId="325F55E4" w:rsidR="00752A17" w:rsidRDefault="00752A17" w:rsidP="00752A17">
      <w:pPr>
        <w:jc w:val="both"/>
        <w:rPr>
          <w:lang w:val="en-GB"/>
        </w:rPr>
      </w:pPr>
      <w:r>
        <w:rPr>
          <w:lang w:val="en-GB"/>
        </w:rPr>
        <w:t xml:space="preserve">Bhattarai, N., Lee, L. C. and Masaya, T. 2025. </w:t>
      </w:r>
      <w:r w:rsidRPr="00752A17">
        <w:rPr>
          <w:lang w:val="en-GB"/>
        </w:rPr>
        <w:t xml:space="preserve">Diversity, </w:t>
      </w:r>
      <w:r>
        <w:rPr>
          <w:lang w:val="en-GB"/>
        </w:rPr>
        <w:t>i</w:t>
      </w:r>
      <w:r w:rsidRPr="00752A17">
        <w:rPr>
          <w:lang w:val="en-GB"/>
        </w:rPr>
        <w:t xml:space="preserve">nterrupted? Diversity </w:t>
      </w:r>
      <w:r>
        <w:rPr>
          <w:lang w:val="en-GB"/>
        </w:rPr>
        <w:t>h</w:t>
      </w:r>
      <w:r w:rsidRPr="00752A17">
        <w:rPr>
          <w:lang w:val="en-GB"/>
        </w:rPr>
        <w:t xml:space="preserve">ushing and </w:t>
      </w:r>
      <w:r>
        <w:rPr>
          <w:lang w:val="en-GB"/>
        </w:rPr>
        <w:t>p</w:t>
      </w:r>
      <w:r w:rsidRPr="00752A17">
        <w:rPr>
          <w:lang w:val="en-GB"/>
        </w:rPr>
        <w:t xml:space="preserve">olitical </w:t>
      </w:r>
      <w:r>
        <w:rPr>
          <w:lang w:val="en-GB"/>
        </w:rPr>
        <w:t>p</w:t>
      </w:r>
      <w:r w:rsidRPr="00752A17">
        <w:rPr>
          <w:lang w:val="en-GB"/>
        </w:rPr>
        <w:t>ressure</w:t>
      </w:r>
      <w:r>
        <w:rPr>
          <w:lang w:val="en-GB"/>
        </w:rPr>
        <w:t xml:space="preserve">. </w:t>
      </w:r>
      <w:r w:rsidRPr="00752A17">
        <w:rPr>
          <w:lang w:val="en-GB"/>
        </w:rPr>
        <w:t xml:space="preserve">(September 15, 2025). Available at SSRN: </w:t>
      </w:r>
      <w:hyperlink r:id="rId11" w:history="1">
        <w:r w:rsidRPr="00513E22">
          <w:rPr>
            <w:rStyle w:val="Hyperlink"/>
            <w:lang w:val="en-GB"/>
          </w:rPr>
          <w:t>http://dx.doi.org/10.2139/ssrn.5525559</w:t>
        </w:r>
      </w:hyperlink>
      <w:r w:rsidR="005B1C1D">
        <w:rPr>
          <w:lang w:val="en-GB"/>
        </w:rPr>
        <w:t>.</w:t>
      </w:r>
    </w:p>
    <w:p w14:paraId="6FE94444" w14:textId="77777777" w:rsidR="00752A17" w:rsidRDefault="00752A17" w:rsidP="00752A17">
      <w:pPr>
        <w:jc w:val="both"/>
        <w:rPr>
          <w:lang w:val="en-GB"/>
        </w:rPr>
      </w:pPr>
    </w:p>
    <w:p w14:paraId="7F02EA6F" w14:textId="5A9686A1" w:rsidR="00AA5B81" w:rsidRDefault="00AA5B81" w:rsidP="00AA5B81">
      <w:pPr>
        <w:jc w:val="both"/>
        <w:rPr>
          <w:lang w:val="en-GB"/>
        </w:rPr>
      </w:pPr>
      <w:r w:rsidRPr="00AA5B81">
        <w:t>Blank, A. S., Loveland, K. E.</w:t>
      </w:r>
      <w:r>
        <w:rPr>
          <w:lang w:val="en-GB"/>
        </w:rPr>
        <w:t>,</w:t>
      </w:r>
      <w:r w:rsidRPr="00AA5B81">
        <w:rPr>
          <w:lang w:val="en-GB"/>
        </w:rPr>
        <w:t xml:space="preserve"> Cheng</w:t>
      </w:r>
      <w:r>
        <w:rPr>
          <w:lang w:val="en-GB"/>
        </w:rPr>
        <w:t>, A.,</w:t>
      </w:r>
      <w:r w:rsidRPr="00AA5B81">
        <w:rPr>
          <w:lang w:val="en-GB"/>
        </w:rPr>
        <w:t xml:space="preserve"> Beck</w:t>
      </w:r>
      <w:r>
        <w:rPr>
          <w:lang w:val="en-GB"/>
        </w:rPr>
        <w:t>, S.</w:t>
      </w:r>
      <w:r w:rsidRPr="00AA5B81">
        <w:rPr>
          <w:lang w:val="en-GB"/>
        </w:rPr>
        <w:t xml:space="preserve"> </w:t>
      </w:r>
      <w:r>
        <w:rPr>
          <w:lang w:val="en-GB"/>
        </w:rPr>
        <w:t>and</w:t>
      </w:r>
      <w:r w:rsidRPr="00AA5B81">
        <w:rPr>
          <w:lang w:val="en-GB"/>
        </w:rPr>
        <w:t xml:space="preserve"> Rundus</w:t>
      </w:r>
      <w:r>
        <w:rPr>
          <w:lang w:val="en-GB"/>
        </w:rPr>
        <w:t xml:space="preserve">, A. 2024. </w:t>
      </w:r>
      <w:r w:rsidRPr="00AA5B81">
        <w:rPr>
          <w:lang w:val="en-GB"/>
        </w:rPr>
        <w:t>Responding to COVID-19: The impact of corporate social</w:t>
      </w:r>
      <w:r>
        <w:rPr>
          <w:lang w:val="en-GB"/>
        </w:rPr>
        <w:t xml:space="preserve"> </w:t>
      </w:r>
      <w:r w:rsidRPr="00AA5B81">
        <w:rPr>
          <w:lang w:val="en-GB"/>
        </w:rPr>
        <w:t>responsibility on consumer behavior</w:t>
      </w:r>
      <w:r>
        <w:rPr>
          <w:lang w:val="en-GB"/>
        </w:rPr>
        <w:t>. International Journal of Consumer Studies, 48, e12982.</w:t>
      </w:r>
    </w:p>
    <w:p w14:paraId="4DC3A5D5" w14:textId="77777777" w:rsidR="00AA5B81" w:rsidRDefault="00AA5B81" w:rsidP="00752A17">
      <w:pPr>
        <w:jc w:val="both"/>
        <w:rPr>
          <w:lang w:val="en-GB"/>
        </w:rPr>
      </w:pPr>
    </w:p>
    <w:p w14:paraId="2BA16156" w14:textId="0E6EDD34" w:rsidR="00752A17" w:rsidRDefault="00752A17" w:rsidP="00752A17">
      <w:pPr>
        <w:jc w:val="both"/>
        <w:rPr>
          <w:lang w:val="en-GB"/>
        </w:rPr>
      </w:pPr>
      <w:r>
        <w:rPr>
          <w:lang w:val="en-GB"/>
        </w:rPr>
        <w:t xml:space="preserve">Briscoe-Tran, H. 2024. </w:t>
      </w:r>
      <w:r w:rsidRPr="00752A17">
        <w:rPr>
          <w:lang w:val="en-GB"/>
        </w:rPr>
        <w:t>Do investors value DEI?</w:t>
      </w:r>
      <w:r>
        <w:rPr>
          <w:lang w:val="en-GB"/>
        </w:rPr>
        <w:t xml:space="preserve"> </w:t>
      </w:r>
      <w:r w:rsidRPr="00752A17">
        <w:rPr>
          <w:lang w:val="en-GB"/>
        </w:rPr>
        <w:t>Evidence from the Stop WOKE Act</w:t>
      </w:r>
      <w:r>
        <w:rPr>
          <w:lang w:val="en-GB"/>
        </w:rPr>
        <w:t xml:space="preserve">. </w:t>
      </w:r>
      <w:r w:rsidR="005B1C1D" w:rsidRPr="005B1C1D">
        <w:rPr>
          <w:lang w:val="en-GB"/>
        </w:rPr>
        <w:t xml:space="preserve">(June 13, 2024). Available at SSRN: </w:t>
      </w:r>
      <w:hyperlink r:id="rId12" w:history="1">
        <w:r w:rsidR="005B1C1D" w:rsidRPr="00513E22">
          <w:rPr>
            <w:rStyle w:val="Hyperlink"/>
            <w:lang w:val="en-GB"/>
          </w:rPr>
          <w:t>http://dx.doi.org/10.2139/ssrn.4865475</w:t>
        </w:r>
      </w:hyperlink>
      <w:r w:rsidR="005B1C1D">
        <w:rPr>
          <w:lang w:val="en-GB"/>
        </w:rPr>
        <w:t>.</w:t>
      </w:r>
    </w:p>
    <w:p w14:paraId="0679FAF7" w14:textId="77777777" w:rsidR="00752A17" w:rsidRDefault="00752A17" w:rsidP="008674C2">
      <w:pPr>
        <w:jc w:val="both"/>
        <w:rPr>
          <w:lang w:val="en-GB"/>
        </w:rPr>
      </w:pPr>
    </w:p>
    <w:p w14:paraId="35B74313" w14:textId="5F99775E" w:rsidR="006F5693" w:rsidRDefault="004C0805" w:rsidP="008674C2">
      <w:pPr>
        <w:jc w:val="both"/>
        <w:rPr>
          <w:lang w:val="en-GB"/>
        </w:rPr>
      </w:pPr>
      <w:r w:rsidRPr="008674C2">
        <w:rPr>
          <w:lang w:val="en-GB"/>
        </w:rPr>
        <w:t>Colonnelli, E., McQuade, T., Ramos, G., Rauter, T. and Xiong, O. 2025</w:t>
      </w:r>
      <w:r w:rsidR="00AA5B81">
        <w:rPr>
          <w:lang w:val="en-GB"/>
        </w:rPr>
        <w:t>.</w:t>
      </w:r>
      <w:r w:rsidRPr="008674C2">
        <w:rPr>
          <w:lang w:val="en-GB"/>
        </w:rPr>
        <w:t xml:space="preserve"> ESG is the most polarizing</w:t>
      </w:r>
      <w:r w:rsidR="008674C2">
        <w:rPr>
          <w:lang w:val="en-GB"/>
        </w:rPr>
        <w:t xml:space="preserve"> </w:t>
      </w:r>
      <w:r w:rsidRPr="008674C2">
        <w:rPr>
          <w:lang w:val="en-GB"/>
        </w:rPr>
        <w:t>nonwage amenity: Evidence from a field experiment in Brazil</w:t>
      </w:r>
      <w:r w:rsidR="00AA5B81">
        <w:rPr>
          <w:lang w:val="en-GB"/>
        </w:rPr>
        <w:t>.</w:t>
      </w:r>
      <w:r w:rsidRPr="008674C2">
        <w:rPr>
          <w:lang w:val="en-GB"/>
        </w:rPr>
        <w:t xml:space="preserve"> AEA Papers and Proceedings, 115, 146–52</w:t>
      </w:r>
      <w:r w:rsidR="008674C2">
        <w:rPr>
          <w:lang w:val="en-GB"/>
        </w:rPr>
        <w:t>.</w:t>
      </w:r>
    </w:p>
    <w:p w14:paraId="08FBF803" w14:textId="77777777" w:rsidR="008674C2" w:rsidRDefault="008674C2" w:rsidP="008674C2">
      <w:pPr>
        <w:jc w:val="both"/>
        <w:rPr>
          <w:lang w:val="en-GB"/>
        </w:rPr>
      </w:pPr>
    </w:p>
    <w:p w14:paraId="24D019FA" w14:textId="1F4705C7" w:rsidR="00AA5B81" w:rsidRDefault="00AA5B81" w:rsidP="00AA5B81">
      <w:pPr>
        <w:jc w:val="both"/>
        <w:rPr>
          <w:lang w:val="en-GB"/>
        </w:rPr>
      </w:pPr>
      <w:r>
        <w:rPr>
          <w:lang w:val="en-GB"/>
        </w:rPr>
        <w:t xml:space="preserve">Evans, R. D. and Nochebuena-Evans, L. 2025. </w:t>
      </w:r>
      <w:r w:rsidRPr="00AA5B81">
        <w:rPr>
          <w:lang w:val="en-GB"/>
        </w:rPr>
        <w:t>Corporate social anti-activism and firm stock price: Evidence from</w:t>
      </w:r>
      <w:r>
        <w:rPr>
          <w:lang w:val="en-GB"/>
        </w:rPr>
        <w:t xml:space="preserve"> </w:t>
      </w:r>
      <w:r w:rsidRPr="00AA5B81">
        <w:rPr>
          <w:lang w:val="en-GB"/>
        </w:rPr>
        <w:t>DEI program elimination</w:t>
      </w:r>
      <w:r>
        <w:rPr>
          <w:lang w:val="en-GB"/>
        </w:rPr>
        <w:t>. Finance Research Letters, 76, 106968.</w:t>
      </w:r>
    </w:p>
    <w:p w14:paraId="2B5F6940" w14:textId="77777777" w:rsidR="00AA5B81" w:rsidRDefault="00AA5B81" w:rsidP="008674C2">
      <w:pPr>
        <w:jc w:val="both"/>
        <w:rPr>
          <w:lang w:val="en-GB"/>
        </w:rPr>
      </w:pPr>
    </w:p>
    <w:p w14:paraId="1FE1B2B9" w14:textId="6F4C1729" w:rsidR="00AA5B81" w:rsidRDefault="00AA5B81" w:rsidP="00AA5B81">
      <w:pPr>
        <w:jc w:val="both"/>
        <w:rPr>
          <w:lang w:val="en-GB"/>
        </w:rPr>
      </w:pPr>
      <w:r w:rsidRPr="00AA5B81">
        <w:t>Garavaglia, S., Van Landuyt, B. W.</w:t>
      </w:r>
      <w:r w:rsidRPr="00AA5B81">
        <w:rPr>
          <w:lang w:val="en-GB"/>
        </w:rPr>
        <w:t>, White</w:t>
      </w:r>
      <w:r>
        <w:rPr>
          <w:lang w:val="en-GB"/>
        </w:rPr>
        <w:t>, B. J. and</w:t>
      </w:r>
      <w:r w:rsidRPr="00AA5B81">
        <w:rPr>
          <w:lang w:val="en-GB"/>
        </w:rPr>
        <w:t xml:space="preserve"> Irwin</w:t>
      </w:r>
      <w:r>
        <w:rPr>
          <w:lang w:val="en-GB"/>
        </w:rPr>
        <w:t xml:space="preserve">, J. 2024. </w:t>
      </w:r>
      <w:r w:rsidRPr="00AA5B81">
        <w:rPr>
          <w:lang w:val="en-GB"/>
        </w:rPr>
        <w:t>The ESG stopping effect: Do investor reactions differ across the</w:t>
      </w:r>
      <w:r>
        <w:rPr>
          <w:lang w:val="en-GB"/>
        </w:rPr>
        <w:t xml:space="preserve"> </w:t>
      </w:r>
      <w:r w:rsidRPr="00AA5B81">
        <w:rPr>
          <w:lang w:val="en-GB"/>
        </w:rPr>
        <w:t>lifespan of ESG initiatives?</w:t>
      </w:r>
      <w:r>
        <w:rPr>
          <w:lang w:val="en-GB"/>
        </w:rPr>
        <w:t xml:space="preserve"> Accounting, Organizations and Society, 113, 101441.</w:t>
      </w:r>
    </w:p>
    <w:p w14:paraId="1AAB5634" w14:textId="77777777" w:rsidR="00AA5B81" w:rsidRDefault="00AA5B81" w:rsidP="008674C2">
      <w:pPr>
        <w:jc w:val="both"/>
        <w:rPr>
          <w:lang w:val="en-GB"/>
        </w:rPr>
      </w:pPr>
    </w:p>
    <w:p w14:paraId="7EC5CEFB" w14:textId="774750D2" w:rsidR="008674C2" w:rsidRDefault="008674C2" w:rsidP="00AA5B81">
      <w:pPr>
        <w:jc w:val="both"/>
        <w:rPr>
          <w:lang w:val="en-GB"/>
        </w:rPr>
      </w:pPr>
      <w:r w:rsidRPr="008674C2">
        <w:rPr>
          <w:lang w:val="en-GB"/>
        </w:rPr>
        <w:t>Hedblom, D., Hickman, B. R., and List, J. 2019</w:t>
      </w:r>
      <w:r w:rsidR="00AA5B81">
        <w:rPr>
          <w:lang w:val="en-GB"/>
        </w:rPr>
        <w:t>.</w:t>
      </w:r>
      <w:r w:rsidRPr="008674C2">
        <w:rPr>
          <w:lang w:val="en-GB"/>
        </w:rPr>
        <w:t xml:space="preserve"> Toward an understanding of corporate social responsibility: Theory and field experimental evidence</w:t>
      </w:r>
      <w:r w:rsidR="00AA5B81">
        <w:rPr>
          <w:lang w:val="en-GB"/>
        </w:rPr>
        <w:t>.</w:t>
      </w:r>
      <w:r w:rsidRPr="008674C2">
        <w:rPr>
          <w:lang w:val="en-GB"/>
        </w:rPr>
        <w:t xml:space="preserve"> NBER working paper 26222, Cambridge, MA: NBER</w:t>
      </w:r>
      <w:r w:rsidR="00AA5B81">
        <w:rPr>
          <w:lang w:val="en-GB"/>
        </w:rPr>
        <w:t>.</w:t>
      </w:r>
    </w:p>
    <w:p w14:paraId="45F34AA0" w14:textId="77777777" w:rsidR="005F2D48" w:rsidRDefault="005F2D48" w:rsidP="005F2D48">
      <w:pPr>
        <w:jc w:val="both"/>
      </w:pPr>
    </w:p>
    <w:p w14:paraId="3627E3FF" w14:textId="471DD3D3" w:rsidR="005F2D48" w:rsidRDefault="005F2D48" w:rsidP="005F2D48">
      <w:pPr>
        <w:jc w:val="both"/>
      </w:pPr>
      <w:r w:rsidRPr="0015166E">
        <w:t>Köbis, N., Rahwan, Z., Rilla, R., Supriyatno, B.I., Bersch, C., Ajaj, T., Bonnefon, J.F. and Rahwan, I. 2025. Delegation to artificial intelligence can increase dishonest behaviour. </w:t>
      </w:r>
      <w:r w:rsidRPr="00211C26">
        <w:t>Nature</w:t>
      </w:r>
      <w:r w:rsidRPr="005F2D48">
        <w:t>, </w:t>
      </w:r>
      <w:r w:rsidRPr="00211C26">
        <w:t>646</w:t>
      </w:r>
      <w:r>
        <w:t xml:space="preserve">, </w:t>
      </w:r>
      <w:r w:rsidRPr="0015166E">
        <w:t>8083, 126-134.</w:t>
      </w:r>
    </w:p>
    <w:p w14:paraId="638CA2C0" w14:textId="77777777" w:rsidR="008674C2" w:rsidRDefault="008674C2" w:rsidP="00AA5B81">
      <w:pPr>
        <w:jc w:val="both"/>
        <w:rPr>
          <w:lang w:val="en-GB"/>
        </w:rPr>
      </w:pPr>
    </w:p>
    <w:p w14:paraId="0DCF6202" w14:textId="6032AB01" w:rsidR="00AA5B81" w:rsidRPr="00AA5B81" w:rsidRDefault="00AA5B81" w:rsidP="00AA5B81">
      <w:pPr>
        <w:jc w:val="both"/>
      </w:pPr>
      <w:r w:rsidRPr="0067120F">
        <w:t xml:space="preserve">Li, Y., Fang, S. and Huan, T. C. 2017. </w:t>
      </w:r>
      <w:r w:rsidRPr="00AA5B81">
        <w:t>Consumer response to discontinuation of corporate</w:t>
      </w:r>
      <w:r>
        <w:t xml:space="preserve"> </w:t>
      </w:r>
      <w:r w:rsidRPr="00AA5B81">
        <w:t>social</w:t>
      </w:r>
      <w:r>
        <w:t xml:space="preserve"> </w:t>
      </w:r>
      <w:r w:rsidRPr="00AA5B81">
        <w:t>responsibility activities of hotels</w:t>
      </w:r>
      <w:r>
        <w:t>. International Journal of Hospitality Management, 64, 41-50.</w:t>
      </w:r>
    </w:p>
    <w:p w14:paraId="6F741D9E" w14:textId="77777777" w:rsidR="00AA5B81" w:rsidRPr="00AA5B81" w:rsidRDefault="00AA5B81" w:rsidP="00AA5B81">
      <w:pPr>
        <w:jc w:val="both"/>
      </w:pPr>
    </w:p>
    <w:p w14:paraId="47F455F6" w14:textId="77777777" w:rsidR="00240E33" w:rsidRDefault="00240E33" w:rsidP="00AA5B81">
      <w:pPr>
        <w:jc w:val="both"/>
        <w:rPr>
          <w:lang w:val="en-GB"/>
        </w:rPr>
      </w:pPr>
      <w:r w:rsidRPr="009A1446">
        <w:t xml:space="preserve">Olken, B. A. 2015. </w:t>
      </w:r>
      <w:r w:rsidRPr="00A46BDC">
        <w:rPr>
          <w:lang w:val="en-GB"/>
        </w:rPr>
        <w:t>Promises and perils of pre-analysis</w:t>
      </w:r>
      <w:r>
        <w:rPr>
          <w:lang w:val="en-GB"/>
        </w:rPr>
        <w:t xml:space="preserve"> plans.</w:t>
      </w:r>
      <w:r w:rsidRPr="00A46BDC">
        <w:rPr>
          <w:lang w:val="en-GB"/>
        </w:rPr>
        <w:t xml:space="preserve"> Journal of Economic Perspectives, 29</w:t>
      </w:r>
      <w:r>
        <w:rPr>
          <w:lang w:val="en-GB"/>
        </w:rPr>
        <w:t xml:space="preserve">, </w:t>
      </w:r>
      <w:r w:rsidRPr="00A46BDC">
        <w:rPr>
          <w:lang w:val="en-GB"/>
        </w:rPr>
        <w:t>3</w:t>
      </w:r>
      <w:r>
        <w:rPr>
          <w:lang w:val="en-GB"/>
        </w:rPr>
        <w:t>,</w:t>
      </w:r>
      <w:r w:rsidRPr="00A46BDC">
        <w:rPr>
          <w:lang w:val="en-GB"/>
        </w:rPr>
        <w:t xml:space="preserve"> 61-80.</w:t>
      </w:r>
    </w:p>
    <w:p w14:paraId="07480953" w14:textId="77777777" w:rsidR="008674C2" w:rsidRPr="008674C2" w:rsidRDefault="008674C2" w:rsidP="00C01020">
      <w:pPr>
        <w:rPr>
          <w:lang w:val="en-GB"/>
        </w:rPr>
      </w:pPr>
    </w:p>
    <w:sectPr w:rsidR="008674C2" w:rsidRPr="008674C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1B4D9E" w14:textId="77777777" w:rsidR="00F05A46" w:rsidRDefault="00F05A46" w:rsidP="00044906">
      <w:r>
        <w:separator/>
      </w:r>
    </w:p>
  </w:endnote>
  <w:endnote w:type="continuationSeparator" w:id="0">
    <w:p w14:paraId="78964B5A" w14:textId="77777777" w:rsidR="00F05A46" w:rsidRDefault="00F05A46" w:rsidP="00044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0223758"/>
      <w:docPartObj>
        <w:docPartGallery w:val="Page Numbers (Bottom of Page)"/>
        <w:docPartUnique/>
      </w:docPartObj>
    </w:sdtPr>
    <w:sdtEndPr>
      <w:rPr>
        <w:noProof/>
      </w:rPr>
    </w:sdtEndPr>
    <w:sdtContent>
      <w:p w14:paraId="66F85FCC" w14:textId="4681F199" w:rsidR="000740DE" w:rsidRDefault="000740DE">
        <w:pPr>
          <w:pStyle w:val="Footer"/>
          <w:jc w:val="center"/>
        </w:pPr>
        <w:r>
          <w:fldChar w:fldCharType="begin"/>
        </w:r>
        <w:r>
          <w:instrText xml:space="preserve"> PAGE   \* MERGEFORMAT </w:instrText>
        </w:r>
        <w:r>
          <w:fldChar w:fldCharType="separate"/>
        </w:r>
        <w:r w:rsidR="00F35B39">
          <w:rPr>
            <w:noProof/>
          </w:rPr>
          <w:t>1</w:t>
        </w:r>
        <w:r>
          <w:rPr>
            <w:noProof/>
          </w:rPr>
          <w:fldChar w:fldCharType="end"/>
        </w:r>
      </w:p>
    </w:sdtContent>
  </w:sdt>
  <w:p w14:paraId="61801370" w14:textId="77777777" w:rsidR="000740DE" w:rsidRDefault="00074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6DF29" w14:textId="77777777" w:rsidR="00F05A46" w:rsidRDefault="00F05A46" w:rsidP="00044906">
      <w:r>
        <w:separator/>
      </w:r>
    </w:p>
  </w:footnote>
  <w:footnote w:type="continuationSeparator" w:id="0">
    <w:p w14:paraId="1A32AACE" w14:textId="77777777" w:rsidR="00F05A46" w:rsidRDefault="00F05A46" w:rsidP="000449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503B6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5A131D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9B43F3B"/>
    <w:multiLevelType w:val="hybridMultilevel"/>
    <w:tmpl w:val="BE846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4B0402"/>
    <w:multiLevelType w:val="hybridMultilevel"/>
    <w:tmpl w:val="D75EB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A58B1"/>
    <w:multiLevelType w:val="hybridMultilevel"/>
    <w:tmpl w:val="9C40E5EC"/>
    <w:lvl w:ilvl="0" w:tplc="04140001">
      <w:start w:val="1"/>
      <w:numFmt w:val="bullet"/>
      <w:lvlText w:val=""/>
      <w:lvlJc w:val="left"/>
      <w:pPr>
        <w:ind w:left="765" w:hanging="360"/>
      </w:pPr>
      <w:rPr>
        <w:rFonts w:ascii="Symbol" w:hAnsi="Symbol" w:hint="default"/>
      </w:rPr>
    </w:lvl>
    <w:lvl w:ilvl="1" w:tplc="04140003" w:tentative="1">
      <w:start w:val="1"/>
      <w:numFmt w:val="bullet"/>
      <w:lvlText w:val="o"/>
      <w:lvlJc w:val="left"/>
      <w:pPr>
        <w:ind w:left="1485" w:hanging="360"/>
      </w:pPr>
      <w:rPr>
        <w:rFonts w:ascii="Courier New" w:hAnsi="Courier New" w:cs="Courier New" w:hint="default"/>
      </w:rPr>
    </w:lvl>
    <w:lvl w:ilvl="2" w:tplc="04140005" w:tentative="1">
      <w:start w:val="1"/>
      <w:numFmt w:val="bullet"/>
      <w:lvlText w:val=""/>
      <w:lvlJc w:val="left"/>
      <w:pPr>
        <w:ind w:left="2205" w:hanging="360"/>
      </w:pPr>
      <w:rPr>
        <w:rFonts w:ascii="Wingdings" w:hAnsi="Wingdings" w:hint="default"/>
      </w:rPr>
    </w:lvl>
    <w:lvl w:ilvl="3" w:tplc="04140001" w:tentative="1">
      <w:start w:val="1"/>
      <w:numFmt w:val="bullet"/>
      <w:lvlText w:val=""/>
      <w:lvlJc w:val="left"/>
      <w:pPr>
        <w:ind w:left="2925" w:hanging="360"/>
      </w:pPr>
      <w:rPr>
        <w:rFonts w:ascii="Symbol" w:hAnsi="Symbol" w:hint="default"/>
      </w:rPr>
    </w:lvl>
    <w:lvl w:ilvl="4" w:tplc="04140003" w:tentative="1">
      <w:start w:val="1"/>
      <w:numFmt w:val="bullet"/>
      <w:lvlText w:val="o"/>
      <w:lvlJc w:val="left"/>
      <w:pPr>
        <w:ind w:left="3645" w:hanging="360"/>
      </w:pPr>
      <w:rPr>
        <w:rFonts w:ascii="Courier New" w:hAnsi="Courier New" w:cs="Courier New" w:hint="default"/>
      </w:rPr>
    </w:lvl>
    <w:lvl w:ilvl="5" w:tplc="04140005" w:tentative="1">
      <w:start w:val="1"/>
      <w:numFmt w:val="bullet"/>
      <w:lvlText w:val=""/>
      <w:lvlJc w:val="left"/>
      <w:pPr>
        <w:ind w:left="4365" w:hanging="360"/>
      </w:pPr>
      <w:rPr>
        <w:rFonts w:ascii="Wingdings" w:hAnsi="Wingdings" w:hint="default"/>
      </w:rPr>
    </w:lvl>
    <w:lvl w:ilvl="6" w:tplc="04140001" w:tentative="1">
      <w:start w:val="1"/>
      <w:numFmt w:val="bullet"/>
      <w:lvlText w:val=""/>
      <w:lvlJc w:val="left"/>
      <w:pPr>
        <w:ind w:left="5085" w:hanging="360"/>
      </w:pPr>
      <w:rPr>
        <w:rFonts w:ascii="Symbol" w:hAnsi="Symbol" w:hint="default"/>
      </w:rPr>
    </w:lvl>
    <w:lvl w:ilvl="7" w:tplc="04140003" w:tentative="1">
      <w:start w:val="1"/>
      <w:numFmt w:val="bullet"/>
      <w:lvlText w:val="o"/>
      <w:lvlJc w:val="left"/>
      <w:pPr>
        <w:ind w:left="5805" w:hanging="360"/>
      </w:pPr>
      <w:rPr>
        <w:rFonts w:ascii="Courier New" w:hAnsi="Courier New" w:cs="Courier New" w:hint="default"/>
      </w:rPr>
    </w:lvl>
    <w:lvl w:ilvl="8" w:tplc="04140005" w:tentative="1">
      <w:start w:val="1"/>
      <w:numFmt w:val="bullet"/>
      <w:lvlText w:val=""/>
      <w:lvlJc w:val="left"/>
      <w:pPr>
        <w:ind w:left="6525" w:hanging="360"/>
      </w:pPr>
      <w:rPr>
        <w:rFonts w:ascii="Wingdings" w:hAnsi="Wingdings" w:hint="default"/>
      </w:rPr>
    </w:lvl>
  </w:abstractNum>
  <w:abstractNum w:abstractNumId="5" w15:restartNumberingAfterBreak="0">
    <w:nsid w:val="1F4E1F48"/>
    <w:multiLevelType w:val="hybridMultilevel"/>
    <w:tmpl w:val="68DE7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821C2"/>
    <w:multiLevelType w:val="hybridMultilevel"/>
    <w:tmpl w:val="AE047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A16449"/>
    <w:multiLevelType w:val="hybridMultilevel"/>
    <w:tmpl w:val="32A89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B30E1B"/>
    <w:multiLevelType w:val="hybridMultilevel"/>
    <w:tmpl w:val="A4665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C63F6B"/>
    <w:multiLevelType w:val="hybridMultilevel"/>
    <w:tmpl w:val="43A20ADE"/>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15:restartNumberingAfterBreak="0">
    <w:nsid w:val="3D3E281F"/>
    <w:multiLevelType w:val="hybridMultilevel"/>
    <w:tmpl w:val="70CE245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3D965764"/>
    <w:multiLevelType w:val="hybridMultilevel"/>
    <w:tmpl w:val="C110340E"/>
    <w:lvl w:ilvl="0" w:tplc="04140001">
      <w:start w:val="1"/>
      <w:numFmt w:val="bullet"/>
      <w:lvlText w:val=""/>
      <w:lvlJc w:val="left"/>
      <w:pPr>
        <w:ind w:left="765" w:hanging="360"/>
      </w:pPr>
      <w:rPr>
        <w:rFonts w:ascii="Symbol" w:hAnsi="Symbol" w:hint="default"/>
      </w:rPr>
    </w:lvl>
    <w:lvl w:ilvl="1" w:tplc="04140003" w:tentative="1">
      <w:start w:val="1"/>
      <w:numFmt w:val="bullet"/>
      <w:lvlText w:val="o"/>
      <w:lvlJc w:val="left"/>
      <w:pPr>
        <w:ind w:left="1485" w:hanging="360"/>
      </w:pPr>
      <w:rPr>
        <w:rFonts w:ascii="Courier New" w:hAnsi="Courier New" w:cs="Courier New" w:hint="default"/>
      </w:rPr>
    </w:lvl>
    <w:lvl w:ilvl="2" w:tplc="04140005" w:tentative="1">
      <w:start w:val="1"/>
      <w:numFmt w:val="bullet"/>
      <w:lvlText w:val=""/>
      <w:lvlJc w:val="left"/>
      <w:pPr>
        <w:ind w:left="2205" w:hanging="360"/>
      </w:pPr>
      <w:rPr>
        <w:rFonts w:ascii="Wingdings" w:hAnsi="Wingdings" w:hint="default"/>
      </w:rPr>
    </w:lvl>
    <w:lvl w:ilvl="3" w:tplc="04140001" w:tentative="1">
      <w:start w:val="1"/>
      <w:numFmt w:val="bullet"/>
      <w:lvlText w:val=""/>
      <w:lvlJc w:val="left"/>
      <w:pPr>
        <w:ind w:left="2925" w:hanging="360"/>
      </w:pPr>
      <w:rPr>
        <w:rFonts w:ascii="Symbol" w:hAnsi="Symbol" w:hint="default"/>
      </w:rPr>
    </w:lvl>
    <w:lvl w:ilvl="4" w:tplc="04140003" w:tentative="1">
      <w:start w:val="1"/>
      <w:numFmt w:val="bullet"/>
      <w:lvlText w:val="o"/>
      <w:lvlJc w:val="left"/>
      <w:pPr>
        <w:ind w:left="3645" w:hanging="360"/>
      </w:pPr>
      <w:rPr>
        <w:rFonts w:ascii="Courier New" w:hAnsi="Courier New" w:cs="Courier New" w:hint="default"/>
      </w:rPr>
    </w:lvl>
    <w:lvl w:ilvl="5" w:tplc="04140005" w:tentative="1">
      <w:start w:val="1"/>
      <w:numFmt w:val="bullet"/>
      <w:lvlText w:val=""/>
      <w:lvlJc w:val="left"/>
      <w:pPr>
        <w:ind w:left="4365" w:hanging="360"/>
      </w:pPr>
      <w:rPr>
        <w:rFonts w:ascii="Wingdings" w:hAnsi="Wingdings" w:hint="default"/>
      </w:rPr>
    </w:lvl>
    <w:lvl w:ilvl="6" w:tplc="04140001" w:tentative="1">
      <w:start w:val="1"/>
      <w:numFmt w:val="bullet"/>
      <w:lvlText w:val=""/>
      <w:lvlJc w:val="left"/>
      <w:pPr>
        <w:ind w:left="5085" w:hanging="360"/>
      </w:pPr>
      <w:rPr>
        <w:rFonts w:ascii="Symbol" w:hAnsi="Symbol" w:hint="default"/>
      </w:rPr>
    </w:lvl>
    <w:lvl w:ilvl="7" w:tplc="04140003" w:tentative="1">
      <w:start w:val="1"/>
      <w:numFmt w:val="bullet"/>
      <w:lvlText w:val="o"/>
      <w:lvlJc w:val="left"/>
      <w:pPr>
        <w:ind w:left="5805" w:hanging="360"/>
      </w:pPr>
      <w:rPr>
        <w:rFonts w:ascii="Courier New" w:hAnsi="Courier New" w:cs="Courier New" w:hint="default"/>
      </w:rPr>
    </w:lvl>
    <w:lvl w:ilvl="8" w:tplc="04140005" w:tentative="1">
      <w:start w:val="1"/>
      <w:numFmt w:val="bullet"/>
      <w:lvlText w:val=""/>
      <w:lvlJc w:val="left"/>
      <w:pPr>
        <w:ind w:left="6525" w:hanging="360"/>
      </w:pPr>
      <w:rPr>
        <w:rFonts w:ascii="Wingdings" w:hAnsi="Wingdings" w:hint="default"/>
      </w:rPr>
    </w:lvl>
  </w:abstractNum>
  <w:abstractNum w:abstractNumId="12" w15:restartNumberingAfterBreak="0">
    <w:nsid w:val="3F1123A5"/>
    <w:multiLevelType w:val="hybridMultilevel"/>
    <w:tmpl w:val="33628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652DA7"/>
    <w:multiLevelType w:val="hybridMultilevel"/>
    <w:tmpl w:val="4D9E2EE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4AB36A4A"/>
    <w:multiLevelType w:val="hybridMultilevel"/>
    <w:tmpl w:val="D324AD4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52A6618D"/>
    <w:multiLevelType w:val="hybridMultilevel"/>
    <w:tmpl w:val="7CCC3B1E"/>
    <w:lvl w:ilvl="0" w:tplc="5FFE2F40">
      <w:start w:val="1"/>
      <w:numFmt w:val="decimal"/>
      <w:lvlText w:val="%1."/>
      <w:lvlJc w:val="left"/>
      <w:pPr>
        <w:ind w:left="720" w:hanging="360"/>
      </w:pPr>
      <w:rPr>
        <w:rFonts w:asciiTheme="minorHAnsi" w:eastAsiaTheme="minorHAnsi" w:hAnsiTheme="minorHAnsi" w:cstheme="minorBidi"/>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584D4D80"/>
    <w:multiLevelType w:val="hybridMultilevel"/>
    <w:tmpl w:val="7316B07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676C70B7"/>
    <w:multiLevelType w:val="hybridMultilevel"/>
    <w:tmpl w:val="023AB81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8" w15:restartNumberingAfterBreak="0">
    <w:nsid w:val="692740AD"/>
    <w:multiLevelType w:val="hybridMultilevel"/>
    <w:tmpl w:val="FEA6F4B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7E35073D"/>
    <w:multiLevelType w:val="hybridMultilevel"/>
    <w:tmpl w:val="A612A0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6901412">
    <w:abstractNumId w:val="2"/>
  </w:num>
  <w:num w:numId="2" w16cid:durableId="43332993">
    <w:abstractNumId w:val="3"/>
  </w:num>
  <w:num w:numId="3" w16cid:durableId="838349451">
    <w:abstractNumId w:val="19"/>
  </w:num>
  <w:num w:numId="4" w16cid:durableId="1674528090">
    <w:abstractNumId w:val="7"/>
  </w:num>
  <w:num w:numId="5" w16cid:durableId="1502966121">
    <w:abstractNumId w:val="8"/>
  </w:num>
  <w:num w:numId="6" w16cid:durableId="15742015">
    <w:abstractNumId w:val="12"/>
  </w:num>
  <w:num w:numId="7" w16cid:durableId="2059890079">
    <w:abstractNumId w:val="6"/>
  </w:num>
  <w:num w:numId="8" w16cid:durableId="1404259283">
    <w:abstractNumId w:val="5"/>
  </w:num>
  <w:num w:numId="9" w16cid:durableId="1016883202">
    <w:abstractNumId w:val="18"/>
  </w:num>
  <w:num w:numId="10" w16cid:durableId="1972978932">
    <w:abstractNumId w:val="16"/>
  </w:num>
  <w:num w:numId="11" w16cid:durableId="1453867485">
    <w:abstractNumId w:val="17"/>
  </w:num>
  <w:num w:numId="12" w16cid:durableId="1333331976">
    <w:abstractNumId w:val="14"/>
  </w:num>
  <w:num w:numId="13" w16cid:durableId="189993455">
    <w:abstractNumId w:val="9"/>
  </w:num>
  <w:num w:numId="14" w16cid:durableId="202714290">
    <w:abstractNumId w:val="15"/>
  </w:num>
  <w:num w:numId="15" w16cid:durableId="1014724830">
    <w:abstractNumId w:val="4"/>
  </w:num>
  <w:num w:numId="16" w16cid:durableId="1485703837">
    <w:abstractNumId w:val="1"/>
  </w:num>
  <w:num w:numId="17" w16cid:durableId="1613366927">
    <w:abstractNumId w:val="0"/>
  </w:num>
  <w:num w:numId="18" w16cid:durableId="556206021">
    <w:abstractNumId w:val="13"/>
  </w:num>
  <w:num w:numId="19" w16cid:durableId="664628772">
    <w:abstractNumId w:val="10"/>
  </w:num>
  <w:num w:numId="20" w16cid:durableId="78566199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nb-NO"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nb-NO" w:vendorID="64" w:dllVersion="0" w:nlCheck="1" w:checkStyle="0"/>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049"/>
    <w:rsid w:val="00000DD2"/>
    <w:rsid w:val="0000147D"/>
    <w:rsid w:val="000067F3"/>
    <w:rsid w:val="00006E5C"/>
    <w:rsid w:val="00014056"/>
    <w:rsid w:val="00020417"/>
    <w:rsid w:val="0002423D"/>
    <w:rsid w:val="00030E07"/>
    <w:rsid w:val="00034370"/>
    <w:rsid w:val="0003674D"/>
    <w:rsid w:val="00043EA9"/>
    <w:rsid w:val="00044906"/>
    <w:rsid w:val="00057A48"/>
    <w:rsid w:val="00066978"/>
    <w:rsid w:val="000740DE"/>
    <w:rsid w:val="000742C9"/>
    <w:rsid w:val="00077BE8"/>
    <w:rsid w:val="000843E1"/>
    <w:rsid w:val="00092927"/>
    <w:rsid w:val="00095C67"/>
    <w:rsid w:val="000A07AF"/>
    <w:rsid w:val="000A30D1"/>
    <w:rsid w:val="000B04F3"/>
    <w:rsid w:val="000D3F1B"/>
    <w:rsid w:val="000E59FF"/>
    <w:rsid w:val="000F743D"/>
    <w:rsid w:val="00110292"/>
    <w:rsid w:val="00114664"/>
    <w:rsid w:val="00116FC0"/>
    <w:rsid w:val="001206EE"/>
    <w:rsid w:val="00130557"/>
    <w:rsid w:val="00135C6B"/>
    <w:rsid w:val="001440BE"/>
    <w:rsid w:val="0016273F"/>
    <w:rsid w:val="00162A30"/>
    <w:rsid w:val="00166D47"/>
    <w:rsid w:val="00175C25"/>
    <w:rsid w:val="001861C7"/>
    <w:rsid w:val="001909E0"/>
    <w:rsid w:val="00190E41"/>
    <w:rsid w:val="00192267"/>
    <w:rsid w:val="001B36EF"/>
    <w:rsid w:val="001D1BB5"/>
    <w:rsid w:val="001F03FD"/>
    <w:rsid w:val="00205C73"/>
    <w:rsid w:val="002061EC"/>
    <w:rsid w:val="00210F37"/>
    <w:rsid w:val="00211C26"/>
    <w:rsid w:val="0021281A"/>
    <w:rsid w:val="002170AF"/>
    <w:rsid w:val="00223B5D"/>
    <w:rsid w:val="00224492"/>
    <w:rsid w:val="00226C32"/>
    <w:rsid w:val="00232A25"/>
    <w:rsid w:val="00240E33"/>
    <w:rsid w:val="00261167"/>
    <w:rsid w:val="002630E6"/>
    <w:rsid w:val="002678BB"/>
    <w:rsid w:val="00271BAA"/>
    <w:rsid w:val="002806DD"/>
    <w:rsid w:val="00281B28"/>
    <w:rsid w:val="00290141"/>
    <w:rsid w:val="00293D74"/>
    <w:rsid w:val="002971E0"/>
    <w:rsid w:val="002A12F6"/>
    <w:rsid w:val="002A54E1"/>
    <w:rsid w:val="002A7B3B"/>
    <w:rsid w:val="002B03A5"/>
    <w:rsid w:val="002B0EBD"/>
    <w:rsid w:val="002B6FA8"/>
    <w:rsid w:val="002C5B00"/>
    <w:rsid w:val="002C667E"/>
    <w:rsid w:val="002D38B6"/>
    <w:rsid w:val="002E5156"/>
    <w:rsid w:val="002F456C"/>
    <w:rsid w:val="00311F1D"/>
    <w:rsid w:val="003132BE"/>
    <w:rsid w:val="00322AAB"/>
    <w:rsid w:val="0032601E"/>
    <w:rsid w:val="00341B1D"/>
    <w:rsid w:val="00355AFA"/>
    <w:rsid w:val="003616A0"/>
    <w:rsid w:val="00376204"/>
    <w:rsid w:val="00380774"/>
    <w:rsid w:val="00382A52"/>
    <w:rsid w:val="003841BD"/>
    <w:rsid w:val="00390B87"/>
    <w:rsid w:val="0039197F"/>
    <w:rsid w:val="003A20E4"/>
    <w:rsid w:val="003A5340"/>
    <w:rsid w:val="003A5D94"/>
    <w:rsid w:val="003B73A8"/>
    <w:rsid w:val="003C4309"/>
    <w:rsid w:val="003C4C80"/>
    <w:rsid w:val="003C64A8"/>
    <w:rsid w:val="003D78D8"/>
    <w:rsid w:val="003E6C83"/>
    <w:rsid w:val="003F3BE7"/>
    <w:rsid w:val="00410B10"/>
    <w:rsid w:val="00410CC0"/>
    <w:rsid w:val="00416E00"/>
    <w:rsid w:val="00445228"/>
    <w:rsid w:val="00460A61"/>
    <w:rsid w:val="0046643B"/>
    <w:rsid w:val="00473470"/>
    <w:rsid w:val="00474063"/>
    <w:rsid w:val="00474A0D"/>
    <w:rsid w:val="00491561"/>
    <w:rsid w:val="0049190F"/>
    <w:rsid w:val="00493BAF"/>
    <w:rsid w:val="004B19A2"/>
    <w:rsid w:val="004C0805"/>
    <w:rsid w:val="004C7397"/>
    <w:rsid w:val="004E6F17"/>
    <w:rsid w:val="004F2D07"/>
    <w:rsid w:val="004F60A2"/>
    <w:rsid w:val="00521049"/>
    <w:rsid w:val="005279F8"/>
    <w:rsid w:val="005429EE"/>
    <w:rsid w:val="00546FB2"/>
    <w:rsid w:val="0055065C"/>
    <w:rsid w:val="00553F9C"/>
    <w:rsid w:val="005574B9"/>
    <w:rsid w:val="005610D8"/>
    <w:rsid w:val="00566808"/>
    <w:rsid w:val="005674FA"/>
    <w:rsid w:val="005728F8"/>
    <w:rsid w:val="005755C0"/>
    <w:rsid w:val="00575A67"/>
    <w:rsid w:val="00583660"/>
    <w:rsid w:val="00584D8B"/>
    <w:rsid w:val="00590008"/>
    <w:rsid w:val="00593FFC"/>
    <w:rsid w:val="00595BD7"/>
    <w:rsid w:val="005B1C1D"/>
    <w:rsid w:val="005B6F85"/>
    <w:rsid w:val="005C6B29"/>
    <w:rsid w:val="005D2E6F"/>
    <w:rsid w:val="005D32F0"/>
    <w:rsid w:val="005F0A7B"/>
    <w:rsid w:val="005F2D48"/>
    <w:rsid w:val="00603174"/>
    <w:rsid w:val="00621AD8"/>
    <w:rsid w:val="00631B55"/>
    <w:rsid w:val="0064450C"/>
    <w:rsid w:val="00645F21"/>
    <w:rsid w:val="00655671"/>
    <w:rsid w:val="006579E5"/>
    <w:rsid w:val="0066675A"/>
    <w:rsid w:val="00666D6F"/>
    <w:rsid w:val="0067120F"/>
    <w:rsid w:val="00671ACA"/>
    <w:rsid w:val="006730BD"/>
    <w:rsid w:val="0068037D"/>
    <w:rsid w:val="00680748"/>
    <w:rsid w:val="006A03CC"/>
    <w:rsid w:val="006A317A"/>
    <w:rsid w:val="006A597E"/>
    <w:rsid w:val="006B0617"/>
    <w:rsid w:val="006B06FE"/>
    <w:rsid w:val="006B22E9"/>
    <w:rsid w:val="006C1032"/>
    <w:rsid w:val="006D70B4"/>
    <w:rsid w:val="006E341E"/>
    <w:rsid w:val="006E46FE"/>
    <w:rsid w:val="006E6B67"/>
    <w:rsid w:val="006F5693"/>
    <w:rsid w:val="007055C4"/>
    <w:rsid w:val="007064DC"/>
    <w:rsid w:val="00707E1F"/>
    <w:rsid w:val="00710BF5"/>
    <w:rsid w:val="00713D74"/>
    <w:rsid w:val="007344EF"/>
    <w:rsid w:val="00734CDA"/>
    <w:rsid w:val="00737E9C"/>
    <w:rsid w:val="00740F49"/>
    <w:rsid w:val="0074169F"/>
    <w:rsid w:val="00752A17"/>
    <w:rsid w:val="00761958"/>
    <w:rsid w:val="00762080"/>
    <w:rsid w:val="00762572"/>
    <w:rsid w:val="00772471"/>
    <w:rsid w:val="00777EF4"/>
    <w:rsid w:val="007904A4"/>
    <w:rsid w:val="00790A3E"/>
    <w:rsid w:val="007A124E"/>
    <w:rsid w:val="007A22D0"/>
    <w:rsid w:val="007A248D"/>
    <w:rsid w:val="007A3F8B"/>
    <w:rsid w:val="007B1766"/>
    <w:rsid w:val="007D1484"/>
    <w:rsid w:val="007E5C84"/>
    <w:rsid w:val="008007BD"/>
    <w:rsid w:val="00802FE8"/>
    <w:rsid w:val="008111AA"/>
    <w:rsid w:val="00823E4C"/>
    <w:rsid w:val="00831305"/>
    <w:rsid w:val="00835D8C"/>
    <w:rsid w:val="00836ABB"/>
    <w:rsid w:val="00843956"/>
    <w:rsid w:val="00850A4D"/>
    <w:rsid w:val="0085727B"/>
    <w:rsid w:val="0086516F"/>
    <w:rsid w:val="008674C2"/>
    <w:rsid w:val="008773E3"/>
    <w:rsid w:val="00883A93"/>
    <w:rsid w:val="008868DA"/>
    <w:rsid w:val="008C50EE"/>
    <w:rsid w:val="008C6722"/>
    <w:rsid w:val="008D0FBD"/>
    <w:rsid w:val="008D44C9"/>
    <w:rsid w:val="008E24EC"/>
    <w:rsid w:val="008E6BC7"/>
    <w:rsid w:val="00903BDF"/>
    <w:rsid w:val="00915E71"/>
    <w:rsid w:val="00920C2C"/>
    <w:rsid w:val="009407BC"/>
    <w:rsid w:val="00946A1F"/>
    <w:rsid w:val="009557C8"/>
    <w:rsid w:val="00961269"/>
    <w:rsid w:val="00962FEA"/>
    <w:rsid w:val="00964F06"/>
    <w:rsid w:val="00970B41"/>
    <w:rsid w:val="00971406"/>
    <w:rsid w:val="009729A2"/>
    <w:rsid w:val="009729EA"/>
    <w:rsid w:val="00972EA2"/>
    <w:rsid w:val="00973384"/>
    <w:rsid w:val="00980433"/>
    <w:rsid w:val="00986285"/>
    <w:rsid w:val="009869DA"/>
    <w:rsid w:val="009A06D3"/>
    <w:rsid w:val="009A1446"/>
    <w:rsid w:val="009A61E2"/>
    <w:rsid w:val="009B20AD"/>
    <w:rsid w:val="009B6DC9"/>
    <w:rsid w:val="009C2049"/>
    <w:rsid w:val="009C30B9"/>
    <w:rsid w:val="009C5C0C"/>
    <w:rsid w:val="009D42E5"/>
    <w:rsid w:val="009E4845"/>
    <w:rsid w:val="009F5842"/>
    <w:rsid w:val="00A0025F"/>
    <w:rsid w:val="00A20C9A"/>
    <w:rsid w:val="00A25B3B"/>
    <w:rsid w:val="00A30EB3"/>
    <w:rsid w:val="00A46BDC"/>
    <w:rsid w:val="00A47737"/>
    <w:rsid w:val="00A558C5"/>
    <w:rsid w:val="00A62494"/>
    <w:rsid w:val="00A629A7"/>
    <w:rsid w:val="00A75A0E"/>
    <w:rsid w:val="00A860CC"/>
    <w:rsid w:val="00A8652B"/>
    <w:rsid w:val="00A91ED8"/>
    <w:rsid w:val="00AA100C"/>
    <w:rsid w:val="00AA5A84"/>
    <w:rsid w:val="00AA5B81"/>
    <w:rsid w:val="00AC0622"/>
    <w:rsid w:val="00AF3B2E"/>
    <w:rsid w:val="00B01C86"/>
    <w:rsid w:val="00B0449C"/>
    <w:rsid w:val="00B120F8"/>
    <w:rsid w:val="00B21E35"/>
    <w:rsid w:val="00B272B2"/>
    <w:rsid w:val="00B33E84"/>
    <w:rsid w:val="00B4643A"/>
    <w:rsid w:val="00B464BA"/>
    <w:rsid w:val="00B46D90"/>
    <w:rsid w:val="00B54528"/>
    <w:rsid w:val="00B625E9"/>
    <w:rsid w:val="00B64F27"/>
    <w:rsid w:val="00B72127"/>
    <w:rsid w:val="00B759B2"/>
    <w:rsid w:val="00B819B7"/>
    <w:rsid w:val="00B92C5E"/>
    <w:rsid w:val="00B9476D"/>
    <w:rsid w:val="00B95208"/>
    <w:rsid w:val="00B977D5"/>
    <w:rsid w:val="00BA1A96"/>
    <w:rsid w:val="00BD21DA"/>
    <w:rsid w:val="00BD77BD"/>
    <w:rsid w:val="00BE0757"/>
    <w:rsid w:val="00BE2222"/>
    <w:rsid w:val="00BE5D18"/>
    <w:rsid w:val="00BF5FE8"/>
    <w:rsid w:val="00C01020"/>
    <w:rsid w:val="00C249F9"/>
    <w:rsid w:val="00C26878"/>
    <w:rsid w:val="00C31A1F"/>
    <w:rsid w:val="00C408FD"/>
    <w:rsid w:val="00C56ABA"/>
    <w:rsid w:val="00C60720"/>
    <w:rsid w:val="00C63170"/>
    <w:rsid w:val="00C659C2"/>
    <w:rsid w:val="00C70BEF"/>
    <w:rsid w:val="00C8018B"/>
    <w:rsid w:val="00C80B83"/>
    <w:rsid w:val="00C82465"/>
    <w:rsid w:val="00C97153"/>
    <w:rsid w:val="00C97236"/>
    <w:rsid w:val="00C97C81"/>
    <w:rsid w:val="00CC76EC"/>
    <w:rsid w:val="00CD07A0"/>
    <w:rsid w:val="00CD4E2B"/>
    <w:rsid w:val="00CD7EDD"/>
    <w:rsid w:val="00CE2D46"/>
    <w:rsid w:val="00CF00CA"/>
    <w:rsid w:val="00CF2150"/>
    <w:rsid w:val="00CF73A0"/>
    <w:rsid w:val="00CF797B"/>
    <w:rsid w:val="00D05120"/>
    <w:rsid w:val="00D06D00"/>
    <w:rsid w:val="00D070DB"/>
    <w:rsid w:val="00D07296"/>
    <w:rsid w:val="00D154E4"/>
    <w:rsid w:val="00D25C4D"/>
    <w:rsid w:val="00D27167"/>
    <w:rsid w:val="00D3629A"/>
    <w:rsid w:val="00D433F9"/>
    <w:rsid w:val="00D577B2"/>
    <w:rsid w:val="00D60EB8"/>
    <w:rsid w:val="00D7044C"/>
    <w:rsid w:val="00D76658"/>
    <w:rsid w:val="00D82B4E"/>
    <w:rsid w:val="00D92019"/>
    <w:rsid w:val="00D927EB"/>
    <w:rsid w:val="00D93CAB"/>
    <w:rsid w:val="00D971C7"/>
    <w:rsid w:val="00D9723A"/>
    <w:rsid w:val="00DA2F7C"/>
    <w:rsid w:val="00DB6B2D"/>
    <w:rsid w:val="00DC34B5"/>
    <w:rsid w:val="00DE1C50"/>
    <w:rsid w:val="00DE75CA"/>
    <w:rsid w:val="00DF075C"/>
    <w:rsid w:val="00DF1A0A"/>
    <w:rsid w:val="00DF5247"/>
    <w:rsid w:val="00E03618"/>
    <w:rsid w:val="00E14A43"/>
    <w:rsid w:val="00E17DE8"/>
    <w:rsid w:val="00E22F72"/>
    <w:rsid w:val="00E46FED"/>
    <w:rsid w:val="00E51D3F"/>
    <w:rsid w:val="00E563DD"/>
    <w:rsid w:val="00E568D2"/>
    <w:rsid w:val="00E65CAA"/>
    <w:rsid w:val="00E7131A"/>
    <w:rsid w:val="00E742F4"/>
    <w:rsid w:val="00E7745D"/>
    <w:rsid w:val="00E77E7C"/>
    <w:rsid w:val="00E818A8"/>
    <w:rsid w:val="00E9306E"/>
    <w:rsid w:val="00E93508"/>
    <w:rsid w:val="00EA1CE6"/>
    <w:rsid w:val="00EA59C9"/>
    <w:rsid w:val="00EB1777"/>
    <w:rsid w:val="00EB648B"/>
    <w:rsid w:val="00EC105A"/>
    <w:rsid w:val="00EC202E"/>
    <w:rsid w:val="00EC5E49"/>
    <w:rsid w:val="00EC6DC6"/>
    <w:rsid w:val="00ED5C59"/>
    <w:rsid w:val="00ED6B6F"/>
    <w:rsid w:val="00EE4485"/>
    <w:rsid w:val="00EE5363"/>
    <w:rsid w:val="00EF421A"/>
    <w:rsid w:val="00F05A46"/>
    <w:rsid w:val="00F14741"/>
    <w:rsid w:val="00F15733"/>
    <w:rsid w:val="00F16DF9"/>
    <w:rsid w:val="00F330E7"/>
    <w:rsid w:val="00F35B39"/>
    <w:rsid w:val="00F4037C"/>
    <w:rsid w:val="00F455C8"/>
    <w:rsid w:val="00F52F00"/>
    <w:rsid w:val="00F54262"/>
    <w:rsid w:val="00F7226B"/>
    <w:rsid w:val="00F735E1"/>
    <w:rsid w:val="00F93892"/>
    <w:rsid w:val="00F93D50"/>
    <w:rsid w:val="00FC0B6D"/>
    <w:rsid w:val="00FC0E97"/>
    <w:rsid w:val="00FC1EEA"/>
    <w:rsid w:val="00FC668F"/>
    <w:rsid w:val="00FD0553"/>
    <w:rsid w:val="00FD497F"/>
    <w:rsid w:val="00FE477A"/>
    <w:rsid w:val="00FF0230"/>
    <w:rsid w:val="00FF3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A9A9C"/>
  <w15:chartTrackingRefBased/>
  <w15:docId w15:val="{3FBC53D6-1A3C-40E5-B735-00F325753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i/>
      <w:iCs/>
      <w:color w:val="44546A" w:themeColor="text2"/>
      <w:sz w:val="18"/>
      <w:szCs w:val="18"/>
    </w:rPr>
  </w:style>
  <w:style w:type="paragraph" w:styleId="Header">
    <w:name w:val="header"/>
    <w:basedOn w:val="Normal"/>
    <w:link w:val="HeaderChar"/>
    <w:uiPriority w:val="99"/>
    <w:unhideWhenUsed/>
    <w:rsid w:val="00044906"/>
    <w:pPr>
      <w:tabs>
        <w:tab w:val="center" w:pos="4536"/>
        <w:tab w:val="right" w:pos="9072"/>
      </w:tabs>
    </w:pPr>
  </w:style>
  <w:style w:type="character" w:customStyle="1" w:styleId="HeaderChar">
    <w:name w:val="Header Char"/>
    <w:basedOn w:val="DefaultParagraphFont"/>
    <w:link w:val="Header"/>
    <w:uiPriority w:val="99"/>
    <w:rsid w:val="00044906"/>
  </w:style>
  <w:style w:type="paragraph" w:styleId="Footer">
    <w:name w:val="footer"/>
    <w:basedOn w:val="Normal"/>
    <w:link w:val="FooterChar"/>
    <w:uiPriority w:val="99"/>
    <w:unhideWhenUsed/>
    <w:rsid w:val="00044906"/>
    <w:pPr>
      <w:tabs>
        <w:tab w:val="center" w:pos="4536"/>
        <w:tab w:val="right" w:pos="9072"/>
      </w:tabs>
    </w:pPr>
  </w:style>
  <w:style w:type="character" w:customStyle="1" w:styleId="FooterChar">
    <w:name w:val="Footer Char"/>
    <w:basedOn w:val="DefaultParagraphFont"/>
    <w:link w:val="Footer"/>
    <w:uiPriority w:val="99"/>
    <w:rsid w:val="00044906"/>
  </w:style>
  <w:style w:type="character" w:styleId="PlaceholderText">
    <w:name w:val="Placeholder Text"/>
    <w:basedOn w:val="DefaultParagraphFont"/>
    <w:uiPriority w:val="99"/>
    <w:semiHidden/>
    <w:rsid w:val="00823E4C"/>
    <w:rPr>
      <w:color w:val="808080"/>
    </w:rPr>
  </w:style>
  <w:style w:type="paragraph" w:styleId="BalloonText">
    <w:name w:val="Balloon Text"/>
    <w:basedOn w:val="Normal"/>
    <w:link w:val="BalloonTextChar"/>
    <w:uiPriority w:val="99"/>
    <w:semiHidden/>
    <w:unhideWhenUsed/>
    <w:rsid w:val="004734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3470"/>
    <w:rPr>
      <w:rFonts w:ascii="Segoe UI" w:hAnsi="Segoe UI" w:cs="Segoe UI"/>
      <w:sz w:val="18"/>
      <w:szCs w:val="18"/>
    </w:rPr>
  </w:style>
  <w:style w:type="paragraph" w:styleId="FootnoteText">
    <w:name w:val="footnote text"/>
    <w:basedOn w:val="Normal"/>
    <w:link w:val="FootnoteTextChar"/>
    <w:uiPriority w:val="99"/>
    <w:semiHidden/>
    <w:unhideWhenUsed/>
    <w:rsid w:val="00980433"/>
    <w:rPr>
      <w:sz w:val="20"/>
      <w:szCs w:val="20"/>
    </w:rPr>
  </w:style>
  <w:style w:type="character" w:customStyle="1" w:styleId="FootnoteTextChar">
    <w:name w:val="Footnote Text Char"/>
    <w:basedOn w:val="DefaultParagraphFont"/>
    <w:link w:val="FootnoteText"/>
    <w:uiPriority w:val="99"/>
    <w:semiHidden/>
    <w:rsid w:val="00980433"/>
    <w:rPr>
      <w:sz w:val="20"/>
      <w:szCs w:val="20"/>
    </w:rPr>
  </w:style>
  <w:style w:type="character" w:styleId="FootnoteReference">
    <w:name w:val="footnote reference"/>
    <w:basedOn w:val="DefaultParagraphFont"/>
    <w:uiPriority w:val="99"/>
    <w:semiHidden/>
    <w:unhideWhenUsed/>
    <w:rsid w:val="00980433"/>
    <w:rPr>
      <w:vertAlign w:val="superscript"/>
    </w:rPr>
  </w:style>
  <w:style w:type="character" w:styleId="CommentReference">
    <w:name w:val="annotation reference"/>
    <w:basedOn w:val="DefaultParagraphFont"/>
    <w:uiPriority w:val="99"/>
    <w:semiHidden/>
    <w:unhideWhenUsed/>
    <w:rsid w:val="00A30EB3"/>
    <w:rPr>
      <w:sz w:val="16"/>
      <w:szCs w:val="16"/>
    </w:rPr>
  </w:style>
  <w:style w:type="paragraph" w:styleId="CommentText">
    <w:name w:val="annotation text"/>
    <w:basedOn w:val="Normal"/>
    <w:link w:val="CommentTextChar"/>
    <w:uiPriority w:val="99"/>
    <w:unhideWhenUsed/>
    <w:rsid w:val="00A30EB3"/>
    <w:rPr>
      <w:sz w:val="20"/>
      <w:szCs w:val="20"/>
    </w:rPr>
  </w:style>
  <w:style w:type="character" w:customStyle="1" w:styleId="CommentTextChar">
    <w:name w:val="Comment Text Char"/>
    <w:basedOn w:val="DefaultParagraphFont"/>
    <w:link w:val="CommentText"/>
    <w:uiPriority w:val="99"/>
    <w:rsid w:val="00A30EB3"/>
    <w:rPr>
      <w:sz w:val="20"/>
      <w:szCs w:val="20"/>
    </w:rPr>
  </w:style>
  <w:style w:type="paragraph" w:styleId="CommentSubject">
    <w:name w:val="annotation subject"/>
    <w:basedOn w:val="CommentText"/>
    <w:next w:val="CommentText"/>
    <w:link w:val="CommentSubjectChar"/>
    <w:uiPriority w:val="99"/>
    <w:semiHidden/>
    <w:unhideWhenUsed/>
    <w:rsid w:val="00A30EB3"/>
    <w:rPr>
      <w:b/>
      <w:bCs/>
    </w:rPr>
  </w:style>
  <w:style w:type="character" w:customStyle="1" w:styleId="CommentSubjectChar">
    <w:name w:val="Comment Subject Char"/>
    <w:basedOn w:val="CommentTextChar"/>
    <w:link w:val="CommentSubject"/>
    <w:uiPriority w:val="99"/>
    <w:semiHidden/>
    <w:rsid w:val="00A30EB3"/>
    <w:rPr>
      <w:b/>
      <w:bCs/>
      <w:sz w:val="20"/>
      <w:szCs w:val="20"/>
    </w:rPr>
  </w:style>
  <w:style w:type="paragraph" w:styleId="Revision">
    <w:name w:val="Revision"/>
    <w:hidden/>
    <w:uiPriority w:val="99"/>
    <w:semiHidden/>
    <w:rsid w:val="007A248D"/>
  </w:style>
  <w:style w:type="character" w:styleId="UnresolvedMention">
    <w:name w:val="Unresolved Mention"/>
    <w:basedOn w:val="DefaultParagraphFont"/>
    <w:uiPriority w:val="99"/>
    <w:semiHidden/>
    <w:unhideWhenUsed/>
    <w:rsid w:val="00752A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355037">
      <w:bodyDiv w:val="1"/>
      <w:marLeft w:val="0"/>
      <w:marRight w:val="0"/>
      <w:marTop w:val="0"/>
      <w:marBottom w:val="0"/>
      <w:divBdr>
        <w:top w:val="none" w:sz="0" w:space="0" w:color="auto"/>
        <w:left w:val="none" w:sz="0" w:space="0" w:color="auto"/>
        <w:bottom w:val="none" w:sz="0" w:space="0" w:color="auto"/>
        <w:right w:val="none" w:sz="0" w:space="0" w:color="auto"/>
      </w:divBdr>
    </w:div>
    <w:div w:id="152968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dx.doi.org/10.2139/ssrn.486547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x.doi.org/10.2139/ssrn.5525559"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vark\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39109439179B544F8D88A46EC3854F27" ma:contentTypeVersion="8" ma:contentTypeDescription="Opprett et nytt dokument." ma:contentTypeScope="" ma:versionID="6dae168185e3f43146ea20625ff3304c">
  <xsd:schema xmlns:xsd="http://www.w3.org/2001/XMLSchema" xmlns:xs="http://www.w3.org/2001/XMLSchema" xmlns:p="http://schemas.microsoft.com/office/2006/metadata/properties" xmlns:ns3="8a8bec52-5105-40cc-af25-cf9a7795bbdd" targetNamespace="http://schemas.microsoft.com/office/2006/metadata/properties" ma:root="true" ma:fieldsID="5de70baf347336d152936e34981d4022" ns3:_="">
    <xsd:import namespace="8a8bec52-5105-40cc-af25-cf9a7795bbd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8bec52-5105-40cc-af25-cf9a7795bb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67A968-42FD-46F9-BAC8-88D95EF0A098}">
  <ds:schemaRefs>
    <ds:schemaRef ds:uri="http://schemas.openxmlformats.org/officeDocument/2006/bibliography"/>
  </ds:schemaRefs>
</ds:datastoreItem>
</file>

<file path=customXml/itemProps2.xml><?xml version="1.0" encoding="utf-8"?>
<ds:datastoreItem xmlns:ds="http://schemas.openxmlformats.org/officeDocument/2006/customXml" ds:itemID="{46244F83-F7C3-451F-B494-3A109E0D9C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8bec52-5105-40cc-af25-cf9a7795bb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529E6B-6509-4358-9D17-F1C9B494C038}">
  <ds:schemaRefs>
    <ds:schemaRef ds:uri="http://schemas.microsoft.com/sharepoint/v3/contenttype/forms"/>
  </ds:schemaRefs>
</ds:datastoreItem>
</file>

<file path=customXml/itemProps4.xml><?xml version="1.0" encoding="utf-8"?>
<ds:datastoreItem xmlns:ds="http://schemas.openxmlformats.org/officeDocument/2006/customXml" ds:itemID="{94719E45-887D-4C08-B2CE-6FC2B765B1D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58</TotalTime>
  <Pages>7</Pages>
  <Words>2459</Words>
  <Characters>13432</Characters>
  <Application>Microsoft Office Word</Application>
  <DocSecurity>0</DocSecurity>
  <Lines>298</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Ivar Kolstad</dc:creator>
  <cp:keywords/>
  <dc:description/>
  <cp:lastModifiedBy>Ivar Kolstad</cp:lastModifiedBy>
  <cp:revision>6</cp:revision>
  <cp:lastPrinted>2026-03-18T07:02:00Z</cp:lastPrinted>
  <dcterms:created xsi:type="dcterms:W3CDTF">2026-03-21T14:40:00Z</dcterms:created>
  <dcterms:modified xsi:type="dcterms:W3CDTF">2026-03-23T10:55:00Z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y fmtid="{D5CDD505-2E9C-101B-9397-08002B2CF9AE}" pid="3" name="ContentTypeId">
    <vt:lpwstr>0x01010039109439179B544F8D88A46EC3854F27</vt:lpwstr>
  </property>
</Properties>
</file>