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DCAB6" w14:textId="77777777" w:rsidR="00784387" w:rsidRPr="00670A3C" w:rsidRDefault="00000000">
      <w:pPr>
        <w:spacing w:after="80"/>
        <w:jc w:val="center"/>
        <w:rPr>
          <w:lang w:val="en-GB"/>
        </w:rPr>
      </w:pPr>
      <w:r w:rsidRPr="00670A3C">
        <w:rPr>
          <w:b/>
          <w:bCs/>
          <w:sz w:val="32"/>
          <w:szCs w:val="32"/>
          <w:lang w:val="en-GB"/>
        </w:rPr>
        <w:t>PRE-ANALYSIS PLAN</w:t>
      </w:r>
    </w:p>
    <w:p w14:paraId="7E769F1A" w14:textId="77777777" w:rsidR="00784387" w:rsidRPr="00670A3C" w:rsidRDefault="00000000">
      <w:pPr>
        <w:spacing w:after="80"/>
        <w:jc w:val="center"/>
        <w:rPr>
          <w:lang w:val="en-GB"/>
        </w:rPr>
      </w:pPr>
      <w:r w:rsidRPr="00670A3C">
        <w:rPr>
          <w:b/>
          <w:bCs/>
          <w:sz w:val="28"/>
          <w:szCs w:val="28"/>
          <w:lang w:val="en-GB"/>
        </w:rPr>
        <w:t>Public Preferences for University Financing in Spain</w:t>
      </w:r>
    </w:p>
    <w:p w14:paraId="27C2935F" w14:textId="77777777" w:rsidR="00784387" w:rsidRPr="0089609D" w:rsidRDefault="00000000">
      <w:pPr>
        <w:spacing w:after="80"/>
        <w:jc w:val="center"/>
        <w:rPr>
          <w:lang w:val="en-GB"/>
        </w:rPr>
      </w:pPr>
      <w:r w:rsidRPr="0089609D">
        <w:rPr>
          <w:b/>
          <w:bCs/>
          <w:sz w:val="26"/>
          <w:szCs w:val="26"/>
          <w:lang w:val="en-GB"/>
        </w:rPr>
        <w:t>A Survey Experiment</w:t>
      </w:r>
    </w:p>
    <w:p w14:paraId="6E9C5EC7" w14:textId="46420806" w:rsidR="00784387" w:rsidRPr="0089609D" w:rsidRDefault="00784387">
      <w:pPr>
        <w:spacing w:after="280"/>
        <w:jc w:val="center"/>
        <w:rPr>
          <w:lang w:val="en-GB"/>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4860"/>
      </w:tblGrid>
      <w:tr w:rsidR="00784387" w14:paraId="08BDEB73" w14:textId="77777777">
        <w:trPr>
          <w:tblHeader/>
        </w:trPr>
        <w:tc>
          <w:tcPr>
            <w:tcW w:w="45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7FECEC21" w14:textId="77777777" w:rsidR="00784387" w:rsidRDefault="00000000">
            <w:pPr>
              <w:spacing w:line="260" w:lineRule="auto"/>
            </w:pPr>
            <w:r>
              <w:rPr>
                <w:b/>
                <w:bCs/>
                <w:sz w:val="20"/>
                <w:szCs w:val="20"/>
              </w:rPr>
              <w:t>Principal Investigators</w:t>
            </w:r>
          </w:p>
        </w:tc>
        <w:tc>
          <w:tcPr>
            <w:tcW w:w="48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3F2BA74C" w14:textId="77777777" w:rsidR="00784387" w:rsidRDefault="00000000">
            <w:pPr>
              <w:spacing w:line="260" w:lineRule="auto"/>
            </w:pPr>
            <w:r>
              <w:rPr>
                <w:b/>
                <w:bCs/>
                <w:sz w:val="20"/>
                <w:szCs w:val="20"/>
              </w:rPr>
              <w:t>Study Information</w:t>
            </w:r>
          </w:p>
        </w:tc>
      </w:tr>
      <w:tr w:rsidR="00784387" w:rsidRPr="007541BA" w14:paraId="5E322608" w14:textId="77777777">
        <w:tc>
          <w:tcPr>
            <w:tcW w:w="45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8FE5046" w14:textId="77777777" w:rsidR="00784387" w:rsidRDefault="00000000">
            <w:pPr>
              <w:spacing w:line="260" w:lineRule="auto"/>
            </w:pPr>
            <w:r>
              <w:rPr>
                <w:sz w:val="20"/>
                <w:szCs w:val="20"/>
              </w:rPr>
              <w:t>Antonio Cabrales (UC3M) María Teresa Ballestar (URJC) Jorge Sainz (URJC) Marta Martínez (UAM) Ismael Sanz (URJC)</w:t>
            </w:r>
          </w:p>
        </w:tc>
        <w:tc>
          <w:tcPr>
            <w:tcW w:w="4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F5A81CB" w14:textId="344E3F3E" w:rsidR="00784387" w:rsidRPr="0089609D" w:rsidRDefault="00000000">
            <w:pPr>
              <w:spacing w:line="260" w:lineRule="auto"/>
              <w:rPr>
                <w:lang w:val="en-GB"/>
              </w:rPr>
            </w:pPr>
            <w:r w:rsidRPr="0089609D">
              <w:rPr>
                <w:sz w:val="20"/>
                <w:szCs w:val="20"/>
                <w:lang w:val="en-GB"/>
              </w:rPr>
              <w:t xml:space="preserve">Registry: AEA RCT Registry JEL codes: I22, I28, H52, D72 Sample target: at least 5,000 respondents Groups: 1 control plus 4 treatments Version: April 2026 (revised) Survey instrument: </w:t>
            </w:r>
            <w:r w:rsidR="007541BA">
              <w:rPr>
                <w:sz w:val="20"/>
                <w:szCs w:val="20"/>
                <w:lang w:val="en-GB"/>
              </w:rPr>
              <w:t>May</w:t>
            </w:r>
            <w:r w:rsidRPr="0089609D">
              <w:rPr>
                <w:sz w:val="20"/>
                <w:szCs w:val="20"/>
                <w:lang w:val="en-GB"/>
              </w:rPr>
              <w:t xml:space="preserve"> 2026</w:t>
            </w:r>
          </w:p>
        </w:tc>
      </w:tr>
    </w:tbl>
    <w:p w14:paraId="44E9E037" w14:textId="77777777" w:rsidR="00784387" w:rsidRPr="0089609D" w:rsidRDefault="00784387">
      <w:pPr>
        <w:spacing w:after="200"/>
        <w:rPr>
          <w:lang w:val="en-GB"/>
        </w:rPr>
      </w:pPr>
    </w:p>
    <w:p w14:paraId="5B4B799E" w14:textId="77777777" w:rsidR="00784387" w:rsidRPr="0089609D" w:rsidRDefault="00000000">
      <w:pPr>
        <w:pStyle w:val="Ttulo1"/>
        <w:rPr>
          <w:lang w:val="en-GB"/>
        </w:rPr>
      </w:pPr>
      <w:r w:rsidRPr="0089609D">
        <w:rPr>
          <w:lang w:val="en-GB"/>
        </w:rPr>
        <w:t>Abstract</w:t>
      </w:r>
    </w:p>
    <w:p w14:paraId="798581DB" w14:textId="77777777" w:rsidR="00784387" w:rsidRPr="0089609D" w:rsidRDefault="00000000">
      <w:pPr>
        <w:spacing w:after="120" w:line="280" w:lineRule="auto"/>
        <w:jc w:val="both"/>
        <w:rPr>
          <w:lang w:val="en-GB"/>
        </w:rPr>
      </w:pPr>
      <w:r w:rsidRPr="0089609D">
        <w:rPr>
          <w:lang w:val="en-GB"/>
        </w:rPr>
        <w:t>This pre-analysis plan registers the design, hypotheses, and analysis strategy for a survey experiment on public preferences for university financing in Spain. The study replicates and extends Lergetporer and Woessmann (2023, Journal of Public Economics). A nationally representative sample of Spanish adults will be randomly assigned to one of five conditions: a control group receiving a neutral placebo text about the Spanish university system, and four informational treatment arms receiving distinct factual information blocks before answering policy preference questions. The two pre-registered primary outcomes are support for higher tuition fees in public universities (Y1) and support for higher public spending on universities even at the cost of taxes or other budget items (Y2), both elicited before and after treatment. A secondary primary outcome restricted to Treatment 3 captures support for budgetary accountability of public universities and the priority destination of additional public spending. Secondary outcomes include prior belief accuracy about earnings and public costs, perceived fairness of alternative financing systems, willingness to pay, and post-treatment numerical earnings beliefs. The analysis is complemented by a triangulation strategy in which synthetic respondents generated by three large language models (LLMs) provide a structural contrast for the empirical patterns.</w:t>
      </w:r>
    </w:p>
    <w:p w14:paraId="11D39823" w14:textId="77777777" w:rsidR="00784387" w:rsidRPr="0089609D" w:rsidRDefault="00000000">
      <w:pPr>
        <w:pStyle w:val="Ttulo1"/>
        <w:rPr>
          <w:lang w:val="en-GB"/>
        </w:rPr>
      </w:pPr>
      <w:r w:rsidRPr="0089609D">
        <w:rPr>
          <w:lang w:val="en-GB"/>
        </w:rPr>
        <w:t>1. Introduction and Background</w:t>
      </w:r>
    </w:p>
    <w:p w14:paraId="7D8027A4" w14:textId="77777777" w:rsidR="00784387" w:rsidRPr="0089609D" w:rsidRDefault="00000000">
      <w:pPr>
        <w:spacing w:after="120" w:line="280" w:lineRule="auto"/>
        <w:jc w:val="both"/>
        <w:rPr>
          <w:lang w:val="en-GB"/>
        </w:rPr>
      </w:pPr>
      <w:r w:rsidRPr="0089609D">
        <w:rPr>
          <w:lang w:val="en-GB"/>
        </w:rPr>
        <w:t>How individuals form preferences about the public financing of higher education is a central question in political economy. In Spain, approximately 80% of total university expenditure is covered by public funds, with students contributing around 20% through tuition fees. Public spending per student is approximately €10,000 per year, below the OECD average of €13,000, and total higher education expenditure amounts to about 0.76% of GDP, against an OECD average of 1.08%. Despite this high level of public investment, public debate over the appropriate level of tuition fees and subsidies remains contentious. Public preferences are shaped by perceptions, often inaccurate, about the labour market returns to a university degree, the costs of the system, and the distributional properties of alternative financing arrangements.</w:t>
      </w:r>
    </w:p>
    <w:p w14:paraId="387DAFDF" w14:textId="77777777" w:rsidR="00784387" w:rsidRPr="0089609D" w:rsidRDefault="00000000">
      <w:pPr>
        <w:spacing w:after="120" w:line="280" w:lineRule="auto"/>
        <w:jc w:val="both"/>
        <w:rPr>
          <w:lang w:val="en-GB"/>
        </w:rPr>
      </w:pPr>
      <w:r w:rsidRPr="0089609D">
        <w:rPr>
          <w:lang w:val="en-GB"/>
        </w:rPr>
        <w:t xml:space="preserve">Lergetporer and Woessmann (2023) showed in Germany that providing citizens with accurate information about the private earnings premium of a university degree shifted preferences toward support for tuition </w:t>
      </w:r>
      <w:r w:rsidRPr="0089609D">
        <w:rPr>
          <w:lang w:val="en-GB"/>
        </w:rPr>
        <w:lastRenderedPageBreak/>
        <w:t>fees by approximately 6.9 percentage points, a result replicated across three independent nationally representative waves. Lergetporer and Woessmann (2022, IZA DP 14991) further showed that information about income contingent loans (ICL) raised support for tuition fees by 20 to 25 pp relative to regular fees. Busemeyer, Schönhage and Schwerdt (2026, EJPE) found that redistributive fee designs increase support by up to 21 pp over flat fees. The methodological design recommendations of Haaland, Roth and Wohlfart (2023, JEL), namely matched length placebo texts, pre-treatment elicitation of priors, and embedded manipulation and attention checks, guide our implementation.</w:t>
      </w:r>
    </w:p>
    <w:p w14:paraId="48D0CA10" w14:textId="77777777" w:rsidR="00784387" w:rsidRPr="0089609D" w:rsidRDefault="00000000">
      <w:pPr>
        <w:spacing w:after="120" w:line="280" w:lineRule="auto"/>
        <w:jc w:val="both"/>
        <w:rPr>
          <w:lang w:val="en-GB"/>
        </w:rPr>
      </w:pPr>
      <w:r w:rsidRPr="0089609D">
        <w:rPr>
          <w:lang w:val="en-GB"/>
        </w:rPr>
        <w:t>This study applies and extends this approach to Spain. We introduce four treatment arms: earnings returns (T1, replicating L&amp;W 2023), fiscal trade-offs (T2), university quality heterogeneity (T3), and income contingent and means tested alternative financing systems (T4). Spain differs from Germany in the level of tuition fees, the structure of the labour market, and the political salience of university access, making replication and extension in this context independently valuable.</w:t>
      </w:r>
    </w:p>
    <w:p w14:paraId="0CE4AFAB" w14:textId="77777777" w:rsidR="00784387" w:rsidRPr="0089609D" w:rsidRDefault="00000000">
      <w:pPr>
        <w:pStyle w:val="Ttulo1"/>
        <w:rPr>
          <w:lang w:val="en-GB"/>
        </w:rPr>
      </w:pPr>
      <w:r w:rsidRPr="0089609D">
        <w:rPr>
          <w:lang w:val="en-GB"/>
        </w:rPr>
        <w:t>2. Research Questions</w:t>
      </w:r>
    </w:p>
    <w:p w14:paraId="3C33DD28" w14:textId="77777777" w:rsidR="00784387" w:rsidRPr="0089609D" w:rsidRDefault="00000000">
      <w:pPr>
        <w:spacing w:after="120" w:line="280" w:lineRule="auto"/>
        <w:jc w:val="both"/>
        <w:rPr>
          <w:lang w:val="en-GB"/>
        </w:rPr>
      </w:pPr>
      <w:r w:rsidRPr="0089609D">
        <w:rPr>
          <w:lang w:val="en-GB"/>
        </w:rPr>
        <w:t>This study addresses the following confirmatory and exploratory research questions:</w:t>
      </w:r>
    </w:p>
    <w:p w14:paraId="2CB81D8D" w14:textId="77777777" w:rsidR="00784387" w:rsidRPr="0089609D" w:rsidRDefault="00000000">
      <w:pPr>
        <w:pStyle w:val="Prrafodelista"/>
        <w:numPr>
          <w:ilvl w:val="0"/>
          <w:numId w:val="2"/>
        </w:numPr>
        <w:spacing w:after="80" w:line="280" w:lineRule="auto"/>
        <w:rPr>
          <w:lang w:val="en-GB"/>
        </w:rPr>
      </w:pPr>
      <w:r w:rsidRPr="0089609D">
        <w:rPr>
          <w:lang w:val="en-GB"/>
        </w:rPr>
        <w:t>Q1 (T1, confirmatory). Does information about the labour market earnings premium of a university degree over higher vocational training (FP de Grado Superior) increase public support for higher university tuition fees in Spain?</w:t>
      </w:r>
    </w:p>
    <w:p w14:paraId="2E5271C8" w14:textId="77777777" w:rsidR="00784387" w:rsidRPr="0089609D" w:rsidRDefault="00000000">
      <w:pPr>
        <w:pStyle w:val="Prrafodelista"/>
        <w:numPr>
          <w:ilvl w:val="0"/>
          <w:numId w:val="2"/>
        </w:numPr>
        <w:spacing w:after="80" w:line="280" w:lineRule="auto"/>
        <w:rPr>
          <w:lang w:val="en-GB"/>
        </w:rPr>
      </w:pPr>
      <w:r w:rsidRPr="0089609D">
        <w:rPr>
          <w:lang w:val="en-GB"/>
        </w:rPr>
        <w:t>Q2 (T2, confirmatory). Does information about the level of public expenditure on universities and the fiscal trade-offs of increasing that expenditure reduce public support for higher public spending on universities?</w:t>
      </w:r>
    </w:p>
    <w:p w14:paraId="2BE3CB0B" w14:textId="77777777" w:rsidR="00784387" w:rsidRPr="0089609D" w:rsidRDefault="00000000">
      <w:pPr>
        <w:pStyle w:val="Prrafodelista"/>
        <w:numPr>
          <w:ilvl w:val="0"/>
          <w:numId w:val="2"/>
        </w:numPr>
        <w:spacing w:after="80" w:line="280" w:lineRule="auto"/>
        <w:rPr>
          <w:lang w:val="en-GB"/>
        </w:rPr>
      </w:pPr>
      <w:r w:rsidRPr="0089609D">
        <w:rPr>
          <w:lang w:val="en-GB"/>
        </w:rPr>
        <w:t>Q3 (T4, confirmatory). Does information about income contingent and means tested financing alternatives increase support for tuition fees relative to the current system?</w:t>
      </w:r>
    </w:p>
    <w:p w14:paraId="5CF1201D" w14:textId="77777777" w:rsidR="00784387" w:rsidRPr="0089609D" w:rsidRDefault="00000000">
      <w:pPr>
        <w:pStyle w:val="Prrafodelista"/>
        <w:numPr>
          <w:ilvl w:val="0"/>
          <w:numId w:val="2"/>
        </w:numPr>
        <w:spacing w:after="80" w:line="280" w:lineRule="auto"/>
        <w:rPr>
          <w:lang w:val="en-GB"/>
        </w:rPr>
      </w:pPr>
      <w:r w:rsidRPr="0089609D">
        <w:rPr>
          <w:lang w:val="en-GB"/>
        </w:rPr>
        <w:t>Q4 (T3, exploratory). Does information about quality heterogeneity across Spanish public universities shift preferences about the budgetary accountability of universities and the priority destination of additional public spending?</w:t>
      </w:r>
    </w:p>
    <w:p w14:paraId="2969DE70" w14:textId="77777777" w:rsidR="00784387" w:rsidRPr="0089609D" w:rsidRDefault="00000000">
      <w:pPr>
        <w:pStyle w:val="Prrafodelista"/>
        <w:numPr>
          <w:ilvl w:val="0"/>
          <w:numId w:val="2"/>
        </w:numPr>
        <w:spacing w:after="80" w:line="280" w:lineRule="auto"/>
        <w:rPr>
          <w:lang w:val="en-GB"/>
        </w:rPr>
      </w:pPr>
      <w:r w:rsidRPr="0089609D">
        <w:rPr>
          <w:lang w:val="en-GB"/>
        </w:rPr>
        <w:t>Q5 (heterogeneity, exploratory). Do the effects of information on preferences differ by respondents prior belief accuracy, educational attainment, household income, gender, or relation to the university system?</w:t>
      </w:r>
    </w:p>
    <w:p w14:paraId="5D8749B9" w14:textId="77777777" w:rsidR="00784387" w:rsidRPr="0089609D" w:rsidRDefault="00000000">
      <w:pPr>
        <w:pStyle w:val="Ttulo1"/>
        <w:rPr>
          <w:lang w:val="en-GB"/>
        </w:rPr>
      </w:pPr>
      <w:r w:rsidRPr="0089609D">
        <w:rPr>
          <w:lang w:val="en-GB"/>
        </w:rPr>
        <w:t>3. Experimental Design</w:t>
      </w:r>
    </w:p>
    <w:p w14:paraId="2A2432A6" w14:textId="77777777" w:rsidR="00784387" w:rsidRPr="0089609D" w:rsidRDefault="00000000">
      <w:pPr>
        <w:pStyle w:val="Ttulo2"/>
        <w:rPr>
          <w:lang w:val="en-GB"/>
        </w:rPr>
      </w:pPr>
      <w:r w:rsidRPr="0089609D">
        <w:rPr>
          <w:lang w:val="en-GB"/>
        </w:rPr>
        <w:t>3.1 Study Population and Recruitment</w:t>
      </w:r>
    </w:p>
    <w:p w14:paraId="49B7C81F" w14:textId="77777777" w:rsidR="00784387" w:rsidRPr="0089609D" w:rsidRDefault="00000000">
      <w:pPr>
        <w:spacing w:after="120" w:line="280" w:lineRule="auto"/>
        <w:jc w:val="both"/>
        <w:rPr>
          <w:lang w:val="en-GB"/>
        </w:rPr>
      </w:pPr>
      <w:r>
        <w:t>Participants are Spanish adults (18 years or older) recruited through an online panel that is representative of the Spanish population in terms of age, gender, educational attainment, and region of residence. The survey is administered in Spanish through QuestionPro. Results will be made public and disseminated to media and to parliamentary groups represented in the Congreso de los Diputados.</w:t>
      </w:r>
    </w:p>
    <w:p w14:paraId="2A85217C" w14:textId="77777777" w:rsidR="00784387" w:rsidRPr="0089609D" w:rsidRDefault="00000000">
      <w:pPr>
        <w:spacing w:after="120" w:line="280" w:lineRule="auto"/>
        <w:jc w:val="both"/>
        <w:rPr>
          <w:lang w:val="en-GB"/>
        </w:rPr>
      </w:pPr>
      <w:r w:rsidRPr="0089609D">
        <w:rPr>
          <w:lang w:val="en-GB"/>
        </w:rPr>
        <w:lastRenderedPageBreak/>
        <w:t>Informed consent is obtained electronically. Data are collected anonymously; respondents are assigned a pseudonymous identifier. Data collection and storage comply with the EU General Data Protection Regulation (2016/679) and applicable Spanish data protection law.</w:t>
      </w:r>
    </w:p>
    <w:p w14:paraId="50624BD1" w14:textId="77777777" w:rsidR="00784387" w:rsidRPr="0089609D" w:rsidRDefault="00000000">
      <w:pPr>
        <w:pStyle w:val="Ttulo2"/>
        <w:rPr>
          <w:lang w:val="en-GB"/>
        </w:rPr>
      </w:pPr>
      <w:r w:rsidRPr="0089609D">
        <w:rPr>
          <w:lang w:val="en-GB"/>
        </w:rPr>
        <w:t>3.2 Survey Structure</w:t>
      </w:r>
    </w:p>
    <w:p w14:paraId="66036C7C" w14:textId="77777777" w:rsidR="00784387" w:rsidRPr="0089609D" w:rsidRDefault="00000000">
      <w:pPr>
        <w:spacing w:after="120" w:line="280" w:lineRule="auto"/>
        <w:jc w:val="both"/>
        <w:rPr>
          <w:lang w:val="en-GB"/>
        </w:rPr>
      </w:pPr>
      <w:r w:rsidRPr="0089609D">
        <w:rPr>
          <w:lang w:val="en-GB"/>
        </w:rPr>
        <w:t>The final survey instrument consists of four sequential blocks administered in a single session. There is no follow-up wave: persistence of treatment effects is therefore not measured in this pre-registered study.</w:t>
      </w:r>
    </w:p>
    <w:p w14:paraId="2C65CFE7" w14:textId="77777777" w:rsidR="00784387" w:rsidRPr="0089609D" w:rsidRDefault="00000000">
      <w:pPr>
        <w:pStyle w:val="Ttulo3"/>
        <w:rPr>
          <w:lang w:val="en-GB"/>
        </w:rPr>
      </w:pPr>
      <w:r w:rsidRPr="0089609D">
        <w:rPr>
          <w:lang w:val="en-GB"/>
        </w:rPr>
        <w:t>Block 1. Respondent profile and knowledge anchor</w:t>
      </w:r>
    </w:p>
    <w:p w14:paraId="58E59840" w14:textId="77777777" w:rsidR="00784387" w:rsidRPr="0089609D" w:rsidRDefault="00000000">
      <w:pPr>
        <w:spacing w:after="120" w:line="280" w:lineRule="auto"/>
        <w:jc w:val="both"/>
        <w:rPr>
          <w:lang w:val="en-GB"/>
        </w:rPr>
      </w:pPr>
      <w:r w:rsidRPr="0089609D">
        <w:rPr>
          <w:lang w:val="en-GB"/>
        </w:rPr>
        <w:t>Sociodemographic items collect gender, age, postal code (used to derive municipality, habitat size, province, and Comunidad Autónoma), highest level of education completed, monthly household income bracket, and employment status. The block also collects the respondent relation with the university system: whether the respondent is or has been a university student, whether they have children currently in or planning to attend university, or work at a university; type of university attended; subjective economic return on own university investment; and whether their child received a scholarship. The subjective knowledge anchor is captured by self-rated knowledge of the Spanish university system and frequency of following university news, both used as moderating covariates in heterogeneity analyses.</w:t>
      </w:r>
    </w:p>
    <w:p w14:paraId="7B0EA617" w14:textId="77777777" w:rsidR="00784387" w:rsidRPr="0089609D" w:rsidRDefault="00000000">
      <w:pPr>
        <w:pStyle w:val="Ttulo3"/>
        <w:rPr>
          <w:lang w:val="en-GB"/>
        </w:rPr>
      </w:pPr>
      <w:r w:rsidRPr="0089609D">
        <w:rPr>
          <w:lang w:val="en-GB"/>
        </w:rPr>
        <w:t>Block 2. Prior belief elicitation</w:t>
      </w:r>
    </w:p>
    <w:p w14:paraId="7C06AE32" w14:textId="77777777" w:rsidR="00784387" w:rsidRDefault="00000000">
      <w:pPr>
        <w:spacing w:after="120" w:line="280" w:lineRule="auto"/>
        <w:jc w:val="both"/>
      </w:pPr>
      <w:r w:rsidRPr="0089609D">
        <w:rPr>
          <w:lang w:val="en-GB"/>
        </w:rPr>
        <w:t xml:space="preserve">All belief questions are administered before random assignment to avoid anchoring. Respondents are informed that there are no correct or incorrect answers and are asked for their best estimate. </w:t>
      </w:r>
      <w:r>
        <w:t>The block covers four domains:</w:t>
      </w:r>
    </w:p>
    <w:p w14:paraId="2755BF75"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Earnings beliefs (linked to T1). </w:t>
      </w:r>
      <w:r w:rsidRPr="0089609D">
        <w:rPr>
          <w:lang w:val="en-GB"/>
        </w:rPr>
        <w:t>The first item elicits the perceived earnings gap between a university graduate and an FP de Grado Superior graduate, presented as five ordered categories (FP earns 10% more, equal, university earns 10% more, 30% more, 50% more). A second item measures confidence in that estimate on a four-point scale. A third item asks whether respondents believe university graduates have higher employment rates than FP graduates.</w:t>
      </w:r>
    </w:p>
    <w:p w14:paraId="1F9EB8C2"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Financing beliefs (linked to T2). </w:t>
      </w:r>
      <w:r w:rsidRPr="0089609D">
        <w:rPr>
          <w:lang w:val="en-GB"/>
        </w:rPr>
        <w:t>The first item asks the perceived share of university costs financed by public funds (six ordered categories). The second asks the perceived annual public spending per student in euros (six ordered categories).</w:t>
      </w:r>
    </w:p>
    <w:p w14:paraId="2722A85F"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Quality beliefs (linked to T3). </w:t>
      </w:r>
      <w:r w:rsidRPr="0089609D">
        <w:rPr>
          <w:lang w:val="en-GB"/>
        </w:rPr>
        <w:t>Respondents are asked how many Spanish universities appear in the Shanghai Ranking top 500 (five categories plus do not know), and the perceived employment rate gap between the best and worst Spanish universities (four categories plus do not know).</w:t>
      </w:r>
    </w:p>
    <w:p w14:paraId="77A1F955"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Pre-treatment policy preferences (primary outcomes pre-treatment). </w:t>
      </w:r>
      <w:r w:rsidRPr="0089609D">
        <w:rPr>
          <w:lang w:val="en-GB"/>
        </w:rPr>
        <w:t>Two items elicit the pre-treatment levels of Y1 (support for raising public university tuition fees) and Y2 (support for increasing public spending on universities even at the cost of higher taxes or cuts elsewhere), both on a 5-point Likert scale. These items are repeated verbatim in Block 4; the post-treatment level is the primary causal estimand and the pre-treatment level enters as the ANCOVA covariate.</w:t>
      </w:r>
    </w:p>
    <w:p w14:paraId="1BE73442" w14:textId="77777777" w:rsidR="00784387" w:rsidRPr="00670A3C" w:rsidRDefault="00000000">
      <w:pPr>
        <w:pStyle w:val="Ttulo3"/>
        <w:rPr>
          <w:lang w:val="en-GB"/>
        </w:rPr>
      </w:pPr>
      <w:r w:rsidRPr="00670A3C">
        <w:rPr>
          <w:lang w:val="en-GB"/>
        </w:rPr>
        <w:t>Block 3. Information treatment, randomised</w:t>
      </w:r>
    </w:p>
    <w:p w14:paraId="0FCC7D8E" w14:textId="77777777" w:rsidR="00784387" w:rsidRPr="0089609D" w:rsidRDefault="00000000">
      <w:pPr>
        <w:spacing w:after="120" w:line="280" w:lineRule="auto"/>
        <w:jc w:val="both"/>
        <w:rPr>
          <w:lang w:val="en-GB"/>
        </w:rPr>
      </w:pPr>
      <w:r>
        <w:t>Respondents are randomly assigned to one of five conditions before this block is shown. The randomiser is implemented in QuestionPro with a documented seed for reproducibility. The sample allocation is: Control = 20%, T1 = 25%, T2 = T3 = T4 = 18.3% each. Each respondent sees exactly one version of the informational text. After the treatment text, respondents in arms T1 to T4 answer a manipulation check question, with four arm-specific versions, asking which piece of information appeared in the text they just read. The control group does not receive a manipulation check, since by design no testable factual content was presented to them. Full treatment texts are reproduced in Appendix A.</w:t>
      </w:r>
    </w:p>
    <w:p w14:paraId="32F95F31" w14:textId="77777777" w:rsidR="00784387" w:rsidRPr="0089609D" w:rsidRDefault="00000000">
      <w:pPr>
        <w:pStyle w:val="Ttulo3"/>
        <w:rPr>
          <w:lang w:val="en-GB"/>
        </w:rPr>
      </w:pPr>
      <w:r w:rsidRPr="0089609D">
        <w:rPr>
          <w:lang w:val="en-GB"/>
        </w:rPr>
        <w:t>Block 4. Post-treatment outcomes</w:t>
      </w:r>
    </w:p>
    <w:p w14:paraId="23C5B3E4" w14:textId="77777777" w:rsidR="00784387" w:rsidRPr="0089609D" w:rsidRDefault="00000000">
      <w:pPr>
        <w:spacing w:after="120" w:line="280" w:lineRule="auto"/>
        <w:jc w:val="both"/>
        <w:rPr>
          <w:lang w:val="en-GB"/>
        </w:rPr>
      </w:pPr>
      <w:r w:rsidRPr="0089609D">
        <w:rPr>
          <w:lang w:val="en-GB"/>
        </w:rPr>
        <w:t>Administered to all respondents regardless of treatment arm. Contains the two primary outcomes (post-treatment Y1 and Y2), willingness to pay, the secondary mechanism for T4 (5 by 5 Likert matrix on five financing systems plus a most-just system question), opinion items on teaching and research quality, employment enhancement, university contribution to societal goals on a 0 to 10 scale, the accountability item with budget consequences (primary outcome for T3), comparison with the EU average, the priority destination for additional public spending (primary outcome for T3), the post-treatment numerical earnings estimate (asked only of T1 and Control), educational satisfaction (branched by whether the respondent attended university), an explicit attention check, self-reported survey duration, and perceived demand effects.</w:t>
      </w:r>
    </w:p>
    <w:p w14:paraId="72930A8A" w14:textId="77777777" w:rsidR="00784387" w:rsidRPr="0089609D" w:rsidRDefault="00000000">
      <w:pPr>
        <w:pStyle w:val="Ttulo2"/>
        <w:rPr>
          <w:lang w:val="en-GB"/>
        </w:rPr>
      </w:pPr>
      <w:r w:rsidRPr="0089609D">
        <w:rPr>
          <w:lang w:val="en-GB"/>
        </w:rPr>
        <w:t>3.3 Randomisation</w:t>
      </w:r>
    </w:p>
    <w:p w14:paraId="0E0852BC" w14:textId="77777777" w:rsidR="00784387" w:rsidRPr="0089609D" w:rsidRDefault="00000000">
      <w:pPr>
        <w:spacing w:after="120" w:line="280" w:lineRule="auto"/>
        <w:jc w:val="both"/>
        <w:rPr>
          <w:lang w:val="en-GB"/>
        </w:rPr>
      </w:pPr>
      <w:r>
        <w:t>Individual level randomisation. Assignment probabilities: Control = 20%, T1 = 25%, T2 = T3 = T4 = 18.3%. The over-allocation to T1 follows Lergetporer and Woessmann (2023) and enables richer subgroup analysis for the benchmark treatment. Randomisation is performed by QuestionPro before any respondent answers Block 2. The random seed is documented and fixed prior to data collection. Approximate balance on age group, gender, educational attainment and region is ensured by the stratified panel recruitment; balance will additionally be checked ex-post on all baseline covariates listed in §7.1.</w:t>
      </w:r>
    </w:p>
    <w:p w14:paraId="705AC0D9" w14:textId="77777777" w:rsidR="00784387" w:rsidRDefault="00000000">
      <w:pPr>
        <w:pStyle w:val="Ttulo2"/>
      </w:pPr>
      <w:r>
        <w:t>3.4 Timeline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784387" w14:paraId="0A9D7AAA" w14:textId="77777777">
        <w:trPr>
          <w:tblHeader/>
        </w:trPr>
        <w:tc>
          <w:tcPr>
            <w:tcW w:w="3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4A53AC4" w14:textId="77777777" w:rsidR="00784387" w:rsidRDefault="00000000">
            <w:pPr>
              <w:spacing w:line="260" w:lineRule="auto"/>
            </w:pPr>
            <w:r>
              <w:rPr>
                <w:b/>
                <w:bCs/>
                <w:sz w:val="20"/>
                <w:szCs w:val="20"/>
              </w:rPr>
              <w:t>Phase</w:t>
            </w:r>
          </w:p>
        </w:tc>
        <w:tc>
          <w:tcPr>
            <w:tcW w:w="63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31CC6DCF" w14:textId="77777777" w:rsidR="00784387" w:rsidRDefault="00000000">
            <w:pPr>
              <w:spacing w:line="260" w:lineRule="auto"/>
            </w:pPr>
            <w:r>
              <w:rPr>
                <w:b/>
                <w:bCs/>
                <w:sz w:val="20"/>
                <w:szCs w:val="20"/>
              </w:rPr>
              <w:t>Description</w:t>
            </w:r>
          </w:p>
        </w:tc>
      </w:tr>
      <w:tr w:rsidR="00784387" w:rsidRPr="007541BA" w14:paraId="6CB55AE4" w14:textId="77777777">
        <w:tc>
          <w:tcPr>
            <w:tcW w:w="3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67784C7" w14:textId="77777777" w:rsidR="00784387" w:rsidRDefault="00000000">
            <w:pPr>
              <w:spacing w:line="260" w:lineRule="auto"/>
            </w:pPr>
            <w:r>
              <w:rPr>
                <w:sz w:val="20"/>
                <w:szCs w:val="20"/>
              </w:rPr>
              <w:t>Pre-registration</w:t>
            </w:r>
          </w:p>
        </w:tc>
        <w:tc>
          <w:tcPr>
            <w:tcW w:w="6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22DA8E6" w14:textId="77777777" w:rsidR="00784387" w:rsidRPr="0089609D" w:rsidRDefault="00000000">
            <w:pPr>
              <w:spacing w:line="260" w:lineRule="auto"/>
              <w:rPr>
                <w:lang w:val="en-GB"/>
              </w:rPr>
            </w:pPr>
            <w:r w:rsidRPr="0089609D">
              <w:rPr>
                <w:sz w:val="20"/>
                <w:szCs w:val="20"/>
                <w:lang w:val="en-GB"/>
              </w:rPr>
              <w:t>PAP submitted to the AEA RCT Registry before any data collection.</w:t>
            </w:r>
          </w:p>
        </w:tc>
      </w:tr>
      <w:tr w:rsidR="00784387" w:rsidRPr="007541BA" w14:paraId="4FC9E65E" w14:textId="77777777">
        <w:tc>
          <w:tcPr>
            <w:tcW w:w="3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46CC6C8" w14:textId="77777777" w:rsidR="00784387" w:rsidRDefault="00000000">
            <w:pPr>
              <w:spacing w:line="260" w:lineRule="auto"/>
            </w:pPr>
            <w:r>
              <w:rPr>
                <w:sz w:val="20"/>
                <w:szCs w:val="20"/>
              </w:rPr>
              <w:t>Main data collection</w:t>
            </w:r>
          </w:p>
        </w:tc>
        <w:tc>
          <w:tcPr>
            <w:tcW w:w="6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C129423" w14:textId="77777777" w:rsidR="00784387" w:rsidRPr="0089609D" w:rsidRDefault="00000000">
            <w:pPr>
              <w:spacing w:line="260" w:lineRule="auto"/>
              <w:rPr>
                <w:lang w:val="en-GB"/>
              </w:rPr>
            </w:pPr>
            <w:r w:rsidRPr="0089609D">
              <w:rPr>
                <w:sz w:val="20"/>
                <w:szCs w:val="20"/>
                <w:lang w:val="en-GB"/>
              </w:rPr>
              <w:t>Full survey administered to the target sample (at least 5,000 respondents).</w:t>
            </w:r>
          </w:p>
        </w:tc>
      </w:tr>
      <w:tr w:rsidR="00784387" w:rsidRPr="007541BA" w14:paraId="3A8484F0" w14:textId="77777777">
        <w:tc>
          <w:tcPr>
            <w:tcW w:w="3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F979452" w14:textId="77777777" w:rsidR="00784387" w:rsidRDefault="00000000">
            <w:pPr>
              <w:spacing w:line="260" w:lineRule="auto"/>
            </w:pPr>
            <w:r>
              <w:rPr>
                <w:sz w:val="20"/>
                <w:szCs w:val="20"/>
              </w:rPr>
              <w:t>Analysis</w:t>
            </w:r>
          </w:p>
        </w:tc>
        <w:tc>
          <w:tcPr>
            <w:tcW w:w="6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521BE0B" w14:textId="77777777" w:rsidR="00784387" w:rsidRPr="0089609D" w:rsidRDefault="00000000">
            <w:pPr>
              <w:spacing w:line="260" w:lineRule="auto"/>
              <w:rPr>
                <w:lang w:val="en-GB"/>
              </w:rPr>
            </w:pPr>
            <w:r w:rsidRPr="0089609D">
              <w:rPr>
                <w:sz w:val="20"/>
                <w:szCs w:val="20"/>
                <w:lang w:val="en-GB"/>
              </w:rPr>
              <w:t>Conducted strictly following this PAP.</w:t>
            </w:r>
          </w:p>
        </w:tc>
      </w:tr>
    </w:tbl>
    <w:p w14:paraId="08ECB5F8" w14:textId="77777777" w:rsidR="00784387" w:rsidRPr="0089609D" w:rsidRDefault="00000000">
      <w:pPr>
        <w:pStyle w:val="Ttulo1"/>
        <w:rPr>
          <w:lang w:val="en-GB"/>
        </w:rPr>
      </w:pPr>
      <w:r w:rsidRPr="0089609D">
        <w:rPr>
          <w:lang w:val="en-GB"/>
        </w:rPr>
        <w:t>4. Informational Treatments</w:t>
      </w:r>
    </w:p>
    <w:p w14:paraId="7C0DA935" w14:textId="77777777" w:rsidR="00784387" w:rsidRPr="0089609D" w:rsidRDefault="00000000">
      <w:pPr>
        <w:spacing w:after="120" w:line="280" w:lineRule="auto"/>
        <w:jc w:val="both"/>
        <w:rPr>
          <w:lang w:val="en-GB"/>
        </w:rPr>
      </w:pPr>
      <w:r w:rsidRPr="0089609D">
        <w:rPr>
          <w:lang w:val="en-GB"/>
        </w:rPr>
        <w:t xml:space="preserve">All treatment texts are approximately 100 to 150 words, factually accurate, accompanied by cited sources, and written in plain Spanish. The control group receives a matched length neutral placebo text following Haaland et al. </w:t>
      </w:r>
      <w:r w:rsidRPr="007541BA">
        <w:rPr>
          <w:lang w:val="en-GB"/>
        </w:rPr>
        <w:t xml:space="preserve">(2023). </w:t>
      </w:r>
      <w:r w:rsidRPr="0089609D">
        <w:rPr>
          <w:lang w:val="en-GB"/>
        </w:rPr>
        <w:t>Full texts are translated in Appendix A; the summary is given below.</w:t>
      </w:r>
    </w:p>
    <w:p w14:paraId="33214659" w14:textId="77777777" w:rsidR="00784387" w:rsidRPr="0089609D" w:rsidRDefault="00000000">
      <w:pPr>
        <w:pStyle w:val="Ttulo2"/>
        <w:rPr>
          <w:lang w:val="en-GB"/>
        </w:rPr>
      </w:pPr>
      <w:r w:rsidRPr="0089609D">
        <w:rPr>
          <w:lang w:val="en-GB"/>
        </w:rPr>
        <w:t>4.1 Control Group</w:t>
      </w:r>
    </w:p>
    <w:p w14:paraId="1E9493FC" w14:textId="77777777" w:rsidR="00784387" w:rsidRPr="0089609D" w:rsidRDefault="00000000">
      <w:pPr>
        <w:spacing w:after="120" w:line="280" w:lineRule="auto"/>
        <w:jc w:val="both"/>
        <w:rPr>
          <w:lang w:val="en-GB"/>
        </w:rPr>
      </w:pPr>
      <w:r w:rsidRPr="0089609D">
        <w:rPr>
          <w:lang w:val="en-GB"/>
        </w:rPr>
        <w:t>Respondents receive a neutral text describing general facts about the Spanish university system: number of universities, degree structure (Grado, Máster, Doctorado following the Bologna Process), total enrolment, and participation in Erasmus+. The text contains no information relevant to financing preferences or labour market returns. This design follows Haaland et al. (2023) and ensures that any difference between groups reflects the specific informational content of each treatment, not merely the act of reading text.</w:t>
      </w:r>
    </w:p>
    <w:p w14:paraId="44FDE13F" w14:textId="77777777" w:rsidR="00784387" w:rsidRPr="0089609D" w:rsidRDefault="00000000">
      <w:pPr>
        <w:pStyle w:val="Ttulo2"/>
        <w:rPr>
          <w:lang w:val="en-GB"/>
        </w:rPr>
      </w:pPr>
      <w:r w:rsidRPr="0089609D">
        <w:rPr>
          <w:lang w:val="en-GB"/>
        </w:rPr>
        <w:t>4.2 Treatment 1. Labour-Market Returns (PRIORITY)</w:t>
      </w:r>
    </w:p>
    <w:p w14:paraId="5AB6F84A" w14:textId="77777777" w:rsidR="00784387" w:rsidRPr="0089609D" w:rsidRDefault="00000000">
      <w:pPr>
        <w:spacing w:after="120" w:line="280" w:lineRule="auto"/>
        <w:jc w:val="both"/>
        <w:rPr>
          <w:lang w:val="en-GB"/>
        </w:rPr>
      </w:pPr>
      <w:r w:rsidRPr="0089609D">
        <w:rPr>
          <w:lang w:val="en-GB"/>
        </w:rPr>
        <w:t>Provides information on average monthly net earnings in Spain by level of educational attainment. Key figures: university graduates approximately €2,400 per month net; FP de Grado Superior approximately €1,800 per month; Bachillerato or FP Medio approximately €1,500 per month; without post-compulsory education approximately €1,200 per month. The university to FP premium is approximately 33%. The text also reports that university graduates have an unemployment rate of approximately 7%, compared with 22% for those with only compulsory education.</w:t>
      </w:r>
    </w:p>
    <w:p w14:paraId="386016E2" w14:textId="77777777" w:rsidR="00784387" w:rsidRPr="0089609D" w:rsidRDefault="00000000">
      <w:pPr>
        <w:spacing w:after="120" w:line="280" w:lineRule="auto"/>
        <w:jc w:val="both"/>
        <w:rPr>
          <w:lang w:val="en-GB"/>
        </w:rPr>
      </w:pPr>
      <w:r w:rsidRPr="0089609D">
        <w:rPr>
          <w:lang w:val="en-GB"/>
        </w:rPr>
        <w:t>This is a direct replication of the Earnings information treatment in Lergetporer and Woessmann (2023), which raised support for tuition fees by 6.9 pp. T1 receives the largest sample share (25%) to allow subgroup analysis by prior belief accuracy and confidence.</w:t>
      </w:r>
    </w:p>
    <w:p w14:paraId="595ABA6F" w14:textId="77777777" w:rsidR="00784387" w:rsidRPr="0089609D" w:rsidRDefault="00000000">
      <w:pPr>
        <w:pStyle w:val="Ttulo2"/>
        <w:rPr>
          <w:lang w:val="en-GB"/>
        </w:rPr>
      </w:pPr>
      <w:r w:rsidRPr="0089609D">
        <w:rPr>
          <w:lang w:val="en-GB"/>
        </w:rPr>
        <w:t>4.3 Treatment 2. University Financing and Fiscal Trade-offs (PRIORITY)</w:t>
      </w:r>
    </w:p>
    <w:p w14:paraId="08AF2877" w14:textId="77777777" w:rsidR="00784387" w:rsidRPr="0089609D" w:rsidRDefault="00000000">
      <w:pPr>
        <w:spacing w:after="120" w:line="280" w:lineRule="auto"/>
        <w:jc w:val="both"/>
        <w:rPr>
          <w:lang w:val="en-GB"/>
        </w:rPr>
      </w:pPr>
      <w:r w:rsidRPr="0089609D">
        <w:rPr>
          <w:lang w:val="en-GB"/>
        </w:rPr>
        <w:t xml:space="preserve">Provides two complementary blocks of information. First: Spain's public spending on universities amounts to approximately 0.76% of GDP (below the OECD average of 1.08%); the cost per student is approximately €10,000 per year (vs. </w:t>
      </w:r>
      <w:r w:rsidRPr="007541BA">
        <w:rPr>
          <w:lang w:val="en-GB"/>
        </w:rPr>
        <w:t xml:space="preserve">€13,000 OECD average); 80% of this cost is publicly financed. </w:t>
      </w:r>
      <w:r w:rsidRPr="0089609D">
        <w:rPr>
          <w:lang w:val="en-GB"/>
        </w:rPr>
        <w:t>Second: the treatment explicitly presents the fiscal trade-off, namely that increasing spending to the OECD average requires either raising taxes (income, VAT, corporate), cutting other public services (health, pensions, non-university education, infrastructure), or increasing public debt.</w:t>
      </w:r>
    </w:p>
    <w:p w14:paraId="42B02589" w14:textId="77777777" w:rsidR="00784387" w:rsidRPr="0089609D" w:rsidRDefault="00000000">
      <w:pPr>
        <w:spacing w:after="120" w:line="280" w:lineRule="auto"/>
        <w:jc w:val="both"/>
        <w:rPr>
          <w:lang w:val="en-GB"/>
        </w:rPr>
      </w:pPr>
      <w:r w:rsidRPr="0089609D">
        <w:rPr>
          <w:lang w:val="en-GB"/>
        </w:rPr>
        <w:t>The cost-information treatment alone had near-zero effects in L&amp;W (2023), likely because of the absence of a normative anchor. Adding the explicit trade-off converts this into a potentially informative treatment expected to reduce support for increased public spending by approximately 5 to 10 pp.</w:t>
      </w:r>
    </w:p>
    <w:p w14:paraId="7A9CDD78" w14:textId="77777777" w:rsidR="00784387" w:rsidRPr="0089609D" w:rsidRDefault="00000000">
      <w:pPr>
        <w:pStyle w:val="Ttulo2"/>
        <w:rPr>
          <w:lang w:val="en-GB"/>
        </w:rPr>
      </w:pPr>
      <w:r w:rsidRPr="0089609D">
        <w:rPr>
          <w:lang w:val="en-GB"/>
        </w:rPr>
        <w:t>4.4 Treatment 3. University Quality Heterogeneity (EXPLORATORY)</w:t>
      </w:r>
    </w:p>
    <w:p w14:paraId="6EE94997" w14:textId="77777777" w:rsidR="00784387" w:rsidRPr="0089609D" w:rsidRDefault="00000000">
      <w:pPr>
        <w:spacing w:after="120" w:line="280" w:lineRule="auto"/>
        <w:jc w:val="both"/>
        <w:rPr>
          <w:lang w:val="en-GB"/>
        </w:rPr>
      </w:pPr>
      <w:r w:rsidRPr="0089609D">
        <w:rPr>
          <w:lang w:val="en-GB"/>
        </w:rPr>
        <w:t>Informs respondents that Spanish public universities differ substantially in outcomes despite similar public funding. Key facts: (i) 13 of Spain's 91 universities have at least one discipline ranked in the QS World University Rankings by Subject top 100 worldwide; only 7 have five or more such disciplines; (ii) graduate employment rates four years after graduation range from 65% to 90% across universities for the same degree; (iii) graduate salaries can differ by up to 30% between universities for the same qualification; (iv) 80% of high-impact scientific output is concentrated in fewer than 20% of institutions, measured within discipline.</w:t>
      </w:r>
    </w:p>
    <w:p w14:paraId="06B90F95" w14:textId="77777777" w:rsidR="00784387" w:rsidRPr="0089609D" w:rsidRDefault="00000000">
      <w:pPr>
        <w:spacing w:after="120" w:line="280" w:lineRule="auto"/>
        <w:jc w:val="both"/>
        <w:rPr>
          <w:lang w:val="en-GB"/>
        </w:rPr>
      </w:pPr>
      <w:r w:rsidRPr="0089609D">
        <w:rPr>
          <w:lang w:val="en-GB"/>
        </w:rPr>
        <w:t>This treatment has no direct precedent in the experimental literature on university financing preferences. The expected direction is that T3 increases support for budgetary accountability and shifts spending priorities away from across-the-board fee reductions toward performance-linked and merit-based uses. The effect direction on Y1 and Y2 is theoretically ambiguous and not pre-specified.</w:t>
      </w:r>
    </w:p>
    <w:p w14:paraId="049785FF" w14:textId="77777777" w:rsidR="00784387" w:rsidRPr="0089609D" w:rsidRDefault="00000000">
      <w:pPr>
        <w:pStyle w:val="Ttulo2"/>
        <w:rPr>
          <w:lang w:val="en-GB"/>
        </w:rPr>
      </w:pPr>
      <w:r w:rsidRPr="0089609D">
        <w:rPr>
          <w:lang w:val="en-GB"/>
        </w:rPr>
        <w:t>4.5 Treatment 4. Alternative Financing Systems (PRIORITY)</w:t>
      </w:r>
    </w:p>
    <w:p w14:paraId="43FC4A53" w14:textId="77777777" w:rsidR="00784387" w:rsidRPr="0089609D" w:rsidRDefault="00000000">
      <w:pPr>
        <w:spacing w:after="120" w:line="280" w:lineRule="auto"/>
        <w:jc w:val="both"/>
        <w:rPr>
          <w:lang w:val="en-GB"/>
        </w:rPr>
      </w:pPr>
      <w:r w:rsidRPr="0089609D">
        <w:rPr>
          <w:lang w:val="en-GB"/>
        </w:rPr>
        <w:t>Describes three alternative financing mechanisms in use internationally: (1) means-tested fees, where students from lower-income families pay reduced or zero fees; (2) merit scholarships, where top academic performers obtain fee reductions; (3) income-contingent loans (ICL), where there is no payment during studies and repayment begins only after graduation, only if annual income exceeds a threshold (for example €25,000), as a small percentage of salary, with no repayment if income never exceeds that threshold. Country examples: United Kingdom, Australia, Chile, New Zealand.</w:t>
      </w:r>
    </w:p>
    <w:p w14:paraId="40BC1EF4" w14:textId="77777777" w:rsidR="00784387" w:rsidRPr="0089609D" w:rsidRDefault="00000000">
      <w:pPr>
        <w:spacing w:after="120" w:line="280" w:lineRule="auto"/>
        <w:jc w:val="both"/>
        <w:rPr>
          <w:lang w:val="en-GB"/>
        </w:rPr>
      </w:pPr>
      <w:r w:rsidRPr="0089609D">
        <w:rPr>
          <w:lang w:val="en-GB"/>
        </w:rPr>
        <w:t>This treatment builds directly on Lergetporer and Woessmann (2022, IZA DP 14991), who found that presenting an ICL system increased support for tuition fees by 20 to 25 pp relative to regular fees. Busemeyer, Schönhage and Schwerdt (2026) reported similar magnitudes for redistributive fee designs.</w:t>
      </w:r>
    </w:p>
    <w:p w14:paraId="0BFC5774" w14:textId="77777777" w:rsidR="00784387" w:rsidRDefault="00000000">
      <w:pPr>
        <w:pStyle w:val="Ttulo2"/>
      </w:pPr>
      <w:r>
        <w:t>4.6 Summary of Treatment Arms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1700"/>
        <w:gridCol w:w="1500"/>
        <w:gridCol w:w="2860"/>
        <w:gridCol w:w="800"/>
        <w:gridCol w:w="1600"/>
      </w:tblGrid>
      <w:tr w:rsidR="00784387" w14:paraId="67AA8E7E" w14:textId="77777777">
        <w:trPr>
          <w:tblHeader/>
        </w:trPr>
        <w:tc>
          <w:tcPr>
            <w:tcW w:w="9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AB3A453" w14:textId="77777777" w:rsidR="00784387" w:rsidRDefault="00000000">
            <w:pPr>
              <w:spacing w:line="260" w:lineRule="auto"/>
            </w:pPr>
            <w:r>
              <w:rPr>
                <w:b/>
                <w:bCs/>
                <w:sz w:val="20"/>
                <w:szCs w:val="20"/>
              </w:rPr>
              <w:t>Arm</w:t>
            </w:r>
          </w:p>
        </w:tc>
        <w:tc>
          <w:tcPr>
            <w:tcW w:w="17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08B40449" w14:textId="77777777" w:rsidR="00784387" w:rsidRDefault="00000000">
            <w:pPr>
              <w:spacing w:line="260" w:lineRule="auto"/>
            </w:pPr>
            <w:r>
              <w:rPr>
                <w:b/>
                <w:bCs/>
                <w:sz w:val="20"/>
                <w:szCs w:val="20"/>
              </w:rPr>
              <w:t>Name</w:t>
            </w:r>
          </w:p>
        </w:tc>
        <w:tc>
          <w:tcPr>
            <w:tcW w:w="15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7D1508DB" w14:textId="77777777" w:rsidR="00784387" w:rsidRDefault="00000000">
            <w:pPr>
              <w:spacing w:line="260" w:lineRule="auto"/>
            </w:pPr>
            <w:r>
              <w:rPr>
                <w:b/>
                <w:bCs/>
                <w:sz w:val="20"/>
                <w:szCs w:val="20"/>
              </w:rPr>
              <w:t>Precedent (L&amp;W)</w:t>
            </w:r>
          </w:p>
        </w:tc>
        <w:tc>
          <w:tcPr>
            <w:tcW w:w="28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2B01BD6F" w14:textId="77777777" w:rsidR="00784387" w:rsidRDefault="00000000">
            <w:pPr>
              <w:spacing w:line="260" w:lineRule="auto"/>
            </w:pPr>
            <w:r>
              <w:rPr>
                <w:b/>
                <w:bCs/>
                <w:sz w:val="20"/>
                <w:szCs w:val="20"/>
              </w:rPr>
              <w:t>Expected direction</w:t>
            </w:r>
          </w:p>
        </w:tc>
        <w:tc>
          <w:tcPr>
            <w:tcW w:w="8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7CCD192C" w14:textId="77777777" w:rsidR="00784387" w:rsidRDefault="00000000">
            <w:pPr>
              <w:spacing w:line="260" w:lineRule="auto"/>
            </w:pPr>
            <w:r>
              <w:rPr>
                <w:b/>
                <w:bCs/>
                <w:sz w:val="20"/>
                <w:szCs w:val="20"/>
              </w:rPr>
              <w:t>n share</w:t>
            </w:r>
          </w:p>
        </w:tc>
        <w:tc>
          <w:tcPr>
            <w:tcW w:w="16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34BA29F" w14:textId="77777777" w:rsidR="00784387" w:rsidRDefault="00000000">
            <w:pPr>
              <w:spacing w:line="260" w:lineRule="auto"/>
            </w:pPr>
            <w:r>
              <w:rPr>
                <w:b/>
                <w:bCs/>
                <w:sz w:val="20"/>
                <w:szCs w:val="20"/>
              </w:rPr>
              <w:t>Priority</w:t>
            </w:r>
          </w:p>
        </w:tc>
      </w:tr>
      <w:tr w:rsidR="00784387" w14:paraId="6B6DB7B4" w14:textId="77777777">
        <w:tc>
          <w:tcPr>
            <w:tcW w:w="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52964B9" w14:textId="77777777" w:rsidR="00784387" w:rsidRDefault="00000000">
            <w:pPr>
              <w:spacing w:line="260" w:lineRule="auto"/>
            </w:pPr>
            <w:r>
              <w:rPr>
                <w:sz w:val="20"/>
                <w:szCs w:val="20"/>
              </w:rPr>
              <w:t>Control</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009C4BA" w14:textId="77777777" w:rsidR="00784387" w:rsidRDefault="00000000">
            <w:pPr>
              <w:spacing w:line="260" w:lineRule="auto"/>
            </w:pPr>
            <w:r>
              <w:rPr>
                <w:sz w:val="20"/>
                <w:szCs w:val="20"/>
              </w:rPr>
              <w:t>Neutral placebo</w:t>
            </w:r>
          </w:p>
        </w:tc>
        <w:tc>
          <w:tcPr>
            <w:tcW w:w="15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1CD0443" w14:textId="77777777" w:rsidR="00784387" w:rsidRDefault="00000000">
            <w:pPr>
              <w:spacing w:line="260" w:lineRule="auto"/>
            </w:pPr>
            <w:r>
              <w:rPr>
                <w:sz w:val="20"/>
                <w:szCs w:val="20"/>
              </w:rPr>
              <w:t>Yes (baseline)</w:t>
            </w:r>
          </w:p>
        </w:tc>
        <w:tc>
          <w:tcPr>
            <w:tcW w:w="2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1295F5F" w14:textId="77777777" w:rsidR="00784387" w:rsidRPr="0089609D" w:rsidRDefault="00000000">
            <w:pPr>
              <w:spacing w:line="260" w:lineRule="auto"/>
              <w:rPr>
                <w:lang w:val="en-GB"/>
              </w:rPr>
            </w:pPr>
            <w:r w:rsidRPr="0089609D">
              <w:rPr>
                <w:sz w:val="20"/>
                <w:szCs w:val="20"/>
                <w:lang w:val="en-GB"/>
              </w:rPr>
              <w:t>Baseline level of Y1, Y2</w:t>
            </w:r>
          </w:p>
        </w:tc>
        <w:tc>
          <w:tcPr>
            <w:tcW w:w="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B3CA1F7" w14:textId="77777777" w:rsidR="00784387" w:rsidRDefault="00000000">
            <w:pPr>
              <w:spacing w:line="260" w:lineRule="auto"/>
            </w:pPr>
            <w:r>
              <w:rPr>
                <w:sz w:val="20"/>
                <w:szCs w:val="20"/>
              </w:rPr>
              <w:t>20%</w:t>
            </w:r>
          </w:p>
        </w:tc>
        <w:tc>
          <w:tcPr>
            <w:tcW w:w="16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01E74A5" w14:textId="77777777" w:rsidR="00784387" w:rsidRDefault="00000000">
            <w:pPr>
              <w:spacing w:line="260" w:lineRule="auto"/>
            </w:pPr>
            <w:r>
              <w:rPr>
                <w:sz w:val="20"/>
                <w:szCs w:val="20"/>
              </w:rPr>
              <w:t>Always</w:t>
            </w:r>
          </w:p>
        </w:tc>
      </w:tr>
      <w:tr w:rsidR="00784387" w14:paraId="75A14608" w14:textId="77777777">
        <w:tc>
          <w:tcPr>
            <w:tcW w:w="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B2D6575" w14:textId="77777777" w:rsidR="00784387" w:rsidRDefault="00000000">
            <w:pPr>
              <w:spacing w:line="260" w:lineRule="auto"/>
            </w:pPr>
            <w:r>
              <w:rPr>
                <w:sz w:val="20"/>
                <w:szCs w:val="20"/>
              </w:rPr>
              <w:t>T1</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79A1717" w14:textId="77777777" w:rsidR="00784387" w:rsidRDefault="00000000">
            <w:pPr>
              <w:spacing w:line="260" w:lineRule="auto"/>
            </w:pPr>
            <w:r>
              <w:rPr>
                <w:sz w:val="20"/>
                <w:szCs w:val="20"/>
              </w:rPr>
              <w:t>Labour returns</w:t>
            </w:r>
          </w:p>
        </w:tc>
        <w:tc>
          <w:tcPr>
            <w:tcW w:w="15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D74A23F" w14:textId="77777777" w:rsidR="00784387" w:rsidRDefault="00000000">
            <w:pPr>
              <w:spacing w:line="260" w:lineRule="auto"/>
            </w:pPr>
            <w:r>
              <w:rPr>
                <w:sz w:val="20"/>
                <w:szCs w:val="20"/>
              </w:rPr>
              <w:t>Yes (Earnings info)</w:t>
            </w:r>
          </w:p>
        </w:tc>
        <w:tc>
          <w:tcPr>
            <w:tcW w:w="2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E81435E" w14:textId="77777777" w:rsidR="00784387" w:rsidRDefault="00000000">
            <w:pPr>
              <w:spacing w:line="260" w:lineRule="auto"/>
            </w:pPr>
            <w:r>
              <w:rPr>
                <w:sz w:val="20"/>
                <w:szCs w:val="20"/>
              </w:rPr>
              <w:t>+5 to +9 pp on Y1</w:t>
            </w:r>
          </w:p>
        </w:tc>
        <w:tc>
          <w:tcPr>
            <w:tcW w:w="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0027059" w14:textId="77777777" w:rsidR="00784387" w:rsidRDefault="00000000">
            <w:pPr>
              <w:spacing w:line="260" w:lineRule="auto"/>
            </w:pPr>
            <w:r>
              <w:rPr>
                <w:sz w:val="20"/>
                <w:szCs w:val="20"/>
              </w:rPr>
              <w:t>25%</w:t>
            </w:r>
          </w:p>
        </w:tc>
        <w:tc>
          <w:tcPr>
            <w:tcW w:w="16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89CE245" w14:textId="77777777" w:rsidR="00784387" w:rsidRDefault="00000000">
            <w:pPr>
              <w:spacing w:line="260" w:lineRule="auto"/>
            </w:pPr>
            <w:r>
              <w:rPr>
                <w:sz w:val="20"/>
                <w:szCs w:val="20"/>
              </w:rPr>
              <w:t>Priority</w:t>
            </w:r>
          </w:p>
        </w:tc>
      </w:tr>
      <w:tr w:rsidR="00784387" w14:paraId="09FAAF3C" w14:textId="77777777">
        <w:tc>
          <w:tcPr>
            <w:tcW w:w="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708A05C" w14:textId="77777777" w:rsidR="00784387" w:rsidRDefault="00000000">
            <w:pPr>
              <w:spacing w:line="260" w:lineRule="auto"/>
            </w:pPr>
            <w:r>
              <w:rPr>
                <w:sz w:val="20"/>
                <w:szCs w:val="20"/>
              </w:rPr>
              <w:t>T2</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0FCC237" w14:textId="77777777" w:rsidR="00784387" w:rsidRPr="0089609D" w:rsidRDefault="00000000">
            <w:pPr>
              <w:spacing w:line="260" w:lineRule="auto"/>
              <w:rPr>
                <w:lang w:val="en-GB"/>
              </w:rPr>
            </w:pPr>
            <w:r w:rsidRPr="0089609D">
              <w:rPr>
                <w:sz w:val="20"/>
                <w:szCs w:val="20"/>
                <w:lang w:val="en-GB"/>
              </w:rPr>
              <w:t>Financing and fiscal trade-off</w:t>
            </w:r>
          </w:p>
        </w:tc>
        <w:tc>
          <w:tcPr>
            <w:tcW w:w="15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BB374D2" w14:textId="77777777" w:rsidR="00784387" w:rsidRDefault="00000000">
            <w:pPr>
              <w:spacing w:line="260" w:lineRule="auto"/>
            </w:pPr>
            <w:r>
              <w:rPr>
                <w:sz w:val="20"/>
                <w:szCs w:val="20"/>
              </w:rPr>
              <w:t>Partial (Cost info)</w:t>
            </w:r>
          </w:p>
        </w:tc>
        <w:tc>
          <w:tcPr>
            <w:tcW w:w="2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E958902" w14:textId="77777777" w:rsidR="00784387" w:rsidRDefault="00000000">
            <w:pPr>
              <w:spacing w:line="260" w:lineRule="auto"/>
            </w:pPr>
            <w:r>
              <w:rPr>
                <w:sz w:val="20"/>
                <w:szCs w:val="20"/>
              </w:rPr>
              <w:t>−5 to −10 pp on Y2</w:t>
            </w:r>
          </w:p>
        </w:tc>
        <w:tc>
          <w:tcPr>
            <w:tcW w:w="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9B60126" w14:textId="77777777" w:rsidR="00784387" w:rsidRDefault="00000000">
            <w:pPr>
              <w:spacing w:line="260" w:lineRule="auto"/>
            </w:pPr>
            <w:r>
              <w:rPr>
                <w:sz w:val="20"/>
                <w:szCs w:val="20"/>
              </w:rPr>
              <w:t>18.3%</w:t>
            </w:r>
          </w:p>
        </w:tc>
        <w:tc>
          <w:tcPr>
            <w:tcW w:w="16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656C61A" w14:textId="77777777" w:rsidR="00784387" w:rsidRDefault="00000000">
            <w:pPr>
              <w:spacing w:line="260" w:lineRule="auto"/>
            </w:pPr>
            <w:r>
              <w:rPr>
                <w:sz w:val="20"/>
                <w:szCs w:val="20"/>
              </w:rPr>
              <w:t>Priority</w:t>
            </w:r>
          </w:p>
        </w:tc>
      </w:tr>
      <w:tr w:rsidR="00784387" w14:paraId="5F42066A" w14:textId="77777777">
        <w:tc>
          <w:tcPr>
            <w:tcW w:w="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12157D4" w14:textId="77777777" w:rsidR="00784387" w:rsidRDefault="00000000">
            <w:pPr>
              <w:spacing w:line="260" w:lineRule="auto"/>
            </w:pPr>
            <w:r>
              <w:rPr>
                <w:sz w:val="20"/>
                <w:szCs w:val="20"/>
              </w:rPr>
              <w:t>T3</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7334159" w14:textId="77777777" w:rsidR="00784387" w:rsidRDefault="00000000">
            <w:pPr>
              <w:spacing w:line="260" w:lineRule="auto"/>
            </w:pPr>
            <w:r>
              <w:rPr>
                <w:sz w:val="20"/>
                <w:szCs w:val="20"/>
              </w:rPr>
              <w:t>Quality heterogeneity</w:t>
            </w:r>
          </w:p>
        </w:tc>
        <w:tc>
          <w:tcPr>
            <w:tcW w:w="15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45ECB5F" w14:textId="77777777" w:rsidR="00784387" w:rsidRDefault="00000000">
            <w:pPr>
              <w:spacing w:line="260" w:lineRule="auto"/>
            </w:pPr>
            <w:r>
              <w:rPr>
                <w:sz w:val="20"/>
                <w:szCs w:val="20"/>
              </w:rPr>
              <w:t>No</w:t>
            </w:r>
          </w:p>
        </w:tc>
        <w:tc>
          <w:tcPr>
            <w:tcW w:w="2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3ACE5C2" w14:textId="77777777" w:rsidR="00784387" w:rsidRPr="0089609D" w:rsidRDefault="00000000">
            <w:pPr>
              <w:spacing w:line="260" w:lineRule="auto"/>
              <w:rPr>
                <w:lang w:val="en-GB"/>
              </w:rPr>
            </w:pPr>
            <w:r w:rsidRPr="0089609D">
              <w:rPr>
                <w:sz w:val="20"/>
                <w:szCs w:val="20"/>
                <w:lang w:val="en-GB"/>
              </w:rPr>
              <w:t>Ambiguous on Y1, Y2; positive on accountability and merit-based priority</w:t>
            </w:r>
          </w:p>
        </w:tc>
        <w:tc>
          <w:tcPr>
            <w:tcW w:w="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AF73332" w14:textId="77777777" w:rsidR="00784387" w:rsidRDefault="00000000">
            <w:pPr>
              <w:spacing w:line="260" w:lineRule="auto"/>
            </w:pPr>
            <w:r>
              <w:rPr>
                <w:sz w:val="20"/>
                <w:szCs w:val="20"/>
              </w:rPr>
              <w:t>18.3%</w:t>
            </w:r>
          </w:p>
        </w:tc>
        <w:tc>
          <w:tcPr>
            <w:tcW w:w="16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873D86A" w14:textId="77777777" w:rsidR="00784387" w:rsidRDefault="00000000">
            <w:pPr>
              <w:spacing w:line="260" w:lineRule="auto"/>
            </w:pPr>
            <w:r>
              <w:rPr>
                <w:sz w:val="20"/>
                <w:szCs w:val="20"/>
              </w:rPr>
              <w:t>Exploratory</w:t>
            </w:r>
          </w:p>
        </w:tc>
      </w:tr>
      <w:tr w:rsidR="00784387" w14:paraId="3E010C18" w14:textId="77777777">
        <w:tc>
          <w:tcPr>
            <w:tcW w:w="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2FCFB49" w14:textId="77777777" w:rsidR="00784387" w:rsidRDefault="00000000">
            <w:pPr>
              <w:spacing w:line="260" w:lineRule="auto"/>
            </w:pPr>
            <w:r>
              <w:rPr>
                <w:sz w:val="20"/>
                <w:szCs w:val="20"/>
              </w:rPr>
              <w:t>T4</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E40CCC7" w14:textId="77777777" w:rsidR="00784387" w:rsidRPr="0089609D" w:rsidRDefault="00000000">
            <w:pPr>
              <w:spacing w:line="260" w:lineRule="auto"/>
              <w:rPr>
                <w:lang w:val="en-GB"/>
              </w:rPr>
            </w:pPr>
            <w:r w:rsidRPr="0089609D">
              <w:rPr>
                <w:sz w:val="20"/>
                <w:szCs w:val="20"/>
                <w:lang w:val="en-GB"/>
              </w:rPr>
              <w:t>Alternative financing (ICL plus means tested)</w:t>
            </w:r>
          </w:p>
        </w:tc>
        <w:tc>
          <w:tcPr>
            <w:tcW w:w="15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6FCBD0B" w14:textId="77777777" w:rsidR="00784387" w:rsidRDefault="00000000">
            <w:pPr>
              <w:spacing w:line="260" w:lineRule="auto"/>
            </w:pPr>
            <w:r>
              <w:rPr>
                <w:sz w:val="20"/>
                <w:szCs w:val="20"/>
              </w:rPr>
              <w:t>Yes (L&amp;W 2022)</w:t>
            </w:r>
          </w:p>
        </w:tc>
        <w:tc>
          <w:tcPr>
            <w:tcW w:w="2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8ED3C2B" w14:textId="77777777" w:rsidR="00784387" w:rsidRDefault="00000000">
            <w:pPr>
              <w:spacing w:line="260" w:lineRule="auto"/>
            </w:pPr>
            <w:r>
              <w:rPr>
                <w:sz w:val="20"/>
                <w:szCs w:val="20"/>
              </w:rPr>
              <w:t>+15 to +25 pp on Y1</w:t>
            </w:r>
          </w:p>
        </w:tc>
        <w:tc>
          <w:tcPr>
            <w:tcW w:w="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02A0A0D" w14:textId="77777777" w:rsidR="00784387" w:rsidRDefault="00000000">
            <w:pPr>
              <w:spacing w:line="260" w:lineRule="auto"/>
            </w:pPr>
            <w:r>
              <w:rPr>
                <w:sz w:val="20"/>
                <w:szCs w:val="20"/>
              </w:rPr>
              <w:t>18.3%</w:t>
            </w:r>
          </w:p>
        </w:tc>
        <w:tc>
          <w:tcPr>
            <w:tcW w:w="16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7D052B0" w14:textId="77777777" w:rsidR="00784387" w:rsidRDefault="00000000">
            <w:pPr>
              <w:spacing w:line="260" w:lineRule="auto"/>
            </w:pPr>
            <w:r>
              <w:rPr>
                <w:sz w:val="20"/>
                <w:szCs w:val="20"/>
              </w:rPr>
              <w:t>Priority</w:t>
            </w:r>
          </w:p>
        </w:tc>
      </w:tr>
    </w:tbl>
    <w:p w14:paraId="4939DAFF" w14:textId="77777777" w:rsidR="00784387" w:rsidRDefault="00000000">
      <w:pPr>
        <w:pStyle w:val="Ttulo1"/>
      </w:pPr>
      <w:r>
        <w:t>5. Outcomes and Hypotheses</w:t>
      </w:r>
    </w:p>
    <w:p w14:paraId="4B934027" w14:textId="77777777" w:rsidR="00784387" w:rsidRDefault="00000000">
      <w:pPr>
        <w:pStyle w:val="Ttulo2"/>
      </w:pPr>
      <w:r>
        <w:t>5.1 Primary Outcomes</w:t>
      </w:r>
    </w:p>
    <w:p w14:paraId="6B10F800"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Y1. Support for higher tuition fees in public universities (post-treatment). </w:t>
      </w:r>
      <w:r w:rsidRPr="0089609D">
        <w:rPr>
          <w:lang w:val="en-GB"/>
        </w:rPr>
        <w:t>5-point Likert from 'Very much in favour' (1) to 'Very much against' (5). The pre-registered binary indicator is Y1 = 1 if the respondent answers 1 or 2, and 0 otherwise. The 5-point measure is also analysed as an ordered outcome.</w:t>
      </w:r>
    </w:p>
    <w:p w14:paraId="0506FE0E" w14:textId="77777777" w:rsidR="00784387" w:rsidRDefault="00000000">
      <w:pPr>
        <w:pStyle w:val="Prrafodelista"/>
        <w:numPr>
          <w:ilvl w:val="0"/>
          <w:numId w:val="2"/>
        </w:numPr>
        <w:spacing w:after="80" w:line="280" w:lineRule="auto"/>
      </w:pPr>
      <w:r w:rsidRPr="0089609D">
        <w:rPr>
          <w:b/>
          <w:bCs/>
          <w:lang w:val="en-GB"/>
        </w:rPr>
        <w:t xml:space="preserve">Y2. Support for higher public spending on universities, even with higher taxes or cuts elsewhere (post-treatment). </w:t>
      </w:r>
      <w:r>
        <w:t>Same 5-point scale and binary coding.</w:t>
      </w:r>
    </w:p>
    <w:p w14:paraId="784D21D8" w14:textId="77777777" w:rsidR="00784387" w:rsidRPr="0089609D" w:rsidRDefault="00000000">
      <w:pPr>
        <w:spacing w:after="120" w:line="280" w:lineRule="auto"/>
        <w:jc w:val="both"/>
        <w:rPr>
          <w:lang w:val="en-GB"/>
        </w:rPr>
      </w:pPr>
      <w:r w:rsidRPr="0089609D">
        <w:rPr>
          <w:lang w:val="en-GB"/>
        </w:rPr>
        <w:t>The two confirmatory hypotheses on the primary outcomes are:</w:t>
      </w:r>
    </w:p>
    <w:p w14:paraId="4218559A"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H1 (Y1 under T1, T4). </w:t>
      </w:r>
      <w:r w:rsidRPr="0089609D">
        <w:rPr>
          <w:lang w:val="en-GB"/>
        </w:rPr>
        <w:t>Treatment T1 (earnings information) and treatment T4 (alternative financing systems) increase support for higher tuition fees on the post-treatment outcome, relative to control. Expected magnitudes: +5 to +9 pp for T1 (binary), +15 to +25 pp for T4 (binary).</w:t>
      </w:r>
    </w:p>
    <w:p w14:paraId="3A98D1C8" w14:textId="77777777" w:rsidR="00784387" w:rsidRDefault="00000000">
      <w:pPr>
        <w:pStyle w:val="Prrafodelista"/>
        <w:numPr>
          <w:ilvl w:val="0"/>
          <w:numId w:val="2"/>
        </w:numPr>
        <w:spacing w:after="80" w:line="280" w:lineRule="auto"/>
      </w:pPr>
      <w:r w:rsidRPr="0089609D">
        <w:rPr>
          <w:b/>
          <w:bCs/>
          <w:lang w:val="en-GB"/>
        </w:rPr>
        <w:t xml:space="preserve">H2 (Y2 under T2). </w:t>
      </w:r>
      <w:r w:rsidRPr="0089609D">
        <w:rPr>
          <w:lang w:val="en-GB"/>
        </w:rPr>
        <w:t xml:space="preserve">Treatment T2 (financing and fiscal trade-off) reduces support for higher public spending on the post-treatment outcome, relative to control. </w:t>
      </w:r>
      <w:r>
        <w:t>Expected magnitude: −5 to −10 pp.</w:t>
      </w:r>
    </w:p>
    <w:p w14:paraId="13B4C185" w14:textId="77777777" w:rsidR="00784387" w:rsidRPr="0089609D" w:rsidRDefault="00000000">
      <w:pPr>
        <w:spacing w:after="120" w:line="280" w:lineRule="auto"/>
        <w:jc w:val="both"/>
        <w:rPr>
          <w:lang w:val="en-GB"/>
        </w:rPr>
      </w:pPr>
      <w:r w:rsidRPr="0089609D">
        <w:rPr>
          <w:lang w:val="en-GB"/>
        </w:rPr>
        <w:t>Treatment effects on the two primary outcomes are computed for each treatment arm vs. control, using the empirical strategy in §7. T3's effect on Y1 and Y2 is not a confirmatory hypothesis; it is reported as an exploratory result.</w:t>
      </w:r>
    </w:p>
    <w:p w14:paraId="1870D952" w14:textId="77777777" w:rsidR="00784387" w:rsidRDefault="00000000">
      <w:pPr>
        <w:pStyle w:val="Ttulo2"/>
      </w:pPr>
      <w:r>
        <w:t>5.2 Secondary Outcomes</w:t>
      </w:r>
    </w:p>
    <w:p w14:paraId="3C4DD5A3"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S1. Earnings belief accuracy. </w:t>
      </w:r>
      <w:r w:rsidRPr="0089609D">
        <w:rPr>
          <w:lang w:val="en-GB"/>
        </w:rPr>
        <w:t xml:space="preserve">Pre-treatment belief accuracy is operationalised as a binary indicator equal to 1 if the respondent selects the correct category (university earns 30% more, consistent with the INE figures used in T1) and 0 otherwise. Confidence is used to define the misinformed subgroup (incorrect belief by high confidence) following Haaland et al. </w:t>
      </w:r>
      <w:r w:rsidRPr="007541BA">
        <w:rPr>
          <w:lang w:val="en-GB"/>
        </w:rPr>
        <w:t xml:space="preserve">(2023). </w:t>
      </w:r>
      <w:r w:rsidRPr="0089609D">
        <w:rPr>
          <w:lang w:val="en-GB"/>
        </w:rPr>
        <w:t>The post-treatment numerical estimate (open numerical field, asked only of T1 and Control) is the second component of S1.</w:t>
      </w:r>
    </w:p>
    <w:p w14:paraId="1109A68F" w14:textId="77777777" w:rsidR="00784387" w:rsidRDefault="00000000">
      <w:pPr>
        <w:pStyle w:val="Prrafodelista"/>
        <w:numPr>
          <w:ilvl w:val="0"/>
          <w:numId w:val="2"/>
        </w:numPr>
        <w:spacing w:after="80" w:line="280" w:lineRule="auto"/>
      </w:pPr>
      <w:r w:rsidRPr="0089609D">
        <w:rPr>
          <w:b/>
          <w:bCs/>
          <w:lang w:val="en-GB"/>
        </w:rPr>
        <w:t xml:space="preserve">S2. Financing belief covariates. </w:t>
      </w:r>
      <w:r w:rsidRPr="0089609D">
        <w:rPr>
          <w:lang w:val="en-GB"/>
        </w:rPr>
        <w:t xml:space="preserve">The perceived public funding share and the perceived public spending per student elicit categorical priors before treatment. Because the final survey does not include post-treatment versions of these questions for any arm, S2 is used exclusively as a baseline covariate and as a moderator in T2 heterogeneity analysis. </w:t>
      </w:r>
      <w:r>
        <w:t>It is not an outcome.</w:t>
      </w:r>
    </w:p>
    <w:p w14:paraId="3A477558"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S3. Perceived fairness of alternative financing systems. </w:t>
      </w:r>
      <w:r w:rsidRPr="0089609D">
        <w:rPr>
          <w:lang w:val="en-GB"/>
        </w:rPr>
        <w:t>A 5 by 5 Likert matrix asking respondents to rate five financing models (full state funding; current 80/20 system; means-tested fees; income-contingent loans; mainly private financing). A separate item asks which system is perceived as most socially just.</w:t>
      </w:r>
    </w:p>
    <w:p w14:paraId="626D900D"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S4. Accountability and budget priority. </w:t>
      </w:r>
      <w:r w:rsidRPr="0089609D">
        <w:rPr>
          <w:lang w:val="en-GB"/>
        </w:rPr>
        <w:t>Whether universities should operate with autonomy and face budgetary consequences for poor performance, and the priority destination for additional public university budget, are pre-specified as primary outcomes for T3 (see §4.4).</w:t>
      </w:r>
    </w:p>
    <w:p w14:paraId="203C2FD2" w14:textId="77777777" w:rsidR="00784387" w:rsidRDefault="00000000">
      <w:pPr>
        <w:pStyle w:val="Prrafodelista"/>
        <w:numPr>
          <w:ilvl w:val="0"/>
          <w:numId w:val="2"/>
        </w:numPr>
        <w:spacing w:after="80" w:line="280" w:lineRule="auto"/>
      </w:pPr>
      <w:r w:rsidRPr="0089609D">
        <w:rPr>
          <w:b/>
          <w:bCs/>
          <w:lang w:val="en-GB"/>
        </w:rPr>
        <w:t xml:space="preserve">S5. Willingness to pay. </w:t>
      </w:r>
      <w:r w:rsidRPr="0089609D">
        <w:rPr>
          <w:lang w:val="en-GB"/>
        </w:rPr>
        <w:t xml:space="preserve">Categorical question on what the respondent would be willing to pay per year as a student at a good-quality Spanish public university (six ordered categories from 0 (must be free) to more than €5,000 per year). </w:t>
      </w:r>
      <w:r>
        <w:t>Complements Y1 with a continuous-like preference measure.</w:t>
      </w:r>
    </w:p>
    <w:p w14:paraId="400350BF" w14:textId="77777777" w:rsidR="00784387" w:rsidRDefault="00000000">
      <w:pPr>
        <w:pStyle w:val="Ttulo2"/>
      </w:pPr>
      <w:r>
        <w:t>5.3 Hypotheses on Secondary Outcomes</w:t>
      </w:r>
    </w:p>
    <w:p w14:paraId="5A3D97D6"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H3 (T1 belief updating). </w:t>
      </w:r>
      <w:r w:rsidRPr="0089609D">
        <w:rPr>
          <w:lang w:val="en-GB"/>
        </w:rPr>
        <w:t>Among respondents in the T1 arm, the post-treatment numerical earnings belief is shifted toward the figure shown in T1 (€2,400 per month) relative to the Control arm.</w:t>
      </w:r>
    </w:p>
    <w:p w14:paraId="07F6CE87"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H4 (T4 mechanism on S3). </w:t>
      </w:r>
      <w:r w:rsidRPr="0089609D">
        <w:rPr>
          <w:lang w:val="en-GB"/>
        </w:rPr>
        <w:t>T4 increases the average rating of ICL and means-tested systems relative to Control, and increases the probability of selecting one of these systems as most socially just.</w:t>
      </w:r>
    </w:p>
    <w:p w14:paraId="225DC618" w14:textId="77777777" w:rsidR="00784387" w:rsidRPr="0089609D" w:rsidRDefault="00000000">
      <w:pPr>
        <w:pStyle w:val="Prrafodelista"/>
        <w:numPr>
          <w:ilvl w:val="0"/>
          <w:numId w:val="2"/>
        </w:numPr>
        <w:spacing w:after="80" w:line="280" w:lineRule="auto"/>
        <w:rPr>
          <w:lang w:val="en-GB"/>
        </w:rPr>
      </w:pPr>
      <w:r w:rsidRPr="0089609D">
        <w:rPr>
          <w:b/>
          <w:bCs/>
          <w:lang w:val="en-GB"/>
        </w:rPr>
        <w:t xml:space="preserve">H5 (T3 effect on S4). </w:t>
      </w:r>
      <w:r w:rsidRPr="0089609D">
        <w:rPr>
          <w:lang w:val="en-GB"/>
        </w:rPr>
        <w:t>T3 increases the probability that the respondent supports universities operating with autonomy and facing budgetary consequences for poor performance, and shifts the distribution of priority destinations toward quality and merit-oriented options away from across-the-board fee reduction.</w:t>
      </w:r>
    </w:p>
    <w:p w14:paraId="02855147" w14:textId="77777777" w:rsidR="00784387" w:rsidRPr="0089609D" w:rsidRDefault="00000000">
      <w:pPr>
        <w:pStyle w:val="Ttulo2"/>
        <w:rPr>
          <w:lang w:val="en-GB"/>
        </w:rPr>
      </w:pPr>
      <w:r w:rsidRPr="0089609D">
        <w:rPr>
          <w:lang w:val="en-GB"/>
        </w:rPr>
        <w:t>5.4 Manipulation Check and Attention Check</w:t>
      </w:r>
    </w:p>
    <w:p w14:paraId="4F8BBA01" w14:textId="77777777" w:rsidR="00784387" w:rsidRPr="0089609D" w:rsidRDefault="00000000">
      <w:pPr>
        <w:spacing w:after="120" w:line="280" w:lineRule="auto"/>
        <w:jc w:val="both"/>
        <w:rPr>
          <w:lang w:val="en-GB"/>
        </w:rPr>
      </w:pPr>
      <w:r w:rsidRPr="0089609D">
        <w:rPr>
          <w:lang w:val="en-GB"/>
        </w:rPr>
        <w:t>The manipulation check is administered to respondents in arms T1 to T4 immediately after the treatment text. The question is adapted to each treatment arm and asks which piece of information appeared in the text. A binary variable MC_correct = 1 indicates correct identification. Analysis restricted to MC_correct = 1 (within T1 to T4) and the full Control arm is a pre-specified robustness check, not the primary specification.</w:t>
      </w:r>
    </w:p>
    <w:p w14:paraId="3E6B8E75" w14:textId="77777777" w:rsidR="00784387" w:rsidRPr="007541BA" w:rsidRDefault="00000000">
      <w:pPr>
        <w:spacing w:after="120" w:line="280" w:lineRule="auto"/>
        <w:jc w:val="both"/>
        <w:rPr>
          <w:lang w:val="en-GB"/>
        </w:rPr>
      </w:pPr>
      <w:r>
        <w:t>The attention check is an explicit instructed-response item embedded within Block 4. Respondents who fail the attention check continue answering all subsequent items (they are not terminated by the survey platform). The primary analysis sample restricts to respondents who pass the attention check (AC_PASS = 1). A robustness specification (§7.5) reports results including respondents who failed the attention check, to assess sensitivity to the inclusion of inattentive respondents. The perceived influence item measures perception of demand effects and is used as a heterogeneity variable following Haaland et al. (2023), not as a sample restriction.</w:t>
      </w:r>
    </w:p>
    <w:p w14:paraId="3F450408" w14:textId="77777777" w:rsidR="00784387" w:rsidRPr="0089609D" w:rsidRDefault="00000000">
      <w:pPr>
        <w:pStyle w:val="Ttulo1"/>
        <w:rPr>
          <w:lang w:val="en-GB"/>
        </w:rPr>
      </w:pPr>
      <w:r w:rsidRPr="0089609D">
        <w:rPr>
          <w:lang w:val="en-GB"/>
        </w:rPr>
        <w:t>6. Statistical Power and Sample Size</w:t>
      </w:r>
    </w:p>
    <w:p w14:paraId="55B88577" w14:textId="77777777" w:rsidR="00784387" w:rsidRPr="0089609D" w:rsidRDefault="00000000">
      <w:pPr>
        <w:pStyle w:val="Ttulo2"/>
        <w:rPr>
          <w:lang w:val="en-GB"/>
        </w:rPr>
      </w:pPr>
      <w:r w:rsidRPr="0089609D">
        <w:rPr>
          <w:lang w:val="en-GB"/>
        </w:rPr>
        <w:t>6.1 Pre-registered Specification and Benchmark Parameters</w:t>
      </w:r>
    </w:p>
    <w:p w14:paraId="22E508EA" w14:textId="77777777" w:rsidR="00784387" w:rsidRPr="0089609D" w:rsidRDefault="00000000">
      <w:pPr>
        <w:spacing w:after="120" w:line="280" w:lineRule="auto"/>
        <w:jc w:val="both"/>
        <w:rPr>
          <w:lang w:val="en-GB"/>
        </w:rPr>
      </w:pPr>
      <w:r w:rsidRPr="0089609D">
        <w:rPr>
          <w:lang w:val="en-GB"/>
        </w:rPr>
        <w:t>The pre-registered specification for both primary outcomes is the analysis of covariance (ANCOVA) introduced in §7.1, in which the post-treatment outcome is regressed on the treatment indicator while conditioning on the pre-treatment value of the same outcome elicited in Block 2. Power calculations therefore reflect this specification, not a raw difference in proportions.</w:t>
      </w:r>
    </w:p>
    <w:p w14:paraId="4793B4F3" w14:textId="77777777" w:rsidR="00784387" w:rsidRPr="0089609D" w:rsidRDefault="00000000">
      <w:pPr>
        <w:spacing w:after="120" w:line="280" w:lineRule="auto"/>
        <w:jc w:val="both"/>
        <w:rPr>
          <w:lang w:val="en-GB"/>
        </w:rPr>
      </w:pPr>
      <w:r w:rsidRPr="0089609D">
        <w:rPr>
          <w:lang w:val="en-GB"/>
        </w:rPr>
        <w:t xml:space="preserve">Both Y1 and Y2 are measured before and after treatment using identical item wording, with treatment exposure occurring within the same survey session. Under these conditions, the within-individual pre-post correlation </w:t>
      </w:r>
      <w:r>
        <w:t>ρ</w:t>
      </w:r>
      <w:r w:rsidRPr="0089609D">
        <w:rPr>
          <w:lang w:val="en-GB"/>
        </w:rPr>
        <w:t xml:space="preserve"> for 5-point Likert items in similar information-provision experiments is typically in the range 0.6 to 0.8 (Lergetporer and Woessmann, 2023). Conditioning on the pre-treatment outcome reduces the residual variance of the post-treatment outcome by a factor (1 − </w:t>
      </w:r>
      <w:r>
        <w:t>ρ</w:t>
      </w:r>
      <w:r w:rsidRPr="0089609D">
        <w:rPr>
          <w:lang w:val="en-GB"/>
        </w:rPr>
        <w:t xml:space="preserve">²); equivalently, the effective sample size for inference on the treatment coefficient is multiplied by 1/(1 − </w:t>
      </w:r>
      <w:r>
        <w:t>ρ</w:t>
      </w:r>
      <w:r w:rsidRPr="0089609D">
        <w:rPr>
          <w:lang w:val="en-GB"/>
        </w:rPr>
        <w:t xml:space="preserve">²). At </w:t>
      </w:r>
      <w:r>
        <w:t>ρ</w:t>
      </w:r>
      <w:r w:rsidRPr="0089609D">
        <w:rPr>
          <w:lang w:val="en-GB"/>
        </w:rPr>
        <w:t xml:space="preserve"> = 0.6 this multiplier equals 1.56; at </w:t>
      </w:r>
      <w:r>
        <w:t>ρ</w:t>
      </w:r>
      <w:r w:rsidRPr="0089609D">
        <w:rPr>
          <w:lang w:val="en-GB"/>
        </w:rPr>
        <w:t xml:space="preserve"> = 0.7 it equals 1.96. The headline calculations below use the pre-registered conservative benchmark </w:t>
      </w:r>
      <w:r>
        <w:t>ρ</w:t>
      </w:r>
      <w:r w:rsidRPr="0089609D">
        <w:rPr>
          <w:lang w:val="en-GB"/>
        </w:rPr>
        <w:t xml:space="preserve"> = 0.6.</w:t>
      </w:r>
    </w:p>
    <w:p w14:paraId="0891B41C" w14:textId="77777777" w:rsidR="00784387" w:rsidRDefault="00000000">
      <w:pPr>
        <w:spacing w:after="120" w:line="280" w:lineRule="auto"/>
        <w:jc w:val="both"/>
      </w:pPr>
      <w:r>
        <w:t>Benchmark parameters:</w:t>
      </w:r>
    </w:p>
    <w:p w14:paraId="58B743E1" w14:textId="77777777" w:rsidR="00784387" w:rsidRPr="0089609D" w:rsidRDefault="00000000">
      <w:pPr>
        <w:pStyle w:val="Prrafodelista"/>
        <w:numPr>
          <w:ilvl w:val="0"/>
          <w:numId w:val="2"/>
        </w:numPr>
        <w:spacing w:after="80" w:line="280" w:lineRule="auto"/>
        <w:rPr>
          <w:lang w:val="en-GB"/>
        </w:rPr>
      </w:pPr>
      <w:r w:rsidRPr="0089609D">
        <w:rPr>
          <w:lang w:val="en-GB"/>
        </w:rPr>
        <w:t>Baseline support for higher tuition fees in the control group, p₁(Y1) ≈ 0.42 (Lergetporer and Woessmann 2023; the Spanish baseline may differ given the higher fees framing).</w:t>
      </w:r>
    </w:p>
    <w:p w14:paraId="09B3E0F0" w14:textId="77777777" w:rsidR="00784387" w:rsidRPr="00670A3C" w:rsidRDefault="00000000">
      <w:pPr>
        <w:pStyle w:val="Prrafodelista"/>
        <w:numPr>
          <w:ilvl w:val="0"/>
          <w:numId w:val="2"/>
        </w:numPr>
        <w:spacing w:after="80" w:line="280" w:lineRule="auto"/>
        <w:rPr>
          <w:lang w:val="en-GB"/>
        </w:rPr>
      </w:pPr>
      <w:r w:rsidRPr="00670A3C">
        <w:rPr>
          <w:lang w:val="en-GB"/>
        </w:rPr>
        <w:t>Baseline support for higher public spending in the control group, p₁(Y2) ≈ 0.50 (no Spanish benchmark; assumption maintained for the calculations).</w:t>
      </w:r>
    </w:p>
    <w:p w14:paraId="54C914A1" w14:textId="77777777" w:rsidR="00784387" w:rsidRPr="00670A3C" w:rsidRDefault="00000000">
      <w:pPr>
        <w:pStyle w:val="Prrafodelista"/>
        <w:numPr>
          <w:ilvl w:val="0"/>
          <w:numId w:val="2"/>
        </w:numPr>
        <w:spacing w:after="80" w:line="280" w:lineRule="auto"/>
        <w:rPr>
          <w:lang w:val="en-GB"/>
        </w:rPr>
      </w:pPr>
      <w:r w:rsidRPr="00670A3C">
        <w:rPr>
          <w:lang w:val="en-GB"/>
        </w:rPr>
        <w:t xml:space="preserve">Significance level </w:t>
      </w:r>
      <w:r>
        <w:t>α</w:t>
      </w:r>
      <w:r w:rsidRPr="00670A3C">
        <w:rPr>
          <w:lang w:val="en-GB"/>
        </w:rPr>
        <w:t xml:space="preserve"> = 0.05, two-sided. Bonferroni-adjusted </w:t>
      </w:r>
      <w:r>
        <w:t>α</w:t>
      </w:r>
      <w:r w:rsidRPr="00670A3C">
        <w:rPr>
          <w:lang w:val="en-GB"/>
        </w:rPr>
        <w:t xml:space="preserve"> = 0.0125 for the four pre-specified treatment-vs-control comparisons on the primary outcomes.</w:t>
      </w:r>
    </w:p>
    <w:p w14:paraId="41293C3B" w14:textId="77777777" w:rsidR="00784387" w:rsidRDefault="00000000">
      <w:pPr>
        <w:pStyle w:val="Prrafodelista"/>
        <w:numPr>
          <w:ilvl w:val="0"/>
          <w:numId w:val="2"/>
        </w:numPr>
        <w:spacing w:after="80" w:line="280" w:lineRule="auto"/>
      </w:pPr>
      <w:r>
        <w:t>Target power 1 − β = 0.80.</w:t>
      </w:r>
    </w:p>
    <w:p w14:paraId="65F871CE" w14:textId="77777777" w:rsidR="00784387" w:rsidRPr="0089609D" w:rsidRDefault="00000000">
      <w:pPr>
        <w:pStyle w:val="Ttulo2"/>
        <w:rPr>
          <w:lang w:val="en-GB"/>
        </w:rPr>
      </w:pPr>
      <w:r>
        <w:rPr>
          <w:sz w:val="22"/>
        </w:rPr>
        <w:t>6.2 Ex Ante Power under the Pre-registered Specification</w:t>
      </w:r>
    </w:p>
    <w:p w14:paraId="0732EBE4" w14:textId="77777777" w:rsidR="00784387" w:rsidRPr="0089609D" w:rsidRDefault="00000000">
      <w:pPr>
        <w:spacing w:after="120" w:line="280" w:lineRule="auto"/>
        <w:jc w:val="both"/>
        <w:rPr>
          <w:lang w:val="en-GB"/>
        </w:rPr>
      </w:pPr>
      <w:r>
        <w:t>Under the proposed allocation (Control n = 1,000; T1 n = 1,250; T2, T3, T4 n ≈ 915 each, on a total of 5,000) and the pre-registered ANCOVA specification at ρ = 0.6, the ex ante statistical power for each pre-specified comparison on the primary outcomes is reported in the table below. All Bonferroni-corrected powers for T1, T2 and T4 exceed 0.85 for the benchmark effect sizes drawn from the prior literature.</w:t>
      </w:r>
    </w:p>
    <w:p w14:paraId="47904D90" w14:textId="77777777" w:rsidR="00784387" w:rsidRPr="0089609D" w:rsidRDefault="00000000">
      <w:pPr>
        <w:pStyle w:val="Ttulo3"/>
        <w:rPr>
          <w:lang w:val="en-GB"/>
        </w:rPr>
      </w:pPr>
      <w:r>
        <w:t>6.3 Ex Ante Power Table (ANCOVA at ρ = 0.6)</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300"/>
        <w:gridCol w:w="1300"/>
        <w:gridCol w:w="1700"/>
        <w:gridCol w:w="1860"/>
      </w:tblGrid>
      <w:tr w:rsidR="00784387" w14:paraId="30D54662" w14:textId="77777777">
        <w:trPr>
          <w:tblHeader/>
        </w:trPr>
        <w:tc>
          <w:tcPr>
            <w:tcW w:w="32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05FC6EF3" w14:textId="77777777" w:rsidR="00784387" w:rsidRDefault="00000000">
            <w:pPr>
              <w:spacing w:line="260" w:lineRule="auto"/>
            </w:pPr>
            <w:r>
              <w:rPr>
                <w:b/>
                <w:bCs/>
                <w:sz w:val="20"/>
                <w:szCs w:val="20"/>
              </w:rPr>
              <w:t>Comparison</w:t>
            </w:r>
          </w:p>
        </w:tc>
        <w:tc>
          <w:tcPr>
            <w:tcW w:w="13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40390764" w14:textId="77777777" w:rsidR="00784387" w:rsidRDefault="00000000">
            <w:pPr>
              <w:spacing w:line="260" w:lineRule="auto"/>
            </w:pPr>
            <w:r>
              <w:rPr>
                <w:b/>
                <w:bCs/>
                <w:sz w:val="20"/>
                <w:szCs w:val="20"/>
              </w:rPr>
              <w:t>Effect size (pp)</w:t>
            </w:r>
          </w:p>
        </w:tc>
        <w:tc>
          <w:tcPr>
            <w:tcW w:w="13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6DD5A1F" w14:textId="77777777" w:rsidR="00784387" w:rsidRDefault="00000000">
            <w:pPr>
              <w:spacing w:line="260" w:lineRule="auto"/>
            </w:pPr>
            <w:r>
              <w:rPr>
                <w:b/>
                <w:bCs/>
                <w:sz w:val="20"/>
                <w:szCs w:val="20"/>
              </w:rPr>
              <w:t>p₁ → p₂</w:t>
            </w:r>
          </w:p>
        </w:tc>
        <w:tc>
          <w:tcPr>
            <w:tcW w:w="17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54D74C73" w14:textId="77777777" w:rsidR="00784387" w:rsidRDefault="00000000">
            <w:pPr>
              <w:spacing w:line="260" w:lineRule="auto"/>
            </w:pPr>
            <w:r>
              <w:rPr>
                <w:b/>
                <w:bCs/>
                <w:sz w:val="20"/>
                <w:szCs w:val="20"/>
              </w:rPr>
              <w:t>Power (uncorr)</w:t>
            </w:r>
          </w:p>
        </w:tc>
        <w:tc>
          <w:tcPr>
            <w:tcW w:w="18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29CB4E9" w14:textId="77777777" w:rsidR="00784387" w:rsidRDefault="00000000">
            <w:pPr>
              <w:spacing w:line="260" w:lineRule="auto"/>
            </w:pPr>
            <w:r>
              <w:rPr>
                <w:b/>
                <w:bCs/>
                <w:sz w:val="20"/>
                <w:szCs w:val="20"/>
              </w:rPr>
              <w:t>Power (Bonf, α=0.0125)</w:t>
            </w:r>
          </w:p>
        </w:tc>
      </w:tr>
      <w:tr w:rsidR="00784387" w14:paraId="6E84B833" w14:textId="77777777">
        <w:tc>
          <w:tcPr>
            <w:tcW w:w="32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0F9DB1F" w14:textId="77777777" w:rsidR="00784387" w:rsidRPr="0089609D" w:rsidRDefault="00000000">
            <w:pPr>
              <w:spacing w:line="260" w:lineRule="auto"/>
              <w:rPr>
                <w:lang w:val="en-GB"/>
              </w:rPr>
            </w:pPr>
            <w:r w:rsidRPr="0089609D">
              <w:rPr>
                <w:sz w:val="20"/>
                <w:szCs w:val="20"/>
                <w:lang w:val="en-GB"/>
              </w:rPr>
              <w:t>T1 vs C, Y1 (benchmark L&amp;W 2023)</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C57EC9C" w14:textId="77777777" w:rsidR="00784387" w:rsidRDefault="00000000">
            <w:pPr>
              <w:spacing w:line="260" w:lineRule="auto"/>
            </w:pPr>
            <w:r>
              <w:rPr>
                <w:sz w:val="20"/>
                <w:szCs w:val="20"/>
              </w:rPr>
              <w:t>+7</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41CE6EE" w14:textId="77777777" w:rsidR="00784387" w:rsidRDefault="00000000">
            <w:pPr>
              <w:spacing w:line="260" w:lineRule="auto"/>
            </w:pPr>
            <w:r>
              <w:rPr>
                <w:sz w:val="20"/>
                <w:szCs w:val="20"/>
              </w:rPr>
              <w:t>0.42 → 0.49</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3D3F7AB" w14:textId="77777777" w:rsidR="00784387" w:rsidRDefault="00000000">
            <w:pPr>
              <w:spacing w:line="260" w:lineRule="auto"/>
            </w:pPr>
            <w:r>
              <w:rPr>
                <w:sz w:val="20"/>
                <w:szCs w:val="20"/>
              </w:rPr>
              <w:t>0.99</w:t>
            </w:r>
          </w:p>
        </w:tc>
        <w:tc>
          <w:tcPr>
            <w:tcW w:w="1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5D1039E" w14:textId="77777777" w:rsidR="00784387" w:rsidRDefault="00000000">
            <w:pPr>
              <w:spacing w:line="260" w:lineRule="auto"/>
            </w:pPr>
            <w:r>
              <w:rPr>
                <w:sz w:val="20"/>
                <w:szCs w:val="20"/>
              </w:rPr>
              <w:t>0.95</w:t>
            </w:r>
          </w:p>
        </w:tc>
      </w:tr>
      <w:tr w:rsidR="00784387" w14:paraId="4EBF6AD2" w14:textId="77777777">
        <w:tc>
          <w:tcPr>
            <w:tcW w:w="32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49B5F0E" w14:textId="77777777" w:rsidR="00784387" w:rsidRDefault="00000000">
            <w:pPr>
              <w:spacing w:line="260" w:lineRule="auto"/>
            </w:pPr>
            <w:r>
              <w:rPr>
                <w:sz w:val="20"/>
                <w:szCs w:val="20"/>
              </w:rPr>
              <w:t>T1 vs C, Y1 (optimistic)</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79A96E6" w14:textId="77777777" w:rsidR="00784387" w:rsidRDefault="00000000">
            <w:pPr>
              <w:spacing w:line="260" w:lineRule="auto"/>
            </w:pPr>
            <w:r>
              <w:rPr>
                <w:sz w:val="20"/>
                <w:szCs w:val="20"/>
              </w:rPr>
              <w:t>+9</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09B9DF1" w14:textId="77777777" w:rsidR="00784387" w:rsidRDefault="00000000">
            <w:pPr>
              <w:spacing w:line="260" w:lineRule="auto"/>
            </w:pPr>
            <w:r>
              <w:rPr>
                <w:sz w:val="20"/>
                <w:szCs w:val="20"/>
              </w:rPr>
              <w:t>0.42 → 0.51</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D06FCB7" w14:textId="77777777" w:rsidR="00784387" w:rsidRDefault="00000000">
            <w:pPr>
              <w:spacing w:line="260" w:lineRule="auto"/>
            </w:pPr>
            <w:r>
              <w:rPr>
                <w:sz w:val="20"/>
                <w:szCs w:val="20"/>
              </w:rPr>
              <w:t>&gt;0.99</w:t>
            </w:r>
          </w:p>
        </w:tc>
        <w:tc>
          <w:tcPr>
            <w:tcW w:w="1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019F457" w14:textId="77777777" w:rsidR="00784387" w:rsidRDefault="00000000">
            <w:pPr>
              <w:spacing w:line="260" w:lineRule="auto"/>
            </w:pPr>
            <w:r>
              <w:rPr>
                <w:sz w:val="20"/>
                <w:szCs w:val="20"/>
              </w:rPr>
              <w:t>&gt;0.99</w:t>
            </w:r>
          </w:p>
        </w:tc>
      </w:tr>
      <w:tr w:rsidR="00784387" w14:paraId="07D72761" w14:textId="77777777">
        <w:tc>
          <w:tcPr>
            <w:tcW w:w="32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071E37E" w14:textId="77777777" w:rsidR="00784387" w:rsidRDefault="00000000">
            <w:pPr>
              <w:spacing w:line="260" w:lineRule="auto"/>
            </w:pPr>
            <w:r>
              <w:rPr>
                <w:sz w:val="20"/>
                <w:szCs w:val="20"/>
              </w:rPr>
              <w:t>T2 vs C, Y2 (mid expected)</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C310D26" w14:textId="77777777" w:rsidR="00784387" w:rsidRDefault="00000000">
            <w:pPr>
              <w:spacing w:line="260" w:lineRule="auto"/>
            </w:pPr>
            <w:r>
              <w:rPr>
                <w:sz w:val="20"/>
                <w:szCs w:val="20"/>
              </w:rPr>
              <w:t>−7</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0D24360" w14:textId="77777777" w:rsidR="00784387" w:rsidRDefault="00000000">
            <w:pPr>
              <w:spacing w:line="260" w:lineRule="auto"/>
            </w:pPr>
            <w:r>
              <w:rPr>
                <w:sz w:val="20"/>
                <w:szCs w:val="20"/>
              </w:rPr>
              <w:t>0.50 → 0.43</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D6F61CF" w14:textId="77777777" w:rsidR="00784387" w:rsidRDefault="00000000">
            <w:pPr>
              <w:spacing w:line="260" w:lineRule="auto"/>
            </w:pPr>
            <w:r>
              <w:rPr>
                <w:sz w:val="20"/>
                <w:szCs w:val="20"/>
              </w:rPr>
              <w:t>0.97</w:t>
            </w:r>
          </w:p>
        </w:tc>
        <w:tc>
          <w:tcPr>
            <w:tcW w:w="1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5083B48" w14:textId="77777777" w:rsidR="00784387" w:rsidRDefault="00000000">
            <w:pPr>
              <w:spacing w:line="260" w:lineRule="auto"/>
            </w:pPr>
            <w:r>
              <w:rPr>
                <w:sz w:val="20"/>
                <w:szCs w:val="20"/>
              </w:rPr>
              <w:t>0.91</w:t>
            </w:r>
          </w:p>
        </w:tc>
      </w:tr>
      <w:tr w:rsidR="00784387" w14:paraId="07CA3D2A" w14:textId="77777777">
        <w:tc>
          <w:tcPr>
            <w:tcW w:w="32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40E6F21" w14:textId="77777777" w:rsidR="00784387" w:rsidRPr="0089609D" w:rsidRDefault="00000000">
            <w:pPr>
              <w:spacing w:line="260" w:lineRule="auto"/>
              <w:rPr>
                <w:lang w:val="en-GB"/>
              </w:rPr>
            </w:pPr>
            <w:r w:rsidRPr="0089609D">
              <w:rPr>
                <w:sz w:val="20"/>
                <w:szCs w:val="20"/>
                <w:lang w:val="en-GB"/>
              </w:rPr>
              <w:t>T2 vs C, Y2 (high expected)</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8CA3C5A" w14:textId="77777777" w:rsidR="00784387" w:rsidRDefault="00000000">
            <w:pPr>
              <w:spacing w:line="260" w:lineRule="auto"/>
            </w:pPr>
            <w:r>
              <w:rPr>
                <w:sz w:val="20"/>
                <w:szCs w:val="20"/>
              </w:rPr>
              <w:t>−10</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17A09BC" w14:textId="77777777" w:rsidR="00784387" w:rsidRDefault="00000000">
            <w:pPr>
              <w:spacing w:line="260" w:lineRule="auto"/>
            </w:pPr>
            <w:r>
              <w:rPr>
                <w:sz w:val="20"/>
                <w:szCs w:val="20"/>
              </w:rPr>
              <w:t>0.50 → 0.40</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1D43E3F" w14:textId="77777777" w:rsidR="00784387" w:rsidRDefault="00000000">
            <w:pPr>
              <w:spacing w:line="260" w:lineRule="auto"/>
            </w:pPr>
            <w:r>
              <w:rPr>
                <w:sz w:val="20"/>
                <w:szCs w:val="20"/>
              </w:rPr>
              <w:t>&gt;0.99</w:t>
            </w:r>
          </w:p>
        </w:tc>
        <w:tc>
          <w:tcPr>
            <w:tcW w:w="1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664E5A2" w14:textId="77777777" w:rsidR="00784387" w:rsidRDefault="00000000">
            <w:pPr>
              <w:spacing w:line="260" w:lineRule="auto"/>
            </w:pPr>
            <w:r>
              <w:rPr>
                <w:sz w:val="20"/>
                <w:szCs w:val="20"/>
              </w:rPr>
              <w:t>&gt;0.99</w:t>
            </w:r>
          </w:p>
        </w:tc>
      </w:tr>
      <w:tr w:rsidR="00784387" w14:paraId="1500787D" w14:textId="77777777">
        <w:tc>
          <w:tcPr>
            <w:tcW w:w="32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4992868" w14:textId="77777777" w:rsidR="00784387" w:rsidRPr="0089609D" w:rsidRDefault="00000000">
            <w:pPr>
              <w:spacing w:line="260" w:lineRule="auto"/>
              <w:rPr>
                <w:lang w:val="en-GB"/>
              </w:rPr>
            </w:pPr>
            <w:r w:rsidRPr="0089609D">
              <w:rPr>
                <w:sz w:val="20"/>
                <w:szCs w:val="20"/>
                <w:lang w:val="en-GB"/>
              </w:rPr>
              <w:t>T4 vs C, Y1 (benchmark L&amp;W 2022)</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2B007CE" w14:textId="77777777" w:rsidR="00784387" w:rsidRDefault="00000000">
            <w:pPr>
              <w:spacing w:line="260" w:lineRule="auto"/>
            </w:pPr>
            <w:r>
              <w:rPr>
                <w:sz w:val="20"/>
                <w:szCs w:val="20"/>
              </w:rPr>
              <w:t>+15</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6284493" w14:textId="77777777" w:rsidR="00784387" w:rsidRDefault="00000000">
            <w:pPr>
              <w:spacing w:line="260" w:lineRule="auto"/>
            </w:pPr>
            <w:r>
              <w:rPr>
                <w:sz w:val="20"/>
                <w:szCs w:val="20"/>
              </w:rPr>
              <w:t>0.42 → 0.57</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1DB93F7" w14:textId="77777777" w:rsidR="00784387" w:rsidRDefault="00000000">
            <w:pPr>
              <w:spacing w:line="260" w:lineRule="auto"/>
            </w:pPr>
            <w:r>
              <w:rPr>
                <w:sz w:val="20"/>
                <w:szCs w:val="20"/>
              </w:rPr>
              <w:t>&gt;0.99</w:t>
            </w:r>
          </w:p>
        </w:tc>
        <w:tc>
          <w:tcPr>
            <w:tcW w:w="1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FC85F66" w14:textId="77777777" w:rsidR="00784387" w:rsidRDefault="00000000">
            <w:pPr>
              <w:spacing w:line="260" w:lineRule="auto"/>
            </w:pPr>
            <w:r>
              <w:rPr>
                <w:sz w:val="20"/>
                <w:szCs w:val="20"/>
              </w:rPr>
              <w:t>&gt;0.99</w:t>
            </w:r>
          </w:p>
        </w:tc>
      </w:tr>
      <w:tr w:rsidR="00784387" w14:paraId="13F9E662" w14:textId="77777777">
        <w:tc>
          <w:tcPr>
            <w:tcW w:w="32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E1B223C" w14:textId="77777777" w:rsidR="00784387" w:rsidRDefault="00000000">
            <w:pPr>
              <w:spacing w:line="260" w:lineRule="auto"/>
            </w:pPr>
            <w:r>
              <w:rPr>
                <w:sz w:val="20"/>
                <w:szCs w:val="20"/>
              </w:rPr>
              <w:t>T4 vs C, Y1 (conservative)</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1FD34F0" w14:textId="77777777" w:rsidR="00784387" w:rsidRDefault="00000000">
            <w:pPr>
              <w:spacing w:line="260" w:lineRule="auto"/>
            </w:pPr>
            <w:r>
              <w:rPr>
                <w:sz w:val="20"/>
                <w:szCs w:val="20"/>
              </w:rPr>
              <w:t>+10</w:t>
            </w:r>
          </w:p>
        </w:tc>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9E48632" w14:textId="77777777" w:rsidR="00784387" w:rsidRDefault="00000000">
            <w:pPr>
              <w:spacing w:line="260" w:lineRule="auto"/>
            </w:pPr>
            <w:r>
              <w:rPr>
                <w:sz w:val="20"/>
                <w:szCs w:val="20"/>
              </w:rPr>
              <w:t>0.42 → 0.52</w:t>
            </w:r>
          </w:p>
        </w:tc>
        <w:tc>
          <w:tcPr>
            <w:tcW w:w="17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EFD100B" w14:textId="77777777" w:rsidR="00784387" w:rsidRDefault="00000000">
            <w:pPr>
              <w:spacing w:line="260" w:lineRule="auto"/>
            </w:pPr>
            <w:r>
              <w:rPr>
                <w:sz w:val="20"/>
                <w:szCs w:val="20"/>
              </w:rPr>
              <w:t>&gt;0.99</w:t>
            </w:r>
          </w:p>
        </w:tc>
        <w:tc>
          <w:tcPr>
            <w:tcW w:w="18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D5D6BB5" w14:textId="77777777" w:rsidR="00784387" w:rsidRDefault="00000000">
            <w:pPr>
              <w:spacing w:line="260" w:lineRule="auto"/>
            </w:pPr>
            <w:r>
              <w:rPr>
                <w:sz w:val="20"/>
                <w:szCs w:val="20"/>
              </w:rPr>
              <w:t>&gt;0.99</w:t>
            </w:r>
          </w:p>
        </w:tc>
      </w:tr>
    </w:tbl>
    <w:p w14:paraId="7507F917" w14:textId="77777777" w:rsidR="00784387" w:rsidRPr="0089609D" w:rsidRDefault="00000000">
      <w:pPr>
        <w:spacing w:after="120" w:line="280" w:lineRule="auto"/>
        <w:jc w:val="both"/>
        <w:rPr>
          <w:lang w:val="en-GB"/>
        </w:rPr>
      </w:pPr>
      <w:r>
        <w:rPr>
          <w:i/>
        </w:rPr>
        <w:t>Note. Bonferroni correction is applied for four pre-specified treatment-vs-control comparisons on the primary outcomes. Minimum detectable effects under the headline specification (ANCOVA at ρ = 0.6, two-sided, 80% power) are approximately 5.6 pp for T1, 6.1 pp for T2 and 6.0 pp for T4 at the Bonferroni threshold (α = 0.0125), and approximately 4.7 pp for T1, 5.1 pp for T2 and 5.1 pp for T4 at the uncorrected threshold (α = 0.05). T3 is treated separately in §6.5 since its primary outcome has no pre-treatment counterpart and is not estimated under ANCOVA.</w:t>
      </w:r>
    </w:p>
    <w:p w14:paraId="4DEBF019" w14:textId="77777777" w:rsidR="00784387" w:rsidRPr="0089609D" w:rsidRDefault="00000000">
      <w:pPr>
        <w:pStyle w:val="Ttulo3"/>
        <w:rPr>
          <w:lang w:val="en-GB"/>
        </w:rPr>
      </w:pPr>
      <w:r w:rsidRPr="0089609D">
        <w:rPr>
          <w:lang w:val="en-GB"/>
        </w:rPr>
        <w:t>6.4 Sensitivity to the Pre-Post Correlation</w:t>
      </w:r>
    </w:p>
    <w:p w14:paraId="6F66DBF3" w14:textId="77777777" w:rsidR="00784387" w:rsidRPr="0089609D" w:rsidRDefault="00000000">
      <w:pPr>
        <w:spacing w:after="120" w:line="280" w:lineRule="auto"/>
        <w:jc w:val="both"/>
        <w:rPr>
          <w:lang w:val="en-GB"/>
        </w:rPr>
      </w:pPr>
      <w:r w:rsidRPr="0089609D">
        <w:rPr>
          <w:lang w:val="en-GB"/>
        </w:rPr>
        <w:t xml:space="preserve">The headline power results are robust to alternative values of </w:t>
      </w:r>
      <w:r>
        <w:t>ρ</w:t>
      </w:r>
      <w:r w:rsidRPr="0089609D">
        <w:rPr>
          <w:lang w:val="en-GB"/>
        </w:rPr>
        <w:t xml:space="preserve">. Under a more conservative </w:t>
      </w:r>
      <w:r>
        <w:t>ρ</w:t>
      </w:r>
      <w:r w:rsidRPr="0089609D">
        <w:rPr>
          <w:lang w:val="en-GB"/>
        </w:rPr>
        <w:t xml:space="preserve"> = 0.5, the Bonferroni-corrected power for the T1 benchmark is 0.91 and for the T2 mid expected effect is 0.85, both above the 0.80 target. Under </w:t>
      </w:r>
      <w:r>
        <w:t>ρ</w:t>
      </w:r>
      <w:r w:rsidRPr="0089609D">
        <w:rPr>
          <w:lang w:val="en-GB"/>
        </w:rPr>
        <w:t xml:space="preserve"> = 0.7, both are above 0.97. The sensitivity of MDE to </w:t>
      </w:r>
      <w:r>
        <w:t>ρ</w:t>
      </w:r>
      <w:r w:rsidRPr="0089609D">
        <w:rPr>
          <w:lang w:val="en-GB"/>
        </w:rPr>
        <w:t xml:space="preserve"> scales as √(1 − </w:t>
      </w:r>
      <w:r>
        <w:t>ρ</w:t>
      </w:r>
      <w:r w:rsidRPr="0089609D">
        <w:rPr>
          <w:lang w:val="en-GB"/>
        </w:rPr>
        <w:t xml:space="preserve">²); at </w:t>
      </w:r>
      <w:r>
        <w:t>ρ</w:t>
      </w:r>
      <w:r w:rsidRPr="0089609D">
        <w:rPr>
          <w:lang w:val="en-GB"/>
        </w:rPr>
        <w:t xml:space="preserve"> = 0 (raw difference of means) the corresponding MDE is approximately 7 pp under Bonferroni for the smaller arms, which still detects all benchmark effects from the prior literature except T2 at the lower end of its expected range (5 pp).</w:t>
      </w:r>
    </w:p>
    <w:p w14:paraId="5810F68E" w14:textId="77777777" w:rsidR="00784387" w:rsidRPr="007541BA" w:rsidRDefault="00000000">
      <w:pPr>
        <w:pStyle w:val="Ttulo3"/>
        <w:rPr>
          <w:lang w:val="en-GB"/>
        </w:rPr>
      </w:pPr>
      <w:r w:rsidRPr="007541BA">
        <w:rPr>
          <w:lang w:val="en-GB"/>
        </w:rPr>
        <w:t>6.5 T3 Exploratory Power</w:t>
      </w:r>
    </w:p>
    <w:p w14:paraId="1DCF9A67" w14:textId="77777777" w:rsidR="00784387" w:rsidRPr="00670A3C" w:rsidRDefault="00000000">
      <w:pPr>
        <w:spacing w:after="120" w:line="280" w:lineRule="auto"/>
        <w:jc w:val="both"/>
        <w:rPr>
          <w:lang w:val="en-GB"/>
        </w:rPr>
      </w:pPr>
      <w:r w:rsidRPr="00670A3C">
        <w:rPr>
          <w:lang w:val="en-GB"/>
        </w:rPr>
        <w:t xml:space="preserve">T3's primary outcomes (the accountability item and the priority destination item) have no pre-treatment counterpart. Power for T3 is therefore computed under a baseline-covariate-adjusted specification using the pre-treatment quality belief items as proxies. Because T3 is exploratory, we report the minimum detectable effect rather than power against a specific benchmark. The MDE on the binarised accountability item at </w:t>
      </w:r>
      <w:r>
        <w:t>α</w:t>
      </w:r>
      <w:r w:rsidRPr="00670A3C">
        <w:rPr>
          <w:lang w:val="en-GB"/>
        </w:rPr>
        <w:t xml:space="preserve"> = 0.05 (uncorrected) is approximately 6 pp, and at </w:t>
      </w:r>
      <w:r>
        <w:t>α</w:t>
      </w:r>
      <w:r w:rsidRPr="00670A3C">
        <w:rPr>
          <w:lang w:val="en-GB"/>
        </w:rPr>
        <w:t>_Bonf = 0.0125 approximately 7 pp, with 80% power and the proposed allocation.</w:t>
      </w:r>
    </w:p>
    <w:p w14:paraId="40631BB6" w14:textId="77777777" w:rsidR="00784387" w:rsidRPr="00670A3C" w:rsidRDefault="00000000">
      <w:pPr>
        <w:pStyle w:val="Ttulo3"/>
        <w:rPr>
          <w:lang w:val="en-GB"/>
        </w:rPr>
      </w:pPr>
      <w:r w:rsidRPr="00670A3C">
        <w:rPr>
          <w:lang w:val="en-GB"/>
        </w:rPr>
        <w:t>6.6 Final Allocation Summary (target N = 5,000)</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2800"/>
        <w:gridCol w:w="1100"/>
        <w:gridCol w:w="1000"/>
        <w:gridCol w:w="3360"/>
      </w:tblGrid>
      <w:tr w:rsidR="00784387" w14:paraId="0DD370BE" w14:textId="77777777">
        <w:trPr>
          <w:tblHeader/>
        </w:trPr>
        <w:tc>
          <w:tcPr>
            <w:tcW w:w="11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352AFB18" w14:textId="77777777" w:rsidR="00784387" w:rsidRDefault="00000000">
            <w:pPr>
              <w:spacing w:line="260" w:lineRule="auto"/>
            </w:pPr>
            <w:r>
              <w:rPr>
                <w:b/>
                <w:bCs/>
                <w:sz w:val="20"/>
                <w:szCs w:val="20"/>
              </w:rPr>
              <w:t>Group</w:t>
            </w:r>
          </w:p>
        </w:tc>
        <w:tc>
          <w:tcPr>
            <w:tcW w:w="28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4CEFA9B9" w14:textId="77777777" w:rsidR="00784387" w:rsidRDefault="00000000">
            <w:pPr>
              <w:spacing w:line="260" w:lineRule="auto"/>
            </w:pPr>
            <w:r>
              <w:rPr>
                <w:b/>
                <w:bCs/>
                <w:sz w:val="20"/>
                <w:szCs w:val="20"/>
              </w:rPr>
              <w:t>Treatment</w:t>
            </w:r>
          </w:p>
        </w:tc>
        <w:tc>
          <w:tcPr>
            <w:tcW w:w="11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214F0E87" w14:textId="77777777" w:rsidR="00784387" w:rsidRDefault="00000000">
            <w:pPr>
              <w:spacing w:line="260" w:lineRule="auto"/>
            </w:pPr>
            <w:r>
              <w:rPr>
                <w:b/>
                <w:bCs/>
                <w:sz w:val="20"/>
                <w:szCs w:val="20"/>
              </w:rPr>
              <w:t>n (target)</w:t>
            </w:r>
          </w:p>
        </w:tc>
        <w:tc>
          <w:tcPr>
            <w:tcW w:w="1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70ED0F3B" w14:textId="77777777" w:rsidR="00784387" w:rsidRDefault="00000000">
            <w:pPr>
              <w:spacing w:line="260" w:lineRule="auto"/>
            </w:pPr>
            <w:r>
              <w:rPr>
                <w:b/>
                <w:bCs/>
                <w:sz w:val="20"/>
                <w:szCs w:val="20"/>
              </w:rPr>
              <w:t>Share</w:t>
            </w:r>
          </w:p>
        </w:tc>
        <w:tc>
          <w:tcPr>
            <w:tcW w:w="33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516E417E" w14:textId="77777777" w:rsidR="00784387" w:rsidRDefault="00000000">
            <w:pPr>
              <w:spacing w:line="260" w:lineRule="auto"/>
            </w:pPr>
            <w:r>
              <w:rPr>
                <w:b/>
                <w:bCs/>
                <w:sz w:val="20"/>
                <w:szCs w:val="20"/>
              </w:rPr>
              <w:t>Power for benchmark effect</w:t>
            </w:r>
          </w:p>
        </w:tc>
      </w:tr>
      <w:tr w:rsidR="00784387" w14:paraId="3320F150" w14:textId="77777777">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398E711" w14:textId="77777777" w:rsidR="00784387" w:rsidRDefault="00000000">
            <w:pPr>
              <w:spacing w:line="260" w:lineRule="auto"/>
            </w:pPr>
            <w:r>
              <w:rPr>
                <w:sz w:val="20"/>
                <w:szCs w:val="20"/>
              </w:rPr>
              <w:t>Control</w:t>
            </w:r>
          </w:p>
        </w:tc>
        <w:tc>
          <w:tcPr>
            <w:tcW w:w="2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BE539F0" w14:textId="77777777" w:rsidR="00784387" w:rsidRDefault="00000000">
            <w:pPr>
              <w:spacing w:line="260" w:lineRule="auto"/>
            </w:pPr>
            <w:r>
              <w:rPr>
                <w:sz w:val="20"/>
                <w:szCs w:val="20"/>
              </w:rPr>
              <w:t>Neutral placebo</w:t>
            </w:r>
          </w:p>
        </w:tc>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3EC7FF5" w14:textId="77777777" w:rsidR="00784387" w:rsidRDefault="00000000">
            <w:pPr>
              <w:spacing w:line="260" w:lineRule="auto"/>
            </w:pPr>
            <w:r>
              <w:rPr>
                <w:sz w:val="20"/>
                <w:szCs w:val="20"/>
              </w:rPr>
              <w:t>1,000</w:t>
            </w:r>
          </w:p>
        </w:tc>
        <w:tc>
          <w:tcPr>
            <w:tcW w:w="1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2F5B6B0" w14:textId="77777777" w:rsidR="00784387" w:rsidRDefault="00000000">
            <w:pPr>
              <w:spacing w:line="260" w:lineRule="auto"/>
            </w:pPr>
            <w:r>
              <w:rPr>
                <w:sz w:val="20"/>
                <w:szCs w:val="20"/>
              </w:rPr>
              <w:t>20.0%</w:t>
            </w:r>
          </w:p>
        </w:tc>
        <w:tc>
          <w:tcPr>
            <w:tcW w:w="3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76E723B" w14:textId="77777777" w:rsidR="00784387" w:rsidRDefault="00000000">
            <w:pPr>
              <w:spacing w:line="260" w:lineRule="auto"/>
            </w:pPr>
            <w:r>
              <w:rPr>
                <w:sz w:val="20"/>
                <w:szCs w:val="20"/>
              </w:rPr>
              <w:t>(reference)</w:t>
            </w:r>
          </w:p>
        </w:tc>
      </w:tr>
      <w:tr w:rsidR="00784387" w14:paraId="46313B96" w14:textId="77777777">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1D66687" w14:textId="77777777" w:rsidR="00784387" w:rsidRDefault="00000000">
            <w:pPr>
              <w:spacing w:line="260" w:lineRule="auto"/>
            </w:pPr>
            <w:r>
              <w:rPr>
                <w:sz w:val="20"/>
                <w:szCs w:val="20"/>
              </w:rPr>
              <w:t>T1</w:t>
            </w:r>
          </w:p>
        </w:tc>
        <w:tc>
          <w:tcPr>
            <w:tcW w:w="2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9280210" w14:textId="77777777" w:rsidR="00784387" w:rsidRDefault="00000000">
            <w:pPr>
              <w:spacing w:line="260" w:lineRule="auto"/>
            </w:pPr>
            <w:r>
              <w:rPr>
                <w:sz w:val="20"/>
                <w:szCs w:val="20"/>
              </w:rPr>
              <w:t>Labour returns</w:t>
            </w:r>
          </w:p>
        </w:tc>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EE4026B" w14:textId="77777777" w:rsidR="00784387" w:rsidRDefault="00000000">
            <w:pPr>
              <w:spacing w:line="260" w:lineRule="auto"/>
            </w:pPr>
            <w:r>
              <w:rPr>
                <w:sz w:val="20"/>
                <w:szCs w:val="20"/>
              </w:rPr>
              <w:t>1,250</w:t>
            </w:r>
          </w:p>
        </w:tc>
        <w:tc>
          <w:tcPr>
            <w:tcW w:w="1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C3D9E35" w14:textId="77777777" w:rsidR="00784387" w:rsidRDefault="00000000">
            <w:pPr>
              <w:spacing w:line="260" w:lineRule="auto"/>
            </w:pPr>
            <w:r>
              <w:rPr>
                <w:sz w:val="20"/>
                <w:szCs w:val="20"/>
              </w:rPr>
              <w:t>25.0%</w:t>
            </w:r>
          </w:p>
        </w:tc>
        <w:tc>
          <w:tcPr>
            <w:tcW w:w="3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2EB4133" w14:textId="77777777" w:rsidR="00784387" w:rsidRDefault="00000000">
            <w:pPr>
              <w:spacing w:line="260" w:lineRule="auto"/>
            </w:pPr>
            <w:r>
              <w:rPr>
                <w:sz w:val="20"/>
                <w:szCs w:val="20"/>
              </w:rPr>
              <w:t>0.95 (Y1, +7 pp, ANCOVA, Bonf)</w:t>
            </w:r>
          </w:p>
        </w:tc>
      </w:tr>
      <w:tr w:rsidR="00784387" w14:paraId="11F22537" w14:textId="77777777">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9C7BF48" w14:textId="77777777" w:rsidR="00784387" w:rsidRDefault="00000000">
            <w:pPr>
              <w:spacing w:line="260" w:lineRule="auto"/>
            </w:pPr>
            <w:r>
              <w:rPr>
                <w:sz w:val="20"/>
                <w:szCs w:val="20"/>
              </w:rPr>
              <w:t>T2</w:t>
            </w:r>
          </w:p>
        </w:tc>
        <w:tc>
          <w:tcPr>
            <w:tcW w:w="2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F022C89" w14:textId="77777777" w:rsidR="00784387" w:rsidRPr="0089609D" w:rsidRDefault="00000000">
            <w:pPr>
              <w:spacing w:line="260" w:lineRule="auto"/>
              <w:rPr>
                <w:lang w:val="en-GB"/>
              </w:rPr>
            </w:pPr>
            <w:r w:rsidRPr="0089609D">
              <w:rPr>
                <w:sz w:val="20"/>
                <w:szCs w:val="20"/>
                <w:lang w:val="en-GB"/>
              </w:rPr>
              <w:t>Financing and fiscal trade-off</w:t>
            </w:r>
          </w:p>
        </w:tc>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1735585" w14:textId="77777777" w:rsidR="00784387" w:rsidRDefault="00000000">
            <w:pPr>
              <w:spacing w:line="260" w:lineRule="auto"/>
            </w:pPr>
            <w:r>
              <w:rPr>
                <w:sz w:val="20"/>
                <w:szCs w:val="20"/>
              </w:rPr>
              <w:t>915</w:t>
            </w:r>
          </w:p>
        </w:tc>
        <w:tc>
          <w:tcPr>
            <w:tcW w:w="1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0A48950" w14:textId="77777777" w:rsidR="00784387" w:rsidRDefault="00000000">
            <w:pPr>
              <w:spacing w:line="260" w:lineRule="auto"/>
            </w:pPr>
            <w:r>
              <w:rPr>
                <w:sz w:val="20"/>
                <w:szCs w:val="20"/>
              </w:rPr>
              <w:t>18.3%</w:t>
            </w:r>
          </w:p>
        </w:tc>
        <w:tc>
          <w:tcPr>
            <w:tcW w:w="3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3348C2C" w14:textId="77777777" w:rsidR="00784387" w:rsidRDefault="00000000">
            <w:pPr>
              <w:spacing w:line="260" w:lineRule="auto"/>
            </w:pPr>
            <w:r>
              <w:rPr>
                <w:sz w:val="20"/>
                <w:szCs w:val="20"/>
              </w:rPr>
              <w:t>0.91 (Y2, −7 pp, ANCOVA, Bonf)</w:t>
            </w:r>
          </w:p>
        </w:tc>
      </w:tr>
      <w:tr w:rsidR="00784387" w14:paraId="3B4A846B" w14:textId="77777777">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18A6F6D" w14:textId="77777777" w:rsidR="00784387" w:rsidRDefault="00000000">
            <w:pPr>
              <w:spacing w:line="260" w:lineRule="auto"/>
            </w:pPr>
            <w:r>
              <w:rPr>
                <w:sz w:val="20"/>
                <w:szCs w:val="20"/>
              </w:rPr>
              <w:t>T3</w:t>
            </w:r>
          </w:p>
        </w:tc>
        <w:tc>
          <w:tcPr>
            <w:tcW w:w="2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6E154CF" w14:textId="77777777" w:rsidR="00784387" w:rsidRDefault="00000000">
            <w:pPr>
              <w:spacing w:line="260" w:lineRule="auto"/>
            </w:pPr>
            <w:r>
              <w:rPr>
                <w:sz w:val="20"/>
                <w:szCs w:val="20"/>
              </w:rPr>
              <w:t>University quality (exploratory)</w:t>
            </w:r>
          </w:p>
        </w:tc>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D7F431F" w14:textId="77777777" w:rsidR="00784387" w:rsidRDefault="00000000">
            <w:pPr>
              <w:spacing w:line="260" w:lineRule="auto"/>
            </w:pPr>
            <w:r>
              <w:rPr>
                <w:sz w:val="20"/>
                <w:szCs w:val="20"/>
              </w:rPr>
              <w:t>915</w:t>
            </w:r>
          </w:p>
        </w:tc>
        <w:tc>
          <w:tcPr>
            <w:tcW w:w="1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63EBF65" w14:textId="77777777" w:rsidR="00784387" w:rsidRDefault="00000000">
            <w:pPr>
              <w:spacing w:line="260" w:lineRule="auto"/>
            </w:pPr>
            <w:r>
              <w:rPr>
                <w:sz w:val="20"/>
                <w:szCs w:val="20"/>
              </w:rPr>
              <w:t>18.3%</w:t>
            </w:r>
          </w:p>
        </w:tc>
        <w:tc>
          <w:tcPr>
            <w:tcW w:w="3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0417C4E" w14:textId="77777777" w:rsidR="00784387" w:rsidRDefault="00000000">
            <w:pPr>
              <w:spacing w:line="260" w:lineRule="auto"/>
            </w:pPr>
            <w:r>
              <w:rPr>
                <w:sz w:val="20"/>
                <w:szCs w:val="20"/>
              </w:rPr>
              <w:t>MDE ≈ 6 pp uncorrected</w:t>
            </w:r>
          </w:p>
        </w:tc>
      </w:tr>
      <w:tr w:rsidR="00784387" w14:paraId="7F4B5E1B" w14:textId="77777777">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4C6CCAC" w14:textId="77777777" w:rsidR="00784387" w:rsidRDefault="00000000">
            <w:pPr>
              <w:spacing w:line="260" w:lineRule="auto"/>
            </w:pPr>
            <w:r>
              <w:rPr>
                <w:sz w:val="20"/>
                <w:szCs w:val="20"/>
              </w:rPr>
              <w:t>T4</w:t>
            </w:r>
          </w:p>
        </w:tc>
        <w:tc>
          <w:tcPr>
            <w:tcW w:w="2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9A6A71E" w14:textId="77777777" w:rsidR="00784387" w:rsidRDefault="00000000">
            <w:pPr>
              <w:spacing w:line="260" w:lineRule="auto"/>
            </w:pPr>
            <w:r>
              <w:rPr>
                <w:sz w:val="20"/>
                <w:szCs w:val="20"/>
              </w:rPr>
              <w:t>Alternative financing (ICL)</w:t>
            </w:r>
          </w:p>
        </w:tc>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966126D" w14:textId="77777777" w:rsidR="00784387" w:rsidRDefault="00000000">
            <w:pPr>
              <w:spacing w:line="260" w:lineRule="auto"/>
            </w:pPr>
            <w:r>
              <w:rPr>
                <w:sz w:val="20"/>
                <w:szCs w:val="20"/>
              </w:rPr>
              <w:t>915</w:t>
            </w:r>
          </w:p>
        </w:tc>
        <w:tc>
          <w:tcPr>
            <w:tcW w:w="1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BDDA1FB" w14:textId="77777777" w:rsidR="00784387" w:rsidRDefault="00000000">
            <w:pPr>
              <w:spacing w:line="260" w:lineRule="auto"/>
            </w:pPr>
            <w:r>
              <w:rPr>
                <w:sz w:val="20"/>
                <w:szCs w:val="20"/>
              </w:rPr>
              <w:t>18.3%</w:t>
            </w:r>
          </w:p>
        </w:tc>
        <w:tc>
          <w:tcPr>
            <w:tcW w:w="3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09C17D8" w14:textId="77777777" w:rsidR="00784387" w:rsidRDefault="00000000">
            <w:pPr>
              <w:spacing w:line="260" w:lineRule="auto"/>
            </w:pPr>
            <w:r>
              <w:rPr>
                <w:sz w:val="20"/>
                <w:szCs w:val="20"/>
              </w:rPr>
              <w:t>&gt;0.99 (Y1, +15 pp, Bonf)</w:t>
            </w:r>
          </w:p>
        </w:tc>
      </w:tr>
      <w:tr w:rsidR="00784387" w14:paraId="1F243C20" w14:textId="77777777">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9662B32" w14:textId="77777777" w:rsidR="00784387" w:rsidRDefault="00000000">
            <w:pPr>
              <w:spacing w:line="260" w:lineRule="auto"/>
            </w:pPr>
            <w:r>
              <w:rPr>
                <w:sz w:val="20"/>
                <w:szCs w:val="20"/>
              </w:rPr>
              <w:t>Total</w:t>
            </w:r>
          </w:p>
        </w:tc>
        <w:tc>
          <w:tcPr>
            <w:tcW w:w="28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F93E612" w14:textId="77777777" w:rsidR="00784387" w:rsidRDefault="00784387">
            <w:pPr>
              <w:spacing w:line="260" w:lineRule="auto"/>
            </w:pPr>
          </w:p>
        </w:tc>
        <w:tc>
          <w:tcPr>
            <w:tcW w:w="11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7EE1043" w14:textId="77777777" w:rsidR="00784387" w:rsidRDefault="00000000">
            <w:pPr>
              <w:spacing w:line="260" w:lineRule="auto"/>
            </w:pPr>
            <w:r>
              <w:rPr>
                <w:sz w:val="20"/>
                <w:szCs w:val="20"/>
              </w:rPr>
              <w:t>≈ 4,995</w:t>
            </w:r>
          </w:p>
        </w:tc>
        <w:tc>
          <w:tcPr>
            <w:tcW w:w="1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2F2BE5E" w14:textId="77777777" w:rsidR="00784387" w:rsidRDefault="00000000">
            <w:pPr>
              <w:spacing w:line="260" w:lineRule="auto"/>
            </w:pPr>
            <w:r>
              <w:rPr>
                <w:sz w:val="20"/>
                <w:szCs w:val="20"/>
              </w:rPr>
              <w:t>100%</w:t>
            </w:r>
          </w:p>
        </w:tc>
        <w:tc>
          <w:tcPr>
            <w:tcW w:w="33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57E08CC" w14:textId="77777777" w:rsidR="00784387" w:rsidRDefault="00784387">
            <w:pPr>
              <w:spacing w:line="260" w:lineRule="auto"/>
            </w:pPr>
          </w:p>
        </w:tc>
      </w:tr>
    </w:tbl>
    <w:p w14:paraId="3810E6BE" w14:textId="77777777" w:rsidR="00784387" w:rsidRPr="00670A3C" w:rsidRDefault="00000000">
      <w:pPr>
        <w:pStyle w:val="Ttulo3"/>
        <w:rPr>
          <w:lang w:val="en-GB"/>
        </w:rPr>
      </w:pPr>
      <w:r w:rsidRPr="007541BA">
        <w:rPr>
          <w:lang w:val="en-GB"/>
        </w:rPr>
        <w:t>6.7 Indicative Power for the Pre-specified Heterogeneity Analyses (see §7.2)</w:t>
      </w:r>
    </w:p>
    <w:p w14:paraId="7B70CECD" w14:textId="0A5B29F5" w:rsidR="00784387" w:rsidRPr="0089609D" w:rsidRDefault="00000000">
      <w:pPr>
        <w:spacing w:after="120" w:line="280" w:lineRule="auto"/>
        <w:jc w:val="both"/>
        <w:rPr>
          <w:lang w:val="en-GB"/>
        </w:rPr>
      </w:pPr>
      <w:r w:rsidRPr="007541BA">
        <w:rPr>
          <w:lang w:val="en-GB"/>
        </w:rPr>
        <w:t xml:space="preserve">The heterogeneous treatment effects analysed in this study are pre-specified in §7.2, which lists the moderators (prior belief accuracy, confidence in priors, educational attainment, household income, gender, relation to the university, prior financing beliefs, prior quality beliefs) and the treatment arms for which each interaction is estimated. Power is lower than for the main effects of §6.3 because each test splits the sample into subgroups, and lower still for the interaction term, which estimates the difference between two subgroup-level effects with independent standard errors. The minimum detectable effect for a representative subgroup analysis depends on the subgroup share and on whether the test is conducted within a subgroup or as an interaction. Both are reported below for two representative cases drawn from §7.2 (gender for T1; income for T2) under the headline specification (ANCOVA at </w:t>
      </w:r>
      <w:r>
        <w:t>ρ</w:t>
      </w:r>
      <w:r w:rsidRPr="007541BA">
        <w:rPr>
          <w:lang w:val="en-GB"/>
        </w:rPr>
        <w:t xml:space="preserve"> = 0.6, two-sided, 80% power).</w:t>
      </w:r>
    </w:p>
    <w:p w14:paraId="31BA8F20" w14:textId="77777777" w:rsidR="00784387" w:rsidRPr="0089609D" w:rsidRDefault="00000000">
      <w:pPr>
        <w:spacing w:after="120" w:line="280" w:lineRule="auto"/>
        <w:jc w:val="both"/>
        <w:rPr>
          <w:lang w:val="en-GB"/>
        </w:rPr>
      </w:pPr>
      <w:r w:rsidRPr="007541BA">
        <w:rPr>
          <w:b/>
          <w:lang w:val="en-GB"/>
        </w:rPr>
        <w:t>Representative MDE values:</w:t>
      </w:r>
    </w:p>
    <w:p w14:paraId="5D1193D1" w14:textId="77777777" w:rsidR="00784387" w:rsidRPr="0089609D" w:rsidRDefault="00000000">
      <w:pPr>
        <w:spacing w:after="120" w:line="280" w:lineRule="auto"/>
        <w:jc w:val="both"/>
        <w:rPr>
          <w:lang w:val="en-GB"/>
        </w:rPr>
      </w:pPr>
      <w:r w:rsidRPr="007541BA">
        <w:rPr>
          <w:lang w:val="en-GB"/>
        </w:rPr>
        <w:t xml:space="preserve">• T1 effect within women (assuming a 50/50 gender split): MDE ≈ 7.9 pp at </w:t>
      </w:r>
      <w:r>
        <w:t>α</w:t>
      </w:r>
      <w:r w:rsidRPr="007541BA">
        <w:rPr>
          <w:lang w:val="en-GB"/>
        </w:rPr>
        <w:t xml:space="preserve"> = 0.0125 (Bonferroni), 6.6 pp at </w:t>
      </w:r>
      <w:r>
        <w:t>α</w:t>
      </w:r>
      <w:r w:rsidRPr="007541BA">
        <w:rPr>
          <w:lang w:val="en-GB"/>
        </w:rPr>
        <w:t xml:space="preserve"> = 0.05 (uncorrected).</w:t>
      </w:r>
    </w:p>
    <w:p w14:paraId="0660A6ED" w14:textId="77777777" w:rsidR="00784387" w:rsidRPr="0089609D" w:rsidRDefault="00000000">
      <w:pPr>
        <w:spacing w:after="120" w:line="280" w:lineRule="auto"/>
        <w:jc w:val="both"/>
        <w:rPr>
          <w:lang w:val="en-GB"/>
        </w:rPr>
      </w:pPr>
      <w:r w:rsidRPr="007541BA">
        <w:rPr>
          <w:lang w:val="en-GB"/>
        </w:rPr>
        <w:t xml:space="preserve">• T1 × gender interaction (testing whether the T1 effect differs between women and men): MDE ≈ 11.2 pp at </w:t>
      </w:r>
      <w:r>
        <w:t>α</w:t>
      </w:r>
      <w:r w:rsidRPr="007541BA">
        <w:rPr>
          <w:lang w:val="en-GB"/>
        </w:rPr>
        <w:t xml:space="preserve"> = 0.0125 (Bonferroni), 9.4 pp at </w:t>
      </w:r>
      <w:r>
        <w:t>α</w:t>
      </w:r>
      <w:r w:rsidRPr="007541BA">
        <w:rPr>
          <w:lang w:val="en-GB"/>
        </w:rPr>
        <w:t xml:space="preserve"> = 0.05 (uncorrected).</w:t>
      </w:r>
    </w:p>
    <w:p w14:paraId="44F07816" w14:textId="77777777" w:rsidR="00784387" w:rsidRPr="0089609D" w:rsidRDefault="00000000">
      <w:pPr>
        <w:spacing w:after="120" w:line="280" w:lineRule="auto"/>
        <w:jc w:val="both"/>
        <w:rPr>
          <w:lang w:val="en-GB"/>
        </w:rPr>
      </w:pPr>
      <w:r w:rsidRPr="007541BA">
        <w:rPr>
          <w:lang w:val="en-GB"/>
        </w:rPr>
        <w:t xml:space="preserve">• T2 effect within low-income respondents (assuming a 40% low-income share): MDE ≈ 9.7 pp at </w:t>
      </w:r>
      <w:r>
        <w:t>α</w:t>
      </w:r>
      <w:r w:rsidRPr="007541BA">
        <w:rPr>
          <w:lang w:val="en-GB"/>
        </w:rPr>
        <w:t xml:space="preserve"> = 0.0125 (Bonferroni), 8.1 pp at </w:t>
      </w:r>
      <w:r>
        <w:t>α</w:t>
      </w:r>
      <w:r w:rsidRPr="007541BA">
        <w:rPr>
          <w:lang w:val="en-GB"/>
        </w:rPr>
        <w:t xml:space="preserve"> = 0.05 (uncorrected).</w:t>
      </w:r>
    </w:p>
    <w:p w14:paraId="583BC15A" w14:textId="77777777" w:rsidR="00784387" w:rsidRPr="0089609D" w:rsidRDefault="00000000">
      <w:pPr>
        <w:spacing w:after="120" w:line="280" w:lineRule="auto"/>
        <w:jc w:val="both"/>
        <w:rPr>
          <w:lang w:val="en-GB"/>
        </w:rPr>
      </w:pPr>
      <w:r w:rsidRPr="007541BA">
        <w:rPr>
          <w:lang w:val="en-GB"/>
        </w:rPr>
        <w:t>The interaction MDE is approximately √2 times larger than the within-subgroup MDE, since the interaction is a difference of two subgroup-level effects with independent standard errors. The design is therefore powered to detect main effects of the magnitude observed in the prior literature, but heterogeneity tests are powered to detect only large subgroup differences (≥ 8 pp within subgroup, ≥ 10 pp on the interaction term). All heterogeneity analyses are pre-specified as exploratory and are reported with both point estimates and confidence intervals; the absence of a statistically significant interaction is not interpreted as evidence of homogeneity given the limited power.</w:t>
      </w:r>
    </w:p>
    <w:p w14:paraId="4C234C13" w14:textId="77777777" w:rsidR="00784387" w:rsidRPr="007541BA" w:rsidRDefault="00000000">
      <w:pPr>
        <w:pStyle w:val="Ttulo1"/>
        <w:rPr>
          <w:lang w:val="en-GB"/>
        </w:rPr>
      </w:pPr>
      <w:r w:rsidRPr="007541BA">
        <w:rPr>
          <w:lang w:val="en-GB"/>
        </w:rPr>
        <w:t>7. Empirical Strategy</w:t>
      </w:r>
    </w:p>
    <w:p w14:paraId="012A5471" w14:textId="77777777" w:rsidR="00784387" w:rsidRPr="007541BA" w:rsidRDefault="00000000">
      <w:pPr>
        <w:pStyle w:val="Ttulo2"/>
        <w:rPr>
          <w:lang w:val="en-GB"/>
        </w:rPr>
      </w:pPr>
      <w:r w:rsidRPr="007541BA">
        <w:rPr>
          <w:lang w:val="en-GB"/>
        </w:rPr>
        <w:t>7.1 Main Specification (ANCOVA)</w:t>
      </w:r>
    </w:p>
    <w:p w14:paraId="4FF616DE" w14:textId="77777777" w:rsidR="00784387" w:rsidRPr="0089609D" w:rsidRDefault="00000000">
      <w:pPr>
        <w:spacing w:after="120" w:line="280" w:lineRule="auto"/>
        <w:jc w:val="both"/>
        <w:rPr>
          <w:lang w:val="en-GB"/>
        </w:rPr>
      </w:pPr>
      <w:r w:rsidRPr="0089609D">
        <w:rPr>
          <w:lang w:val="en-GB"/>
        </w:rPr>
        <w:t>To test the null hypothesis that treatment arm t has no effect on a post-treatment primary outcome Y, we estimate by ordinary least squares:</w:t>
      </w:r>
    </w:p>
    <w:p w14:paraId="2ED815BF" w14:textId="77777777" w:rsidR="00784387" w:rsidRPr="0089609D" w:rsidRDefault="00000000">
      <w:pPr>
        <w:spacing w:after="120" w:line="280" w:lineRule="auto"/>
        <w:jc w:val="center"/>
        <w:rPr>
          <w:lang w:val="en-GB"/>
        </w:rPr>
      </w:pPr>
      <w:r w:rsidRPr="0089609D">
        <w:rPr>
          <w:i/>
          <w:iCs/>
          <w:lang w:val="en-GB"/>
        </w:rPr>
        <w:t xml:space="preserve">Y_{i,post} = </w:t>
      </w:r>
      <w:r>
        <w:rPr>
          <w:i/>
          <w:iCs/>
        </w:rPr>
        <w:t>α</w:t>
      </w:r>
      <w:r w:rsidRPr="0089609D">
        <w:rPr>
          <w:i/>
          <w:iCs/>
          <w:lang w:val="en-GB"/>
        </w:rPr>
        <w:t xml:space="preserve"> + </w:t>
      </w:r>
      <w:r>
        <w:rPr>
          <w:i/>
          <w:iCs/>
        </w:rPr>
        <w:t>β</w:t>
      </w:r>
      <w:r w:rsidRPr="0089609D">
        <w:rPr>
          <w:i/>
          <w:iCs/>
          <w:lang w:val="en-GB"/>
        </w:rPr>
        <w:t xml:space="preserve">_t · T_i + </w:t>
      </w:r>
      <w:r>
        <w:rPr>
          <w:i/>
          <w:iCs/>
        </w:rPr>
        <w:t>γ</w:t>
      </w:r>
      <w:r w:rsidRPr="0089609D">
        <w:rPr>
          <w:i/>
          <w:iCs/>
          <w:lang w:val="en-GB"/>
        </w:rPr>
        <w:t xml:space="preserve"> · Y_{i,pre} + X_i' </w:t>
      </w:r>
      <w:r>
        <w:rPr>
          <w:i/>
          <w:iCs/>
        </w:rPr>
        <w:t>δ</w:t>
      </w:r>
      <w:r w:rsidRPr="0089609D">
        <w:rPr>
          <w:i/>
          <w:iCs/>
          <w:lang w:val="en-GB"/>
        </w:rPr>
        <w:t xml:space="preserve"> + </w:t>
      </w:r>
      <w:r>
        <w:rPr>
          <w:i/>
          <w:iCs/>
        </w:rPr>
        <w:t>ε</w:t>
      </w:r>
      <w:r w:rsidRPr="0089609D">
        <w:rPr>
          <w:i/>
          <w:iCs/>
          <w:lang w:val="en-GB"/>
        </w:rPr>
        <w:t>_i,</w:t>
      </w:r>
    </w:p>
    <w:p w14:paraId="32C71030" w14:textId="77777777" w:rsidR="00784387" w:rsidRDefault="00000000">
      <w:pPr>
        <w:spacing w:after="120" w:line="280" w:lineRule="auto"/>
        <w:jc w:val="both"/>
      </w:pPr>
      <w:r>
        <w:t>where:</w:t>
      </w:r>
    </w:p>
    <w:p w14:paraId="19C4C613" w14:textId="77777777" w:rsidR="00784387" w:rsidRPr="0089609D" w:rsidRDefault="00000000">
      <w:pPr>
        <w:pStyle w:val="Prrafodelista"/>
        <w:numPr>
          <w:ilvl w:val="0"/>
          <w:numId w:val="2"/>
        </w:numPr>
        <w:spacing w:after="80" w:line="280" w:lineRule="auto"/>
        <w:rPr>
          <w:lang w:val="en-GB"/>
        </w:rPr>
      </w:pPr>
      <w:r w:rsidRPr="0089609D">
        <w:rPr>
          <w:lang w:val="en-GB"/>
        </w:rPr>
        <w:t>Y_{i,post} is the post-treatment primary outcome (Y1 or Y2). Both the binary and 5-point ordinal versions are used.</w:t>
      </w:r>
    </w:p>
    <w:p w14:paraId="2CEF8911" w14:textId="77777777" w:rsidR="00784387" w:rsidRPr="0089609D" w:rsidRDefault="00000000">
      <w:pPr>
        <w:pStyle w:val="Prrafodelista"/>
        <w:numPr>
          <w:ilvl w:val="0"/>
          <w:numId w:val="2"/>
        </w:numPr>
        <w:spacing w:after="80" w:line="280" w:lineRule="auto"/>
        <w:rPr>
          <w:lang w:val="en-GB"/>
        </w:rPr>
      </w:pPr>
      <w:r w:rsidRPr="0089609D">
        <w:rPr>
          <w:lang w:val="en-GB"/>
        </w:rPr>
        <w:t>T_i is a binary indicator equal to 1 if respondent i was assigned to treatment arm t, and 0 if assigned to control. We estimate one regression per treatment arm vs. control. We additionally estimate a pooled specification with indicators for all four treatment arms.</w:t>
      </w:r>
    </w:p>
    <w:p w14:paraId="7C6A138F" w14:textId="77777777" w:rsidR="00784387" w:rsidRPr="0089609D" w:rsidRDefault="00000000">
      <w:pPr>
        <w:pStyle w:val="Prrafodelista"/>
        <w:numPr>
          <w:ilvl w:val="0"/>
          <w:numId w:val="2"/>
        </w:numPr>
        <w:spacing w:after="80" w:line="280" w:lineRule="auto"/>
        <w:rPr>
          <w:lang w:val="en-GB"/>
        </w:rPr>
      </w:pPr>
      <w:r w:rsidRPr="0089609D">
        <w:rPr>
          <w:lang w:val="en-GB"/>
        </w:rPr>
        <w:t>Y_{i,pre} is the pre-treatment version of the same outcome, entering as the ANCOVA covariate for precision.</w:t>
      </w:r>
    </w:p>
    <w:p w14:paraId="0C7D529C" w14:textId="77777777" w:rsidR="00784387" w:rsidRPr="0089609D" w:rsidRDefault="00000000">
      <w:pPr>
        <w:pStyle w:val="Prrafodelista"/>
        <w:numPr>
          <w:ilvl w:val="0"/>
          <w:numId w:val="2"/>
        </w:numPr>
        <w:spacing w:after="80" w:line="280" w:lineRule="auto"/>
        <w:rPr>
          <w:lang w:val="en-GB"/>
        </w:rPr>
      </w:pPr>
      <w:r w:rsidRPr="0089609D">
        <w:rPr>
          <w:lang w:val="en-GB"/>
        </w:rPr>
        <w:t>X_i is a vector of pre-specified baseline covariates: gender, age (in years), education attainment harmonised into four groups, monthly household income bracket, employment status, Comunidad Autónoma, university relation, self-rated knowledge, news frequency, and prior belief categories.</w:t>
      </w:r>
    </w:p>
    <w:p w14:paraId="3ED6CF50" w14:textId="77777777" w:rsidR="00784387" w:rsidRPr="0089609D" w:rsidRDefault="00000000">
      <w:pPr>
        <w:pStyle w:val="Prrafodelista"/>
        <w:numPr>
          <w:ilvl w:val="0"/>
          <w:numId w:val="2"/>
        </w:numPr>
        <w:spacing w:after="80" w:line="280" w:lineRule="auto"/>
        <w:rPr>
          <w:lang w:val="en-GB"/>
        </w:rPr>
      </w:pPr>
      <w:r>
        <w:t>ε</w:t>
      </w:r>
      <w:r w:rsidRPr="0089609D">
        <w:rPr>
          <w:lang w:val="en-GB"/>
        </w:rPr>
        <w:t>_i is the error term; standard errors are heteroskedasticity robust (HC2). Because randomisation is at the individual level with no clustering, no clustered standard errors are used.</w:t>
      </w:r>
    </w:p>
    <w:p w14:paraId="51DC0315" w14:textId="77777777" w:rsidR="00784387" w:rsidRPr="00670A3C" w:rsidRDefault="00000000">
      <w:pPr>
        <w:spacing w:after="120" w:line="280" w:lineRule="auto"/>
        <w:jc w:val="both"/>
        <w:rPr>
          <w:lang w:val="en-GB"/>
        </w:rPr>
      </w:pPr>
      <w:r w:rsidRPr="00670A3C">
        <w:rPr>
          <w:lang w:val="en-GB"/>
        </w:rPr>
        <w:t xml:space="preserve">The coefficient of interest is </w:t>
      </w:r>
      <w:r>
        <w:t>β</w:t>
      </w:r>
      <w:r w:rsidRPr="00670A3C">
        <w:rPr>
          <w:lang w:val="en-GB"/>
        </w:rPr>
        <w:t>_t, the average treatment effect (ATE). OLS is the baseline estimator. As a robustness check we report ordered probit estimates for the 5-point scale outcomes. For T3, the same specification is applied with the binarised accountability item and the priority destination item (multinomial with pre-specified binary contrasts) replacing Y1 and Y2 as the dependent variables. The pre-treatment quality belief items enter X_i in this case, since no pre-treatment counterpart of the accountability item is available.</w:t>
      </w:r>
    </w:p>
    <w:p w14:paraId="006F205D" w14:textId="77777777" w:rsidR="00784387" w:rsidRPr="0089609D" w:rsidRDefault="00000000">
      <w:pPr>
        <w:pStyle w:val="Ttulo2"/>
        <w:rPr>
          <w:lang w:val="en-GB"/>
        </w:rPr>
      </w:pPr>
      <w:r w:rsidRPr="0089609D">
        <w:rPr>
          <w:lang w:val="en-GB"/>
        </w:rPr>
        <w:t>7.2 Heterogeneous Treatment Effects</w:t>
      </w:r>
    </w:p>
    <w:p w14:paraId="42393A32" w14:textId="77777777" w:rsidR="00784387" w:rsidRPr="0089609D" w:rsidRDefault="00000000">
      <w:pPr>
        <w:spacing w:after="120" w:line="280" w:lineRule="auto"/>
        <w:jc w:val="both"/>
        <w:rPr>
          <w:lang w:val="en-GB"/>
        </w:rPr>
      </w:pPr>
      <w:r w:rsidRPr="0089609D">
        <w:rPr>
          <w:lang w:val="en-GB"/>
        </w:rPr>
        <w:t>We pre-specify the following heterogeneity analyses, estimated by augmenting the benchmark model with an interaction term T_i × Z_i (and the main effect of Z_i):</w:t>
      </w:r>
    </w:p>
    <w:p w14:paraId="287A62AA" w14:textId="77777777" w:rsidR="00784387" w:rsidRPr="0089609D" w:rsidRDefault="00000000">
      <w:pPr>
        <w:pStyle w:val="Prrafodelista"/>
        <w:numPr>
          <w:ilvl w:val="0"/>
          <w:numId w:val="2"/>
        </w:numPr>
        <w:spacing w:after="80" w:line="280" w:lineRule="auto"/>
        <w:rPr>
          <w:lang w:val="en-GB"/>
        </w:rPr>
      </w:pPr>
      <w:r w:rsidRPr="0089609D">
        <w:rPr>
          <w:lang w:val="en-GB"/>
        </w:rPr>
        <w:t>Prior belief accuracy on earnings (binary indicator from the categorical earnings gap item) interacted with T1: expected larger effect among those who underestimated the earnings premium (the misinformed-low subgroup).</w:t>
      </w:r>
    </w:p>
    <w:p w14:paraId="7A27D22B" w14:textId="77777777" w:rsidR="00784387" w:rsidRPr="0089609D" w:rsidRDefault="00000000">
      <w:pPr>
        <w:pStyle w:val="Prrafodelista"/>
        <w:numPr>
          <w:ilvl w:val="0"/>
          <w:numId w:val="2"/>
        </w:numPr>
        <w:spacing w:after="80" w:line="280" w:lineRule="auto"/>
        <w:rPr>
          <w:lang w:val="en-GB"/>
        </w:rPr>
      </w:pPr>
      <w:r w:rsidRPr="0089609D">
        <w:rPr>
          <w:lang w:val="en-GB"/>
        </w:rPr>
        <w:t>Confidence in prior beliefs interacted with T1: expected larger effect among incorrect believers with high confidence (misinformed, per Haaland et al. 2023). The pre-specified subgroup is incorrect belief and high confidence.</w:t>
      </w:r>
    </w:p>
    <w:p w14:paraId="64B6C796" w14:textId="77777777" w:rsidR="00784387" w:rsidRPr="0089609D" w:rsidRDefault="00000000">
      <w:pPr>
        <w:pStyle w:val="Prrafodelista"/>
        <w:numPr>
          <w:ilvl w:val="0"/>
          <w:numId w:val="2"/>
        </w:numPr>
        <w:spacing w:after="80" w:line="280" w:lineRule="auto"/>
        <w:rPr>
          <w:lang w:val="en-GB"/>
        </w:rPr>
      </w:pPr>
      <w:r w:rsidRPr="0089609D">
        <w:rPr>
          <w:lang w:val="en-GB"/>
        </w:rPr>
        <w:t>Educational attainment (university vs. non-university) interacted with all arms.</w:t>
      </w:r>
    </w:p>
    <w:p w14:paraId="5313AB05" w14:textId="77777777" w:rsidR="00784387" w:rsidRPr="0089609D" w:rsidRDefault="00000000">
      <w:pPr>
        <w:pStyle w:val="Prrafodelista"/>
        <w:numPr>
          <w:ilvl w:val="0"/>
          <w:numId w:val="2"/>
        </w:numPr>
        <w:spacing w:after="80" w:line="280" w:lineRule="auto"/>
        <w:rPr>
          <w:lang w:val="en-GB"/>
        </w:rPr>
      </w:pPr>
      <w:r w:rsidRPr="0089609D">
        <w:rPr>
          <w:lang w:val="en-GB"/>
        </w:rPr>
        <w:t>Household income (low vs. high using the median bracket as the cut-off) interacted with T2 and T4: expected differential sensitivity to fiscal costs and to ICL design.</w:t>
      </w:r>
    </w:p>
    <w:p w14:paraId="3494BD60" w14:textId="77777777" w:rsidR="00784387" w:rsidRPr="0089609D" w:rsidRDefault="00000000">
      <w:pPr>
        <w:pStyle w:val="Prrafodelista"/>
        <w:numPr>
          <w:ilvl w:val="0"/>
          <w:numId w:val="2"/>
        </w:numPr>
        <w:spacing w:after="80" w:line="280" w:lineRule="auto"/>
        <w:rPr>
          <w:lang w:val="en-GB"/>
        </w:rPr>
      </w:pPr>
      <w:r w:rsidRPr="0089609D">
        <w:rPr>
          <w:lang w:val="en-GB"/>
        </w:rPr>
        <w:t>Gender (woman vs. man, dropping the small categories) interacted with all arms.</w:t>
      </w:r>
    </w:p>
    <w:p w14:paraId="4931EE8E" w14:textId="77777777" w:rsidR="00784387" w:rsidRPr="0089609D" w:rsidRDefault="00000000">
      <w:pPr>
        <w:pStyle w:val="Prrafodelista"/>
        <w:numPr>
          <w:ilvl w:val="0"/>
          <w:numId w:val="2"/>
        </w:numPr>
        <w:spacing w:after="80" w:line="280" w:lineRule="auto"/>
        <w:rPr>
          <w:lang w:val="en-GB"/>
        </w:rPr>
      </w:pPr>
      <w:r w:rsidRPr="0089609D">
        <w:rPr>
          <w:lang w:val="en-GB"/>
        </w:rPr>
        <w:t>Relation with university (current student, parent of current student, no connection) interacted with T1: expected attenuation among those with direct university experience.</w:t>
      </w:r>
    </w:p>
    <w:p w14:paraId="1B999FE5" w14:textId="77777777" w:rsidR="00784387" w:rsidRPr="0089609D" w:rsidRDefault="00000000">
      <w:pPr>
        <w:pStyle w:val="Prrafodelista"/>
        <w:numPr>
          <w:ilvl w:val="0"/>
          <w:numId w:val="2"/>
        </w:numPr>
        <w:spacing w:after="80" w:line="280" w:lineRule="auto"/>
        <w:rPr>
          <w:lang w:val="en-GB"/>
        </w:rPr>
      </w:pPr>
      <w:r w:rsidRPr="0089609D">
        <w:rPr>
          <w:lang w:val="en-GB"/>
        </w:rPr>
        <w:t>Prior financing belief (perceived public funding share and per-student spending) interacted with T2: expected larger T2 effect among those who underestimated the public funding share or the per-student spending.</w:t>
      </w:r>
    </w:p>
    <w:p w14:paraId="6F97D3A7" w14:textId="77777777" w:rsidR="00784387" w:rsidRPr="0089609D" w:rsidRDefault="00000000">
      <w:pPr>
        <w:pStyle w:val="Prrafodelista"/>
        <w:numPr>
          <w:ilvl w:val="0"/>
          <w:numId w:val="2"/>
        </w:numPr>
        <w:spacing w:after="80" w:line="280" w:lineRule="auto"/>
        <w:rPr>
          <w:lang w:val="en-GB"/>
        </w:rPr>
      </w:pPr>
      <w:r w:rsidRPr="0089609D">
        <w:rPr>
          <w:lang w:val="en-GB"/>
        </w:rPr>
        <w:t>Prior quality belief (Shanghai Ranking belief and quality gap belief) interacted with T3: expected larger effect among those who initially overestimated the homogeneity of the system.</w:t>
      </w:r>
    </w:p>
    <w:p w14:paraId="2E9FA81A" w14:textId="77777777" w:rsidR="00784387" w:rsidRPr="0089609D" w:rsidRDefault="00000000">
      <w:pPr>
        <w:spacing w:after="120" w:line="280" w:lineRule="auto"/>
        <w:jc w:val="both"/>
        <w:rPr>
          <w:lang w:val="en-GB"/>
        </w:rPr>
      </w:pPr>
      <w:r w:rsidRPr="0089609D">
        <w:rPr>
          <w:lang w:val="en-GB"/>
        </w:rPr>
        <w:t>These analyses are confirmatory within the pre-specified moderators listed above. All additional subgroup analyses are exploratory and will be clearly labelled as such. Subgroup analyses by political ideology and parental education are infeasible because these variables are not measured in the final instrument.</w:t>
      </w:r>
    </w:p>
    <w:p w14:paraId="3E00BFCB" w14:textId="77777777" w:rsidR="00784387" w:rsidRPr="0089609D" w:rsidRDefault="00000000">
      <w:pPr>
        <w:pStyle w:val="Ttulo2"/>
        <w:rPr>
          <w:lang w:val="en-GB"/>
        </w:rPr>
      </w:pPr>
      <w:r w:rsidRPr="0089609D">
        <w:rPr>
          <w:lang w:val="en-GB"/>
        </w:rPr>
        <w:t>7.3 Belief Updating Analysis (T1)</w:t>
      </w:r>
    </w:p>
    <w:p w14:paraId="3DCA9A20" w14:textId="77777777" w:rsidR="00784387" w:rsidRPr="0089609D" w:rsidRDefault="00000000">
      <w:pPr>
        <w:spacing w:after="120" w:line="280" w:lineRule="auto"/>
        <w:jc w:val="both"/>
        <w:rPr>
          <w:lang w:val="en-GB"/>
        </w:rPr>
      </w:pPr>
      <w:r w:rsidRPr="0089609D">
        <w:rPr>
          <w:lang w:val="en-GB"/>
        </w:rPr>
        <w:t>For T1 and Control only, belief updating is measured as the difference between the post-treatment numerical earnings estimate and the numerical level implied by the categorical pre-treatment response (using FP = €1,800 per month as the reference and the centre of each pre-treatment category as the implied level for the university graduate). The share of respondents in T1 vs. Control whose post-treatment estimate falls within ±10% of the T1 figure (€2,400 per month) is computed as a simpler correct-belief indicator.</w:t>
      </w:r>
    </w:p>
    <w:p w14:paraId="20878D20" w14:textId="77777777" w:rsidR="00784387" w:rsidRPr="007541BA" w:rsidRDefault="00000000">
      <w:pPr>
        <w:pStyle w:val="Ttulo2"/>
        <w:rPr>
          <w:lang w:val="en-GB"/>
        </w:rPr>
      </w:pPr>
      <w:r w:rsidRPr="007541BA">
        <w:rPr>
          <w:lang w:val="en-GB"/>
        </w:rPr>
        <w:t>7.4 Multiple Hypothesis Testing</w:t>
      </w:r>
    </w:p>
    <w:p w14:paraId="0B3DD3C1" w14:textId="77777777" w:rsidR="00784387" w:rsidRPr="0089609D" w:rsidRDefault="00000000">
      <w:pPr>
        <w:spacing w:after="120" w:line="280" w:lineRule="auto"/>
        <w:jc w:val="both"/>
        <w:rPr>
          <w:lang w:val="en-GB"/>
        </w:rPr>
      </w:pPr>
      <w:r w:rsidRPr="00670A3C">
        <w:rPr>
          <w:lang w:val="en-GB"/>
        </w:rPr>
        <w:t xml:space="preserve">We apply Bonferroni correction dividing </w:t>
      </w:r>
      <w:r>
        <w:t>α</w:t>
      </w:r>
      <w:r w:rsidRPr="00670A3C">
        <w:rPr>
          <w:lang w:val="en-GB"/>
        </w:rPr>
        <w:t xml:space="preserve"> = 0.05 by the number of pre-specified treatment-vs-control comparisons on the two primary outcomes. The primary correction set is: T1 on Y1, T2 on Y2, T4 on Y1, T3 on the accountability item. This yields four pre-specified confirmatory tests and an adjusted threshold of </w:t>
      </w:r>
      <w:r>
        <w:t>α</w:t>
      </w:r>
      <w:r w:rsidRPr="00670A3C">
        <w:rPr>
          <w:lang w:val="en-GB"/>
        </w:rPr>
        <w:t xml:space="preserve">_adj = 0.0125. </w:t>
      </w:r>
      <w:r w:rsidRPr="0089609D">
        <w:rPr>
          <w:lang w:val="en-GB"/>
        </w:rPr>
        <w:t>We report both uncorrected and Bonferroni-corrected p-values for all primary outcomes. As a complement, we also report Romano and Wolf (2005) step-down adjusted p-values for the same family of tests, since Bonferroni is conservative under correlated test statistics. For secondary outcomes and heterogeneity analyses, we report uncorrected p-values, with a note that results should be interpreted with caution given multiple comparisons.</w:t>
      </w:r>
    </w:p>
    <w:p w14:paraId="5DF13F65" w14:textId="77777777" w:rsidR="00784387" w:rsidRDefault="00000000">
      <w:pPr>
        <w:pStyle w:val="Ttulo2"/>
      </w:pPr>
      <w:r>
        <w:t>7.5 Pre-Specified Robustness Checks</w:t>
      </w:r>
    </w:p>
    <w:p w14:paraId="0B19ECF2" w14:textId="77777777" w:rsidR="00784387" w:rsidRPr="0089609D" w:rsidRDefault="00000000">
      <w:pPr>
        <w:pStyle w:val="Prrafodelista"/>
        <w:numPr>
          <w:ilvl w:val="0"/>
          <w:numId w:val="2"/>
        </w:numPr>
        <w:spacing w:after="80" w:line="280" w:lineRule="auto"/>
        <w:rPr>
          <w:lang w:val="en-GB"/>
        </w:rPr>
      </w:pPr>
      <w:r w:rsidRPr="0089609D">
        <w:rPr>
          <w:lang w:val="en-GB"/>
        </w:rPr>
        <w:t>Without pre-treatment covariate Y_{i,pre} and without baseline controls X_i (raw difference of means).</w:t>
      </w:r>
    </w:p>
    <w:p w14:paraId="7CA3BEED" w14:textId="77777777" w:rsidR="00784387" w:rsidRPr="0089609D" w:rsidRDefault="00000000">
      <w:pPr>
        <w:pStyle w:val="Prrafodelista"/>
        <w:numPr>
          <w:ilvl w:val="0"/>
          <w:numId w:val="2"/>
        </w:numPr>
        <w:spacing w:after="80" w:line="280" w:lineRule="auto"/>
        <w:rPr>
          <w:lang w:val="en-GB"/>
        </w:rPr>
      </w:pPr>
      <w:r w:rsidRPr="0089609D">
        <w:rPr>
          <w:lang w:val="en-GB"/>
        </w:rPr>
        <w:t>Ordered probit instead of OLS for the 5-point scale outcomes (Y1, Y2).</w:t>
      </w:r>
    </w:p>
    <w:p w14:paraId="30E08116" w14:textId="77777777" w:rsidR="00784387" w:rsidRPr="0089609D" w:rsidRDefault="00000000">
      <w:pPr>
        <w:pStyle w:val="Prrafodelista"/>
        <w:numPr>
          <w:ilvl w:val="0"/>
          <w:numId w:val="2"/>
        </w:numPr>
        <w:spacing w:after="80" w:line="280" w:lineRule="auto"/>
        <w:rPr>
          <w:lang w:val="en-GB"/>
        </w:rPr>
      </w:pPr>
      <w:r w:rsidRPr="0089609D">
        <w:rPr>
          <w:lang w:val="en-GB"/>
        </w:rPr>
        <w:t>Restricting to respondents with correct manipulation check answer (MC_correct = 1) within T1 to T4, plus the full Control.</w:t>
      </w:r>
    </w:p>
    <w:p w14:paraId="6A07D7C3" w14:textId="77777777" w:rsidR="00784387" w:rsidRPr="0089609D" w:rsidRDefault="00000000">
      <w:pPr>
        <w:pStyle w:val="Prrafodelista"/>
        <w:numPr>
          <w:ilvl w:val="0"/>
          <w:numId w:val="2"/>
        </w:numPr>
        <w:spacing w:after="80" w:line="280" w:lineRule="auto"/>
        <w:rPr>
          <w:lang w:val="en-GB"/>
        </w:rPr>
      </w:pPr>
      <w:r>
        <w:t>Including respondents who failed the attention check (AC_PASS = 0), to assess robustness of the primary results to inattentive respondents. This robustness specification is run conditional on the survey platform recording responses past the attention check item.</w:t>
      </w:r>
    </w:p>
    <w:p w14:paraId="2FC4ED8E" w14:textId="77777777" w:rsidR="00784387" w:rsidRPr="0089609D" w:rsidRDefault="00000000">
      <w:pPr>
        <w:pStyle w:val="Prrafodelista"/>
        <w:numPr>
          <w:ilvl w:val="0"/>
          <w:numId w:val="2"/>
        </w:numPr>
        <w:spacing w:after="80" w:line="280" w:lineRule="auto"/>
        <w:rPr>
          <w:lang w:val="en-GB"/>
        </w:rPr>
      </w:pPr>
      <w:r w:rsidRPr="0089609D">
        <w:rPr>
          <w:lang w:val="en-GB"/>
        </w:rPr>
        <w:t>Excluding the fastest 5% of responders by self-reported time or by the platform-recorded duration.</w:t>
      </w:r>
    </w:p>
    <w:p w14:paraId="30DA1BC8" w14:textId="77777777" w:rsidR="00784387" w:rsidRPr="0089609D" w:rsidRDefault="00000000">
      <w:pPr>
        <w:pStyle w:val="Prrafodelista"/>
        <w:numPr>
          <w:ilvl w:val="0"/>
          <w:numId w:val="2"/>
        </w:numPr>
        <w:spacing w:after="80" w:line="280" w:lineRule="auto"/>
        <w:rPr>
          <w:lang w:val="en-GB"/>
        </w:rPr>
      </w:pPr>
      <w:r w:rsidRPr="0089609D">
        <w:rPr>
          <w:lang w:val="en-GB"/>
        </w:rPr>
        <w:t>Excluding respondents who report perceiving the survey as an attempt to influence their opinion (highest category of the demand effects perception item).</w:t>
      </w:r>
    </w:p>
    <w:p w14:paraId="3A688E2A" w14:textId="77777777" w:rsidR="00784387" w:rsidRPr="0089609D" w:rsidRDefault="00000000">
      <w:pPr>
        <w:pStyle w:val="Prrafodelista"/>
        <w:numPr>
          <w:ilvl w:val="0"/>
          <w:numId w:val="2"/>
        </w:numPr>
        <w:spacing w:after="80" w:line="280" w:lineRule="auto"/>
        <w:rPr>
          <w:lang w:val="en-GB"/>
        </w:rPr>
      </w:pPr>
      <w:r w:rsidRPr="0089609D">
        <w:rPr>
          <w:lang w:val="en-GB"/>
        </w:rPr>
        <w:t>Within-individual change score (Y_post − Y_pre) as the dependent variable instead of ANCOVA.</w:t>
      </w:r>
    </w:p>
    <w:p w14:paraId="5822B82C" w14:textId="77777777" w:rsidR="00784387" w:rsidRPr="0089609D" w:rsidRDefault="00000000">
      <w:pPr>
        <w:pStyle w:val="Prrafodelista"/>
        <w:numPr>
          <w:ilvl w:val="0"/>
          <w:numId w:val="2"/>
        </w:numPr>
        <w:spacing w:after="80" w:line="280" w:lineRule="auto"/>
        <w:rPr>
          <w:lang w:val="en-GB"/>
        </w:rPr>
      </w:pPr>
      <w:r w:rsidRPr="0089609D">
        <w:rPr>
          <w:lang w:val="en-GB"/>
        </w:rPr>
        <w:t>Inverse-probability weighting using the panel weights, if provided by the panel supplier, to assess sensitivity of estimates to representativeness.</w:t>
      </w:r>
    </w:p>
    <w:p w14:paraId="470064CC" w14:textId="77777777" w:rsidR="00784387" w:rsidRPr="0089609D" w:rsidRDefault="00000000">
      <w:pPr>
        <w:pStyle w:val="Ttulo1"/>
        <w:rPr>
          <w:lang w:val="en-GB"/>
        </w:rPr>
      </w:pPr>
      <w:r w:rsidRPr="0089609D">
        <w:rPr>
          <w:lang w:val="en-GB"/>
        </w:rPr>
        <w:t>8. LLM-Based Triangulation</w:t>
      </w:r>
    </w:p>
    <w:p w14:paraId="7527C6C4" w14:textId="77777777" w:rsidR="00784387" w:rsidRPr="0089609D" w:rsidRDefault="00000000">
      <w:pPr>
        <w:spacing w:after="120" w:line="280" w:lineRule="auto"/>
        <w:jc w:val="both"/>
        <w:rPr>
          <w:lang w:val="en-GB"/>
        </w:rPr>
      </w:pPr>
      <w:r w:rsidRPr="0089609D">
        <w:rPr>
          <w:lang w:val="en-GB"/>
        </w:rPr>
        <w:t>As a structural validation of the empirical results, we pre-register a triangulation strategy that contrasts the empirical distributions and treatment effects with synthetic distributions generated by three large language models (LLMs). The approach builds on the methodological literature using LLMs as a complementary instrument for survey-based research (Argyle et al. 2023; Estevez, Ballestar and Sainz 2025). The synthetic data are not combined with the empirical sample for any inferential test. The empirical sample of approximately 5,000 respondents is the sole basis for confirmatory inference in this PAP. The triangulation is interpreted as a structural contrast of patterns, not as sample augmentation or as inference.</w:t>
      </w:r>
    </w:p>
    <w:p w14:paraId="1201332F" w14:textId="77777777" w:rsidR="00784387" w:rsidRPr="0089609D" w:rsidRDefault="00000000">
      <w:pPr>
        <w:pStyle w:val="Ttulo2"/>
        <w:rPr>
          <w:lang w:val="en-GB"/>
        </w:rPr>
      </w:pPr>
      <w:r w:rsidRPr="0089609D">
        <w:rPr>
          <w:lang w:val="en-GB"/>
        </w:rPr>
        <w:t>8.1 Generation Protocol</w:t>
      </w:r>
    </w:p>
    <w:p w14:paraId="53154DCB" w14:textId="77777777" w:rsidR="00784387" w:rsidRPr="0089609D" w:rsidRDefault="00000000">
      <w:pPr>
        <w:spacing w:after="120" w:line="280" w:lineRule="auto"/>
        <w:jc w:val="both"/>
        <w:rPr>
          <w:lang w:val="en-GB"/>
        </w:rPr>
      </w:pPr>
      <w:r w:rsidRPr="0089609D">
        <w:rPr>
          <w:lang w:val="en-GB"/>
        </w:rPr>
        <w:t>Three LLMs (Anthropic Claude, OpenAI ChatGPT, Google Gemini) are prompted to produce N = 5,000 simulated respondents each, conditioned on the demographic distribution of the Spanish adult population over 18 (age, gender, education, income bracket, region) and on the exact wording of the survey items. Each synthetic respondent is randomly assigned to one of the five conditions following the empirical allocation probabilities (Control 20%, T1 25%, T2, T3, T4 each 18.3%), receives the corresponding treatment text, and answers the same outcome questions as the human respondents. The full prompt template, the seed used for each model, and the model and version identifiers are documented and archived prior to data collection.</w:t>
      </w:r>
    </w:p>
    <w:p w14:paraId="735635AA" w14:textId="77777777" w:rsidR="00784387" w:rsidRPr="0089609D" w:rsidRDefault="00000000">
      <w:pPr>
        <w:pStyle w:val="Ttulo2"/>
        <w:rPr>
          <w:lang w:val="en-GB"/>
        </w:rPr>
      </w:pPr>
      <w:r w:rsidRPr="0089609D">
        <w:rPr>
          <w:lang w:val="en-GB"/>
        </w:rPr>
        <w:t>8.2 Convergence Criteria</w:t>
      </w:r>
    </w:p>
    <w:p w14:paraId="4D55C18E" w14:textId="77777777" w:rsidR="00784387" w:rsidRPr="0089609D" w:rsidRDefault="00000000">
      <w:pPr>
        <w:spacing w:after="120" w:line="280" w:lineRule="auto"/>
        <w:jc w:val="both"/>
        <w:rPr>
          <w:lang w:val="en-GB"/>
        </w:rPr>
      </w:pPr>
      <w:r w:rsidRPr="0089609D">
        <w:rPr>
          <w:lang w:val="en-GB"/>
        </w:rPr>
        <w:t>For each pre-specified outcome we compare the empirical estimate with the three synthetic estimates. The convergence categories follow the structure used in the methodological literature on triangulation with synthetic data: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15"/>
        <w:gridCol w:w="3992"/>
        <w:gridCol w:w="4053"/>
      </w:tblGrid>
      <w:tr w:rsidR="00784387" w14:paraId="75E703F2" w14:textId="77777777">
        <w:trPr>
          <w:tblHeader/>
        </w:trPr>
        <w:tc>
          <w:tcPr>
            <w:tcW w:w="13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DEF35BB" w14:textId="77777777" w:rsidR="00784387" w:rsidRDefault="00000000">
            <w:pPr>
              <w:spacing w:line="260" w:lineRule="auto"/>
            </w:pPr>
            <w:r>
              <w:rPr>
                <w:b/>
                <w:bCs/>
                <w:sz w:val="20"/>
                <w:szCs w:val="20"/>
              </w:rPr>
              <w:t>Convergence</w:t>
            </w:r>
          </w:p>
        </w:tc>
        <w:tc>
          <w:tcPr>
            <w:tcW w:w="4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0CED3C46" w14:textId="77777777" w:rsidR="00784387" w:rsidRDefault="00000000">
            <w:pPr>
              <w:spacing w:line="260" w:lineRule="auto"/>
            </w:pPr>
            <w:r>
              <w:rPr>
                <w:b/>
                <w:bCs/>
                <w:sz w:val="20"/>
                <w:szCs w:val="20"/>
              </w:rPr>
              <w:t>Criterion (single-response variables)</w:t>
            </w:r>
          </w:p>
        </w:tc>
        <w:tc>
          <w:tcPr>
            <w:tcW w:w="40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042E0E4B" w14:textId="77777777" w:rsidR="00784387" w:rsidRDefault="00000000">
            <w:pPr>
              <w:spacing w:line="260" w:lineRule="auto"/>
            </w:pPr>
            <w:r>
              <w:rPr>
                <w:b/>
                <w:bCs/>
                <w:sz w:val="20"/>
                <w:szCs w:val="20"/>
              </w:rPr>
              <w:t>Interpretation</w:t>
            </w:r>
          </w:p>
        </w:tc>
      </w:tr>
      <w:tr w:rsidR="00784387" w:rsidRPr="007541BA" w14:paraId="5A4C83F8" w14:textId="77777777">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A8F5DAA" w14:textId="77777777" w:rsidR="00784387" w:rsidRDefault="00000000">
            <w:pPr>
              <w:spacing w:line="260" w:lineRule="auto"/>
            </w:pPr>
            <w:r>
              <w:rPr>
                <w:sz w:val="20"/>
                <w:szCs w:val="20"/>
              </w:rPr>
              <w:t>High</w:t>
            </w:r>
          </w:p>
        </w:tc>
        <w:tc>
          <w:tcPr>
            <w:tcW w:w="4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9091B40" w14:textId="77777777" w:rsidR="00784387" w:rsidRPr="0089609D" w:rsidRDefault="00000000">
            <w:pPr>
              <w:spacing w:line="260" w:lineRule="auto"/>
              <w:rPr>
                <w:lang w:val="en-GB"/>
              </w:rPr>
            </w:pPr>
            <w:r w:rsidRPr="0089609D">
              <w:rPr>
                <w:sz w:val="20"/>
                <w:szCs w:val="20"/>
                <w:lang w:val="en-GB"/>
              </w:rPr>
              <w:t>All three LLMs reproduce the empirical effect direction and lie within ±5 pp of the empirical magnitude.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D672D95" w14:textId="77777777" w:rsidR="00784387" w:rsidRPr="0089609D" w:rsidRDefault="00000000">
            <w:pPr>
              <w:spacing w:line="260" w:lineRule="auto"/>
              <w:rPr>
                <w:lang w:val="en-GB"/>
              </w:rPr>
            </w:pPr>
            <w:r w:rsidRPr="0089609D">
              <w:rPr>
                <w:sz w:val="20"/>
                <w:szCs w:val="20"/>
                <w:lang w:val="en-GB"/>
              </w:rPr>
              <w:t>Pattern is robust across generative environments. Reported as a consolidated finding.</w:t>
            </w:r>
          </w:p>
        </w:tc>
      </w:tr>
      <w:tr w:rsidR="00784387" w:rsidRPr="007541BA" w14:paraId="34FAA068" w14:textId="77777777">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46FAEF0" w14:textId="77777777" w:rsidR="00784387" w:rsidRDefault="00000000">
            <w:pPr>
              <w:spacing w:line="260" w:lineRule="auto"/>
            </w:pPr>
            <w:r>
              <w:rPr>
                <w:sz w:val="20"/>
                <w:szCs w:val="20"/>
              </w:rPr>
              <w:t>Medium</w:t>
            </w:r>
          </w:p>
        </w:tc>
        <w:tc>
          <w:tcPr>
            <w:tcW w:w="4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B9711F8" w14:textId="77777777" w:rsidR="00784387" w:rsidRPr="0089609D" w:rsidRDefault="00000000">
            <w:pPr>
              <w:spacing w:line="260" w:lineRule="auto"/>
              <w:rPr>
                <w:lang w:val="en-GB"/>
              </w:rPr>
            </w:pPr>
            <w:r w:rsidRPr="0089609D">
              <w:rPr>
                <w:sz w:val="20"/>
                <w:szCs w:val="20"/>
                <w:lang w:val="en-GB"/>
              </w:rPr>
              <w:t>At least two of three LLMs match direction and lie within ±10 pp of the empirical magnitude.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D991655" w14:textId="77777777" w:rsidR="00784387" w:rsidRPr="0089609D" w:rsidRDefault="00000000">
            <w:pPr>
              <w:spacing w:line="260" w:lineRule="auto"/>
              <w:rPr>
                <w:lang w:val="en-GB"/>
              </w:rPr>
            </w:pPr>
            <w:r w:rsidRPr="0089609D">
              <w:rPr>
                <w:sz w:val="20"/>
                <w:szCs w:val="20"/>
                <w:lang w:val="en-GB"/>
              </w:rPr>
              <w:t>Pattern is broadly stable. Divergence in one model is reported and discussed.</w:t>
            </w:r>
          </w:p>
        </w:tc>
      </w:tr>
      <w:tr w:rsidR="00784387" w:rsidRPr="007541BA" w14:paraId="6FC0FE7A" w14:textId="77777777">
        <w:tc>
          <w:tcPr>
            <w:tcW w:w="1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DE89458" w14:textId="77777777" w:rsidR="00784387" w:rsidRDefault="00000000">
            <w:pPr>
              <w:spacing w:line="260" w:lineRule="auto"/>
            </w:pPr>
            <w:r>
              <w:rPr>
                <w:sz w:val="20"/>
                <w:szCs w:val="20"/>
              </w:rPr>
              <w:t>Low</w:t>
            </w:r>
          </w:p>
        </w:tc>
        <w:tc>
          <w:tcPr>
            <w:tcW w:w="4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E8FB04A" w14:textId="77777777" w:rsidR="00784387" w:rsidRPr="0089609D" w:rsidRDefault="00000000">
            <w:pPr>
              <w:spacing w:line="260" w:lineRule="auto"/>
              <w:rPr>
                <w:lang w:val="en-GB"/>
              </w:rPr>
            </w:pPr>
            <w:r w:rsidRPr="0089609D">
              <w:rPr>
                <w:sz w:val="20"/>
                <w:szCs w:val="20"/>
                <w:lang w:val="en-GB"/>
              </w:rPr>
              <w:t>Fewer than two LLMs match direction or magnitude.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96AC2D3" w14:textId="77777777" w:rsidR="00784387" w:rsidRPr="0089609D" w:rsidRDefault="00000000">
            <w:pPr>
              <w:spacing w:line="260" w:lineRule="auto"/>
              <w:rPr>
                <w:lang w:val="en-GB"/>
              </w:rPr>
            </w:pPr>
            <w:r w:rsidRPr="0089609D">
              <w:rPr>
                <w:sz w:val="20"/>
                <w:szCs w:val="20"/>
                <w:lang w:val="en-GB"/>
              </w:rPr>
              <w:t>Reported as a differential finding. Divergence is itself an analytically informative result, indicating either Spain-specific population characteristics not encoded in the LLM training corpus, or LLM-specific biases.</w:t>
            </w:r>
          </w:p>
        </w:tc>
      </w:tr>
    </w:tbl>
    <w:p w14:paraId="59EF88C0" w14:textId="77777777" w:rsidR="00784387" w:rsidRPr="0089609D" w:rsidRDefault="00000000">
      <w:pPr>
        <w:spacing w:after="120" w:line="280" w:lineRule="auto"/>
        <w:jc w:val="both"/>
        <w:rPr>
          <w:lang w:val="en-GB"/>
        </w:rPr>
      </w:pPr>
      <w:r w:rsidRPr="0089609D">
        <w:rPr>
          <w:lang w:val="en-GB"/>
        </w:rPr>
        <w:t>For ranking-type variables (such as the priority destination item under T3), high convergence requires that all three LLMs identify the same top-ranked option as the empirical sample; low convergence holds if zero or one LLM reproduces the empirical top-ranked option.</w:t>
      </w:r>
    </w:p>
    <w:p w14:paraId="555E2675" w14:textId="77777777" w:rsidR="00784387" w:rsidRPr="0089609D" w:rsidRDefault="00000000">
      <w:pPr>
        <w:pStyle w:val="Ttulo2"/>
        <w:rPr>
          <w:lang w:val="en-GB"/>
        </w:rPr>
      </w:pPr>
      <w:r w:rsidRPr="0089609D">
        <w:rPr>
          <w:lang w:val="en-GB"/>
        </w:rPr>
        <w:t>8.3 Pre-specified Comparisons</w:t>
      </w:r>
    </w:p>
    <w:p w14:paraId="17F6483F" w14:textId="77777777" w:rsidR="00784387" w:rsidRPr="0089609D" w:rsidRDefault="00000000">
      <w:pPr>
        <w:spacing w:after="120" w:line="280" w:lineRule="auto"/>
        <w:jc w:val="both"/>
        <w:rPr>
          <w:lang w:val="en-GB"/>
        </w:rPr>
      </w:pPr>
      <w:r w:rsidRPr="0089609D">
        <w:rPr>
          <w:lang w:val="en-GB"/>
        </w:rPr>
        <w:t>The triangulation is conducted on the four pre-registered confirmatory comparisons:</w:t>
      </w:r>
    </w:p>
    <w:p w14:paraId="5E3E6862" w14:textId="77777777" w:rsidR="00784387" w:rsidRPr="0089609D" w:rsidRDefault="00000000">
      <w:pPr>
        <w:pStyle w:val="Prrafodelista"/>
        <w:numPr>
          <w:ilvl w:val="0"/>
          <w:numId w:val="2"/>
        </w:numPr>
        <w:spacing w:after="80" w:line="280" w:lineRule="auto"/>
        <w:rPr>
          <w:lang w:val="en-GB"/>
        </w:rPr>
      </w:pPr>
      <w:r w:rsidRPr="0089609D">
        <w:rPr>
          <w:lang w:val="en-GB"/>
        </w:rPr>
        <w:t>Empirical vs. synthetic baseline distributions in the Control arm for Y1 and Y2.</w:t>
      </w:r>
    </w:p>
    <w:p w14:paraId="1B376D17" w14:textId="77777777" w:rsidR="00784387" w:rsidRPr="0089609D" w:rsidRDefault="00000000">
      <w:pPr>
        <w:pStyle w:val="Prrafodelista"/>
        <w:numPr>
          <w:ilvl w:val="0"/>
          <w:numId w:val="2"/>
        </w:numPr>
        <w:spacing w:after="80" w:line="280" w:lineRule="auto"/>
        <w:rPr>
          <w:lang w:val="en-GB"/>
        </w:rPr>
      </w:pPr>
      <w:r w:rsidRPr="0089609D">
        <w:rPr>
          <w:lang w:val="en-GB"/>
        </w:rPr>
        <w:t>Empirical vs. synthetic treatment effects of T1 on Y1.</w:t>
      </w:r>
    </w:p>
    <w:p w14:paraId="3860DE01" w14:textId="77777777" w:rsidR="00784387" w:rsidRPr="0089609D" w:rsidRDefault="00000000">
      <w:pPr>
        <w:pStyle w:val="Prrafodelista"/>
        <w:numPr>
          <w:ilvl w:val="0"/>
          <w:numId w:val="2"/>
        </w:numPr>
        <w:spacing w:after="80" w:line="280" w:lineRule="auto"/>
        <w:rPr>
          <w:lang w:val="en-GB"/>
        </w:rPr>
      </w:pPr>
      <w:r w:rsidRPr="0089609D">
        <w:rPr>
          <w:lang w:val="en-GB"/>
        </w:rPr>
        <w:t>Empirical vs. synthetic treatment effects of T2 on Y2.</w:t>
      </w:r>
    </w:p>
    <w:p w14:paraId="77318D40" w14:textId="77777777" w:rsidR="00784387" w:rsidRPr="0089609D" w:rsidRDefault="00000000">
      <w:pPr>
        <w:pStyle w:val="Prrafodelista"/>
        <w:numPr>
          <w:ilvl w:val="0"/>
          <w:numId w:val="2"/>
        </w:numPr>
        <w:spacing w:after="80" w:line="280" w:lineRule="auto"/>
        <w:rPr>
          <w:lang w:val="en-GB"/>
        </w:rPr>
      </w:pPr>
      <w:r w:rsidRPr="0089609D">
        <w:rPr>
          <w:lang w:val="en-GB"/>
        </w:rPr>
        <w:t>Empirical vs. synthetic treatment effects of T4 on Y1.</w:t>
      </w:r>
    </w:p>
    <w:p w14:paraId="4304B5A1" w14:textId="77777777" w:rsidR="00784387" w:rsidRPr="0089609D" w:rsidRDefault="00000000">
      <w:pPr>
        <w:pStyle w:val="Prrafodelista"/>
        <w:numPr>
          <w:ilvl w:val="0"/>
          <w:numId w:val="2"/>
        </w:numPr>
        <w:spacing w:after="80" w:line="280" w:lineRule="auto"/>
        <w:rPr>
          <w:lang w:val="en-GB"/>
        </w:rPr>
      </w:pPr>
      <w:r w:rsidRPr="0089609D">
        <w:rPr>
          <w:lang w:val="en-GB"/>
        </w:rPr>
        <w:t>Empirical vs. synthetic treatment effects of T3 on the accountability and priority items (exploratory).</w:t>
      </w:r>
    </w:p>
    <w:p w14:paraId="26B8B230" w14:textId="77777777" w:rsidR="00784387" w:rsidRPr="0089609D" w:rsidRDefault="00000000">
      <w:pPr>
        <w:pStyle w:val="Ttulo2"/>
        <w:rPr>
          <w:lang w:val="en-GB"/>
        </w:rPr>
      </w:pPr>
      <w:r w:rsidRPr="0089609D">
        <w:rPr>
          <w:lang w:val="en-GB"/>
        </w:rPr>
        <w:t>8.4 Reporting</w:t>
      </w:r>
    </w:p>
    <w:p w14:paraId="1698A6F8" w14:textId="77777777" w:rsidR="00784387" w:rsidRPr="0089609D" w:rsidRDefault="00000000">
      <w:pPr>
        <w:spacing w:after="120" w:line="280" w:lineRule="auto"/>
        <w:jc w:val="both"/>
        <w:rPr>
          <w:lang w:val="en-GB"/>
        </w:rPr>
      </w:pPr>
      <w:r w:rsidRPr="0089609D">
        <w:rPr>
          <w:lang w:val="en-GB"/>
        </w:rPr>
        <w:t>The triangulation results are reported in a dedicated section of the final report. The convergence category is stated for each variable along with the magnitudes of the empirical and synthetic estimates. The discussion separates structural convergence (which reinforces the empirical finding) from substantive divergence (which is interpreted in light of either population specificity or LLM training corpus limitations). The triangulation is explicitly presented as an interpretive tool, not as a statistical test, in line with current methodological standards for the use of synthetic data in social science research.</w:t>
      </w:r>
    </w:p>
    <w:p w14:paraId="794A2F2A" w14:textId="77777777" w:rsidR="00784387" w:rsidRPr="007541BA" w:rsidRDefault="00000000">
      <w:pPr>
        <w:pStyle w:val="Ttulo1"/>
        <w:rPr>
          <w:lang w:val="en-GB"/>
        </w:rPr>
      </w:pPr>
      <w:r w:rsidRPr="007541BA">
        <w:rPr>
          <w:lang w:val="en-GB"/>
        </w:rPr>
        <w:t>9. Ethical Considerations</w:t>
      </w:r>
    </w:p>
    <w:p w14:paraId="2E004B81" w14:textId="77777777" w:rsidR="00784387" w:rsidRPr="00670A3C" w:rsidRDefault="00000000">
      <w:pPr>
        <w:spacing w:after="120" w:line="280" w:lineRule="auto"/>
        <w:jc w:val="both"/>
        <w:rPr>
          <w:lang w:val="en-GB"/>
        </w:rPr>
      </w:pPr>
      <w:r w:rsidRPr="00670A3C">
        <w:rPr>
          <w:lang w:val="en-GB"/>
        </w:rPr>
        <w:t>This study presents no more than minimal risk to participants. All information provided in the treatment conditions is factually accurate and sourced from official statistics (INE, OECD, Ministerio de Universidades) and peer-reviewed literature. Participants are not deceived about the nature of the study. Participation is voluntary and respondents may withdraw at any time.</w:t>
      </w:r>
    </w:p>
    <w:p w14:paraId="5C5D6768" w14:textId="77777777" w:rsidR="00784387" w:rsidRPr="00670A3C" w:rsidRDefault="00000000">
      <w:pPr>
        <w:spacing w:after="120" w:line="280" w:lineRule="auto"/>
        <w:jc w:val="both"/>
        <w:rPr>
          <w:lang w:val="en-GB"/>
        </w:rPr>
      </w:pPr>
      <w:r>
        <w:t>Results will be made public and disseminated to media and to parliamentary groups represented in the Congreso de los Diputados. Informed consent is obtained electronically prior to the survey. All data are anonymised; no personally identifying information is retained beyond the postal code, used only to derive municipality, habitat size, province and Comunidad Autónoma. Data management complies with the EU GDPR (2016/679) and applicable Spanish data protection law. This study has been reviewed and approved by the Committee on Ethics in Research of Universidad Carlos III de Madrid (approval reference CEI-26-10-E-ONT-UC3M; signed by the President of the Committee, Prof. Luis Enrique García Muñoz, on 19 May 2026).</w:t>
      </w:r>
    </w:p>
    <w:p w14:paraId="0654EEEE" w14:textId="77777777" w:rsidR="00784387" w:rsidRPr="00670A3C" w:rsidRDefault="00000000">
      <w:pPr>
        <w:pStyle w:val="Ttulo1"/>
        <w:rPr>
          <w:lang w:val="en-GB"/>
        </w:rPr>
      </w:pPr>
      <w:r w:rsidRPr="00670A3C">
        <w:rPr>
          <w:lang w:val="en-GB"/>
        </w:rPr>
        <w:t>10. References</w:t>
      </w:r>
    </w:p>
    <w:p w14:paraId="2A342E3D" w14:textId="6322C3C6" w:rsidR="0089609D" w:rsidRPr="00670A3C" w:rsidRDefault="00000000" w:rsidP="0089609D">
      <w:pPr>
        <w:spacing w:after="120" w:line="280" w:lineRule="auto"/>
        <w:jc w:val="both"/>
        <w:rPr>
          <w:lang w:val="en-GB"/>
        </w:rPr>
      </w:pPr>
      <w:r w:rsidRPr="00670A3C">
        <w:rPr>
          <w:lang w:val="en-GB"/>
        </w:rPr>
        <w:t>Argyle, L. P., Busby, E. C., Fulda, N., Gubler, J. R., Rytting, C., and Wingate, D. (2023). Out of one, many: Using language models to simulate human samples. Political Analysis, 31(3), 337</w:t>
      </w:r>
      <w:r w:rsidR="0089609D">
        <w:rPr>
          <w:lang w:val="en-GB"/>
        </w:rPr>
        <w:t>-</w:t>
      </w:r>
      <w:r w:rsidRPr="00670A3C">
        <w:rPr>
          <w:lang w:val="en-GB"/>
        </w:rPr>
        <w:t>351.</w:t>
      </w:r>
      <w:r w:rsidR="0089609D" w:rsidRPr="007541BA">
        <w:rPr>
          <w:lang w:val="en-GB"/>
        </w:rPr>
        <w:t xml:space="preserve"> doi:10.1017/pan.2023.2 </w:t>
      </w:r>
    </w:p>
    <w:p w14:paraId="6806AF15" w14:textId="77777777" w:rsidR="00784387" w:rsidRPr="00670A3C" w:rsidRDefault="00000000">
      <w:pPr>
        <w:spacing w:after="120" w:line="280" w:lineRule="auto"/>
        <w:jc w:val="both"/>
        <w:rPr>
          <w:lang w:val="en-GB"/>
        </w:rPr>
      </w:pPr>
      <w:r w:rsidRPr="00670A3C">
        <w:rPr>
          <w:lang w:val="en-GB"/>
        </w:rPr>
        <w:t>Barr, N. (2012). The Economics of the Welfare State (5th ed.). Oxford University Press.</w:t>
      </w:r>
    </w:p>
    <w:p w14:paraId="63779FA7" w14:textId="332EE4F9" w:rsidR="00784387" w:rsidRDefault="00000000">
      <w:pPr>
        <w:spacing w:after="120" w:line="280" w:lineRule="auto"/>
        <w:jc w:val="both"/>
        <w:rPr>
          <w:lang w:val="en-GB"/>
        </w:rPr>
      </w:pPr>
      <w:r w:rsidRPr="00670A3C">
        <w:rPr>
          <w:lang w:val="en-GB"/>
        </w:rPr>
        <w:t>Baron, R. M., and Kenny, D. A. (1986). The moderator mediator variable distinction in social psychological research. Journal of Personality and Social Psychology, 51(6), 1173</w:t>
      </w:r>
      <w:r w:rsidR="0089609D">
        <w:rPr>
          <w:lang w:val="en-GB"/>
        </w:rPr>
        <w:t>-</w:t>
      </w:r>
      <w:r w:rsidRPr="00670A3C">
        <w:rPr>
          <w:lang w:val="en-GB"/>
        </w:rPr>
        <w:t>1182.</w:t>
      </w:r>
    </w:p>
    <w:p w14:paraId="145FCC8A" w14:textId="77777777" w:rsidR="00713821" w:rsidRDefault="00713821">
      <w:pPr>
        <w:spacing w:after="120" w:line="280" w:lineRule="auto"/>
        <w:jc w:val="both"/>
        <w:rPr>
          <w:lang w:val="en-GB"/>
        </w:rPr>
      </w:pPr>
      <w:r w:rsidRPr="00713821">
        <w:rPr>
          <w:lang w:val="en-GB"/>
        </w:rPr>
        <w:t xml:space="preserve">Busemeyer, M. R., Schönhage, N. L., and Schwerdt, G. (2025). Who supports tuition fees? How information provision and policy design shapes public preferences for higher education financing. </w:t>
      </w:r>
      <w:r w:rsidRPr="00713821">
        <w:rPr>
          <w:i/>
          <w:iCs/>
          <w:lang w:val="en-GB"/>
        </w:rPr>
        <w:t>Journal of European Social Policy</w:t>
      </w:r>
      <w:r w:rsidRPr="00713821">
        <w:rPr>
          <w:lang w:val="en-GB"/>
        </w:rPr>
        <w:t xml:space="preserve">, 36(1). </w:t>
      </w:r>
      <w:hyperlink r:id="rId5" w:history="1">
        <w:r w:rsidRPr="00713821">
          <w:rPr>
            <w:rStyle w:val="Hipervnculo"/>
            <w:lang w:val="en-GB"/>
          </w:rPr>
          <w:t>https://doi.org/10.1177/09589287251345917</w:t>
        </w:r>
      </w:hyperlink>
    </w:p>
    <w:p w14:paraId="2808E9AD" w14:textId="77777777" w:rsidR="00713821" w:rsidRDefault="00713821">
      <w:pPr>
        <w:spacing w:after="120" w:line="280" w:lineRule="auto"/>
        <w:jc w:val="both"/>
        <w:rPr>
          <w:lang w:val="en-GB"/>
        </w:rPr>
      </w:pPr>
      <w:r w:rsidRPr="00713821">
        <w:rPr>
          <w:lang w:val="en-GB"/>
        </w:rPr>
        <w:t xml:space="preserve">Estevez, M., Ballestar, M. T., and Sainz, J. (2025). Market research and knowledge using Generative AI: the power of Large Language Models. </w:t>
      </w:r>
      <w:r w:rsidRPr="00713821">
        <w:rPr>
          <w:i/>
          <w:iCs/>
          <w:lang w:val="en-GB"/>
        </w:rPr>
        <w:t>Journal of Innovation and Knowledge</w:t>
      </w:r>
      <w:r w:rsidRPr="00713821">
        <w:rPr>
          <w:lang w:val="en-GB"/>
        </w:rPr>
        <w:t xml:space="preserve">, 10(5), 100796. </w:t>
      </w:r>
      <w:hyperlink r:id="rId6" w:history="1">
        <w:r w:rsidRPr="00713821">
          <w:rPr>
            <w:rStyle w:val="Hipervnculo"/>
            <w:lang w:val="en-GB"/>
          </w:rPr>
          <w:t>https://doi.org/10.1016/j.jik.2025.100796</w:t>
        </w:r>
      </w:hyperlink>
      <w:r w:rsidRPr="00713821">
        <w:rPr>
          <w:lang w:val="en-GB"/>
        </w:rPr>
        <w:t xml:space="preserve"> </w:t>
      </w:r>
    </w:p>
    <w:p w14:paraId="4F4FFBB5" w14:textId="22FEE7A2" w:rsidR="00784387" w:rsidRPr="00670A3C" w:rsidRDefault="00000000">
      <w:pPr>
        <w:spacing w:after="120" w:line="280" w:lineRule="auto"/>
        <w:jc w:val="both"/>
        <w:rPr>
          <w:lang w:val="en-GB"/>
        </w:rPr>
      </w:pPr>
      <w:r w:rsidRPr="00670A3C">
        <w:rPr>
          <w:lang w:val="en-GB"/>
        </w:rPr>
        <w:t>Haaland, I., Roth, C., and Wohlfart, J. (2023). Designing information provision experiments. Journal of Economic Literature, 61(1), 3</w:t>
      </w:r>
      <w:r w:rsidR="00713821">
        <w:rPr>
          <w:lang w:val="en-GB"/>
        </w:rPr>
        <w:t>-</w:t>
      </w:r>
      <w:r w:rsidRPr="00670A3C">
        <w:rPr>
          <w:lang w:val="en-GB"/>
        </w:rPr>
        <w:t>40.</w:t>
      </w:r>
    </w:p>
    <w:p w14:paraId="4A781B7B" w14:textId="77777777" w:rsidR="00784387" w:rsidRDefault="00000000">
      <w:pPr>
        <w:spacing w:after="120" w:line="280" w:lineRule="auto"/>
        <w:jc w:val="both"/>
      </w:pPr>
      <w:r>
        <w:t>INE (2023). Encuesta de Estructura Salarial 2022. Instituto Nacional de Estadística, Spain.</w:t>
      </w:r>
    </w:p>
    <w:p w14:paraId="7CC31785" w14:textId="079DEE36" w:rsidR="00784387" w:rsidRPr="00670A3C" w:rsidRDefault="00000000">
      <w:pPr>
        <w:spacing w:after="120" w:line="280" w:lineRule="auto"/>
        <w:jc w:val="both"/>
        <w:rPr>
          <w:lang w:val="en-GB"/>
        </w:rPr>
      </w:pPr>
      <w:r w:rsidRPr="00670A3C">
        <w:rPr>
          <w:lang w:val="en-GB"/>
        </w:rPr>
        <w:t>Lee, D. S. (2009). Training, wages, and sample selection: Estimating sharp bounds on treatment effects. Review of Economic Studies, 76(3), 1071</w:t>
      </w:r>
      <w:r w:rsidR="00713821">
        <w:rPr>
          <w:lang w:val="en-GB"/>
        </w:rPr>
        <w:t>-</w:t>
      </w:r>
      <w:r w:rsidRPr="00670A3C">
        <w:rPr>
          <w:lang w:val="en-GB"/>
        </w:rPr>
        <w:t>1102.</w:t>
      </w:r>
    </w:p>
    <w:p w14:paraId="636A415A" w14:textId="77777777" w:rsidR="00784387" w:rsidRPr="00670A3C" w:rsidRDefault="00000000">
      <w:pPr>
        <w:spacing w:after="120" w:line="280" w:lineRule="auto"/>
        <w:jc w:val="both"/>
        <w:rPr>
          <w:lang w:val="en-GB"/>
        </w:rPr>
      </w:pPr>
      <w:r w:rsidRPr="00670A3C">
        <w:rPr>
          <w:lang w:val="en-GB"/>
        </w:rPr>
        <w:t>Lergetporer, P., and Woessmann, L. (2022). Income contingency and the electorate's support for tuition. IZA Discussion Paper 14991.</w:t>
      </w:r>
    </w:p>
    <w:p w14:paraId="7E59F33B" w14:textId="7D8F9AFD" w:rsidR="00784387" w:rsidRDefault="00000000">
      <w:pPr>
        <w:spacing w:after="120" w:line="280" w:lineRule="auto"/>
        <w:jc w:val="both"/>
      </w:pPr>
      <w:r w:rsidRPr="00670A3C">
        <w:rPr>
          <w:lang w:val="en-GB"/>
        </w:rPr>
        <w:t xml:space="preserve">Lergetporer, P., and Woessmann, L. (2023). Earnings information and public preferences for university tuition: Evidence from representative experiments. </w:t>
      </w:r>
      <w:r>
        <w:t>Journal of Public Economics, 226, 104968.</w:t>
      </w:r>
      <w:r w:rsidR="00713821">
        <w:t xml:space="preserve"> </w:t>
      </w:r>
      <w:hyperlink r:id="rId7" w:history="1">
        <w:r w:rsidR="00713821" w:rsidRPr="007B3ACD">
          <w:rPr>
            <w:rStyle w:val="Hipervnculo"/>
          </w:rPr>
          <w:t>https://doi.org/10.1016/j.jpubeco.2023.104968</w:t>
        </w:r>
      </w:hyperlink>
      <w:r w:rsidR="00713821" w:rsidRPr="00713821">
        <w:t>.</w:t>
      </w:r>
      <w:r w:rsidR="00713821">
        <w:t xml:space="preserve"> </w:t>
      </w:r>
    </w:p>
    <w:p w14:paraId="5BD520F5" w14:textId="77777777" w:rsidR="00784387" w:rsidRDefault="00000000">
      <w:pPr>
        <w:spacing w:after="120" w:line="280" w:lineRule="auto"/>
        <w:jc w:val="both"/>
      </w:pPr>
      <w:r>
        <w:t>Ministerio de Universidades (2023). Datos y cifras del sistema universitario español 2022 to 2023. Gobierno de España.</w:t>
      </w:r>
    </w:p>
    <w:p w14:paraId="1A5E4108" w14:textId="092EB3C6" w:rsidR="00784387" w:rsidRPr="00670A3C" w:rsidRDefault="00000000">
      <w:pPr>
        <w:spacing w:after="120" w:line="280" w:lineRule="auto"/>
        <w:jc w:val="both"/>
        <w:rPr>
          <w:lang w:val="en-GB"/>
        </w:rPr>
      </w:pPr>
      <w:r w:rsidRPr="007541BA">
        <w:rPr>
          <w:lang w:val="en-GB"/>
        </w:rPr>
        <w:t xml:space="preserve">OECD (2024). </w:t>
      </w:r>
      <w:r w:rsidRPr="00713821">
        <w:rPr>
          <w:lang w:val="en-GB"/>
        </w:rPr>
        <w:t>Education at a Glance 202</w:t>
      </w:r>
      <w:r w:rsidR="00713821" w:rsidRPr="00713821">
        <w:rPr>
          <w:lang w:val="en-GB"/>
        </w:rPr>
        <w:t>5</w:t>
      </w:r>
      <w:r w:rsidRPr="00713821">
        <w:rPr>
          <w:lang w:val="en-GB"/>
        </w:rPr>
        <w:t xml:space="preserve">: OECD Indicators. </w:t>
      </w:r>
      <w:r w:rsidRPr="00670A3C">
        <w:rPr>
          <w:lang w:val="en-GB"/>
        </w:rPr>
        <w:t>OECD Publishing, Paris.</w:t>
      </w:r>
    </w:p>
    <w:p w14:paraId="2CF18435" w14:textId="77777777" w:rsidR="00784387" w:rsidRPr="00670A3C" w:rsidRDefault="00000000">
      <w:pPr>
        <w:spacing w:after="120" w:line="280" w:lineRule="auto"/>
        <w:jc w:val="both"/>
        <w:rPr>
          <w:lang w:val="en-GB"/>
        </w:rPr>
      </w:pPr>
      <w:r w:rsidRPr="00670A3C">
        <w:rPr>
          <w:lang w:val="en-GB"/>
        </w:rPr>
        <w:t>QS Quacquarelli Symonds (2026). QS World University Rankings by Subject 2026. topuniversities.com.</w:t>
      </w:r>
    </w:p>
    <w:p w14:paraId="4869B6DA" w14:textId="2E8EADAF" w:rsidR="00784387" w:rsidRPr="00670A3C" w:rsidRDefault="00000000">
      <w:pPr>
        <w:spacing w:after="120" w:line="280" w:lineRule="auto"/>
        <w:jc w:val="both"/>
        <w:rPr>
          <w:lang w:val="en-GB"/>
        </w:rPr>
      </w:pPr>
      <w:r w:rsidRPr="00670A3C">
        <w:rPr>
          <w:lang w:val="en-GB"/>
        </w:rPr>
        <w:t>Romano, J. P., and Wolf, M. (2005). Stepwise multiple testing as formalised data snooping. Econometrica, 73(4), 1237</w:t>
      </w:r>
      <w:r w:rsidR="00713821">
        <w:rPr>
          <w:lang w:val="en-GB"/>
        </w:rPr>
        <w:t>-</w:t>
      </w:r>
      <w:r w:rsidRPr="00670A3C">
        <w:rPr>
          <w:lang w:val="en-GB"/>
        </w:rPr>
        <w:t>1282.</w:t>
      </w:r>
    </w:p>
    <w:p w14:paraId="6B96CEBE" w14:textId="7D404588" w:rsidR="00784387" w:rsidRPr="00670A3C" w:rsidRDefault="00713821">
      <w:pPr>
        <w:rPr>
          <w:lang w:val="en-GB"/>
        </w:rPr>
      </w:pPr>
      <w:r w:rsidRPr="00713821">
        <w:rPr>
          <w:lang w:val="en-GB"/>
        </w:rPr>
        <w:t xml:space="preserve">Rubin, D. B. (1987). </w:t>
      </w:r>
      <w:r w:rsidRPr="00713821">
        <w:rPr>
          <w:i/>
          <w:iCs/>
          <w:lang w:val="en-GB"/>
        </w:rPr>
        <w:t>Multiple Imputation for Nonresponse in Surveys</w:t>
      </w:r>
      <w:r w:rsidRPr="00713821">
        <w:rPr>
          <w:lang w:val="en-GB"/>
        </w:rPr>
        <w:t xml:space="preserve">. Wiley Series in Probability and Statistics. New York: John Wiley and Sons. </w:t>
      </w:r>
      <w:hyperlink r:id="rId8" w:history="1">
        <w:r w:rsidRPr="007541BA">
          <w:rPr>
            <w:rStyle w:val="Hipervnculo"/>
            <w:lang w:val="en-GB"/>
          </w:rPr>
          <w:t>https://doi.org/10.1002/9780470316696</w:t>
        </w:r>
      </w:hyperlink>
      <w:r w:rsidRPr="00713821">
        <w:rPr>
          <w:lang w:val="en-GB"/>
        </w:rPr>
        <w:t xml:space="preserve"> </w:t>
      </w:r>
      <w:r w:rsidRPr="00670A3C">
        <w:rPr>
          <w:lang w:val="en-GB"/>
        </w:rPr>
        <w:br w:type="page"/>
      </w:r>
    </w:p>
    <w:p w14:paraId="138640C5" w14:textId="77777777" w:rsidR="00784387" w:rsidRPr="00670A3C" w:rsidRDefault="00000000">
      <w:pPr>
        <w:pStyle w:val="Ttulo1"/>
        <w:rPr>
          <w:lang w:val="en-GB"/>
        </w:rPr>
      </w:pPr>
      <w:r w:rsidRPr="00670A3C">
        <w:rPr>
          <w:lang w:val="en-GB"/>
        </w:rPr>
        <w:t>Appendix A. Full Text of Informational Treatments (English Translation)</w:t>
      </w:r>
    </w:p>
    <w:p w14:paraId="206F6EDB" w14:textId="77777777" w:rsidR="00784387" w:rsidRPr="00670A3C" w:rsidRDefault="00000000">
      <w:pPr>
        <w:spacing w:after="120" w:line="280" w:lineRule="auto"/>
        <w:jc w:val="both"/>
        <w:rPr>
          <w:lang w:val="en-GB"/>
        </w:rPr>
      </w:pPr>
      <w:r w:rsidRPr="00670A3C">
        <w:rPr>
          <w:lang w:val="en-GB"/>
        </w:rPr>
        <w:t>The texts below are English translations of the informational blocks shown in the survey. Each block is accompanied by its source citation, which appears in the survey as a footnote below the text. The original Spanish-language texts are documented in the survey instrument.</w:t>
      </w:r>
    </w:p>
    <w:p w14:paraId="6DFC7E41" w14:textId="77777777" w:rsidR="00784387" w:rsidRPr="00670A3C" w:rsidRDefault="00000000">
      <w:pPr>
        <w:pStyle w:val="Ttulo2"/>
        <w:rPr>
          <w:lang w:val="en-GB"/>
        </w:rPr>
      </w:pPr>
      <w:r w:rsidRPr="00670A3C">
        <w:rPr>
          <w:lang w:val="en-GB"/>
        </w:rPr>
        <w:t>Control. The university in Spain: some general facts</w:t>
      </w:r>
    </w:p>
    <w:p w14:paraId="0A847462" w14:textId="77777777" w:rsidR="00784387" w:rsidRPr="00670A3C" w:rsidRDefault="00000000">
      <w:pPr>
        <w:spacing w:after="120" w:line="280" w:lineRule="auto"/>
        <w:jc w:val="both"/>
        <w:rPr>
          <w:lang w:val="en-GB"/>
        </w:rPr>
      </w:pPr>
      <w:r w:rsidRPr="00670A3C">
        <w:rPr>
          <w:lang w:val="en-GB"/>
        </w:rPr>
        <w:t>Spain has 50 public universities and around 40 private ones, distributed across the national territory. Spanish universities offer undergraduate degrees (Grado, 4 years), Master's (1 to 2 years) and Doctorate programmes, following the European Higher Education Area (Bologna Process). The total number of students enrolled in the Spanish university system exceeds one and a half million, of which around 85% study at public universities. Spanish universities participate in international mobility programmes such as Erasmus+ and maintain agreements with institutions worldwide.</w:t>
      </w:r>
    </w:p>
    <w:p w14:paraId="16719551" w14:textId="77777777" w:rsidR="00784387" w:rsidRDefault="00000000">
      <w:pPr>
        <w:spacing w:after="120" w:line="280" w:lineRule="auto"/>
        <w:jc w:val="both"/>
      </w:pPr>
      <w:r>
        <w:rPr>
          <w:i/>
          <w:iCs/>
        </w:rPr>
        <w:t>Source: Ministerio de Universidades (2023), Datos y cifras del sistema universitario español.</w:t>
      </w:r>
    </w:p>
    <w:p w14:paraId="1E7A035E" w14:textId="77777777" w:rsidR="00784387" w:rsidRPr="00670A3C" w:rsidRDefault="00000000">
      <w:pPr>
        <w:pStyle w:val="Ttulo2"/>
        <w:rPr>
          <w:lang w:val="en-GB"/>
        </w:rPr>
      </w:pPr>
      <w:r w:rsidRPr="00670A3C">
        <w:rPr>
          <w:lang w:val="en-GB"/>
        </w:rPr>
        <w:t>T1. How much do people earn in Spain by educational level?</w:t>
      </w:r>
    </w:p>
    <w:p w14:paraId="49DFF6CD" w14:textId="77777777" w:rsidR="00784387" w:rsidRPr="00670A3C" w:rsidRDefault="00000000">
      <w:pPr>
        <w:spacing w:after="120" w:line="280" w:lineRule="auto"/>
        <w:jc w:val="both"/>
        <w:rPr>
          <w:lang w:val="en-GB"/>
        </w:rPr>
      </w:pPr>
      <w:r w:rsidRPr="00670A3C">
        <w:rPr>
          <w:lang w:val="en-GB"/>
        </w:rPr>
        <w:t>Official data from the Spanish Statistics Office (INE) show significant salary differences by educational level: university graduates (undergraduate or higher) earn on average €2,400 net per month; FP de Grado Superior graduates €1,800 net per month; Bachillerato or FP de Grado Medio graduates €1,500 net per month; those without post-compulsory education €1,200 net per month. This means that, on average, a university graduate earns 33% more than someone with FP Superior and twice as much as someone without post-compulsory education. In addition, university graduates have an unemployment rate (7%) markedly lower than those with only compulsory education (22%).</w:t>
      </w:r>
    </w:p>
    <w:p w14:paraId="300C0585" w14:textId="77777777" w:rsidR="00784387" w:rsidRPr="00670A3C" w:rsidRDefault="00000000">
      <w:pPr>
        <w:spacing w:after="120" w:line="280" w:lineRule="auto"/>
        <w:jc w:val="both"/>
        <w:rPr>
          <w:lang w:val="en-GB"/>
        </w:rPr>
      </w:pPr>
      <w:r w:rsidRPr="00670A3C">
        <w:rPr>
          <w:i/>
          <w:iCs/>
          <w:lang w:val="en-GB"/>
        </w:rPr>
        <w:t>Sources: INE, Encuesta de Estructura Salarial 2022 (data 2023); OECD Education at a Glance 2024.</w:t>
      </w:r>
    </w:p>
    <w:p w14:paraId="583C7A22" w14:textId="77777777" w:rsidR="00784387" w:rsidRPr="00670A3C" w:rsidRDefault="00000000">
      <w:pPr>
        <w:pStyle w:val="Ttulo2"/>
        <w:rPr>
          <w:lang w:val="en-GB"/>
        </w:rPr>
      </w:pPr>
      <w:r w:rsidRPr="00670A3C">
        <w:rPr>
          <w:lang w:val="en-GB"/>
        </w:rPr>
        <w:t>T2. Who pays for the university in Spain, and what would spending more imply?</w:t>
      </w:r>
    </w:p>
    <w:p w14:paraId="23265ABF" w14:textId="77777777" w:rsidR="00784387" w:rsidRPr="00670A3C" w:rsidRDefault="00000000">
      <w:pPr>
        <w:spacing w:after="120" w:line="280" w:lineRule="auto"/>
        <w:jc w:val="both"/>
        <w:rPr>
          <w:lang w:val="en-GB"/>
        </w:rPr>
      </w:pPr>
      <w:r w:rsidRPr="00670A3C">
        <w:rPr>
          <w:lang w:val="en-GB"/>
        </w:rPr>
        <w:t>In Spain, public spending on university education amounts to approximately 0.76% of GDP, below the OECD average (1.08% of GDP). The average cost per student is around €10,000 per year, compared with €13,000 on average in OECD countries. 80% of this cost is financed with public funds (taxes), and the remaining 20% with the fees paid by students. Increasing public spending on universities up to the OECD average would necessarily require one of the following: (1) raising taxes (income tax, VAT, corporate tax or others); (2) reducing spending on other public items (health, pensions, non-university education or infrastructure); (3) increasing the deficit and public debt, which will have to be repaid in the future.</w:t>
      </w:r>
    </w:p>
    <w:p w14:paraId="1174168C" w14:textId="77777777" w:rsidR="00784387" w:rsidRDefault="00000000">
      <w:pPr>
        <w:spacing w:after="120" w:line="280" w:lineRule="auto"/>
        <w:jc w:val="both"/>
      </w:pPr>
      <w:r>
        <w:rPr>
          <w:i/>
          <w:iCs/>
        </w:rPr>
        <w:t>Sources: OECD Education at a Glance 2024; Ministerio de Universidades, Datos y cifras 2022 to 2023.</w:t>
      </w:r>
    </w:p>
    <w:p w14:paraId="2D91C570" w14:textId="77777777" w:rsidR="00784387" w:rsidRPr="00670A3C" w:rsidRDefault="00000000">
      <w:pPr>
        <w:pStyle w:val="Ttulo2"/>
        <w:rPr>
          <w:lang w:val="en-GB"/>
        </w:rPr>
      </w:pPr>
      <w:r w:rsidRPr="00670A3C">
        <w:rPr>
          <w:lang w:val="en-GB"/>
        </w:rPr>
        <w:t>T3. Are all Spanish universities equally good?</w:t>
      </w:r>
    </w:p>
    <w:p w14:paraId="4C502597" w14:textId="77777777" w:rsidR="00784387" w:rsidRPr="00670A3C" w:rsidRDefault="00000000">
      <w:pPr>
        <w:spacing w:after="120" w:line="280" w:lineRule="auto"/>
        <w:jc w:val="both"/>
        <w:rPr>
          <w:lang w:val="en-GB"/>
        </w:rPr>
      </w:pPr>
      <w:r w:rsidRPr="00670A3C">
        <w:rPr>
          <w:lang w:val="en-GB"/>
        </w:rPr>
        <w:t>Available data show considerable differences between Spanish public universities: (1) International rankings: 13 of Spain's 91 universities have at least one discipline ranked in the QS top 100, and only 7 have more than 5 such disciplines. (2) Graduate employment: the four-year employment rate ranges from 65% to 90% across universities for the same degree. (3) Salary differences: graduate salaries can differ by up to 30% across universities for the same qualification. (4) Research: 80% of high-impact scientific output is concentrated in less than 20% of universities, measured within discipline. These differences occur between universities financed with similar amounts of public funds.</w:t>
      </w:r>
    </w:p>
    <w:p w14:paraId="39BEEBC5" w14:textId="77777777" w:rsidR="00784387" w:rsidRDefault="00000000">
      <w:pPr>
        <w:spacing w:after="120" w:line="280" w:lineRule="auto"/>
        <w:jc w:val="both"/>
      </w:pPr>
      <w:r>
        <w:rPr>
          <w:i/>
          <w:iCs/>
        </w:rPr>
        <w:t>Sources: Shanghai Ranking 2024; ANECA, Informe sobre la inserción laboral de los egresados universitarios 2023; Ministerio de Universidades 2023.</w:t>
      </w:r>
    </w:p>
    <w:p w14:paraId="6C67BD34" w14:textId="77777777" w:rsidR="00784387" w:rsidRPr="00670A3C" w:rsidRDefault="00000000">
      <w:pPr>
        <w:pStyle w:val="Ttulo2"/>
        <w:rPr>
          <w:lang w:val="en-GB"/>
        </w:rPr>
      </w:pPr>
      <w:r w:rsidRPr="00670A3C">
        <w:rPr>
          <w:lang w:val="en-GB"/>
        </w:rPr>
        <w:t>T4. Are there fairer ways to pay for university?</w:t>
      </w:r>
    </w:p>
    <w:p w14:paraId="62D26F85" w14:textId="77777777" w:rsidR="00784387" w:rsidRPr="00670A3C" w:rsidRDefault="00000000">
      <w:pPr>
        <w:spacing w:after="120" w:line="280" w:lineRule="auto"/>
        <w:jc w:val="both"/>
        <w:rPr>
          <w:lang w:val="en-GB"/>
        </w:rPr>
      </w:pPr>
      <w:r w:rsidRPr="00670A3C">
        <w:rPr>
          <w:lang w:val="en-GB"/>
        </w:rPr>
        <w:t>In several countries, university financing combines three principles that aim to make the sustainability of the system compatible with equality of access: (1) Income-adjusted fees: students from lower-income families pay reduced or zero fees; those from higher-income families pay more. (2) Merit-based scholarships: students with the best academic records access scholarships or fee reductions. (3) Income-contingent loans (ICL): students do not pay anything during their studies. They only start to repay once they have a job and their salary exceeds a threshold (for example €25,000 per year), and only pay a small percentage of their salary. If their salary never exceeds that threshold, they pay nothing. The ICL system exists in the United Kingdom, Australia, Chile, and New Zealand. The aim is that nobody refrains from going to university for fear of the cost, while improving the financing of the university system.</w:t>
      </w:r>
    </w:p>
    <w:p w14:paraId="3E0D366E" w14:textId="77777777" w:rsidR="00784387" w:rsidRPr="00670A3C" w:rsidRDefault="00000000">
      <w:pPr>
        <w:spacing w:after="120" w:line="280" w:lineRule="auto"/>
        <w:jc w:val="both"/>
        <w:rPr>
          <w:lang w:val="en-GB"/>
        </w:rPr>
      </w:pPr>
      <w:r w:rsidRPr="00670A3C">
        <w:rPr>
          <w:i/>
          <w:iCs/>
          <w:lang w:val="en-GB"/>
        </w:rPr>
        <w:t>Sources: OECD Education at a Glance 2024; Lergetporer and Woessmann (2022), IZA DP 14991; Barr (2012), The Economics of the Welfare State.</w:t>
      </w:r>
    </w:p>
    <w:p w14:paraId="1BEDF022" w14:textId="77777777" w:rsidR="00784387" w:rsidRPr="00670A3C" w:rsidRDefault="00000000">
      <w:pPr>
        <w:rPr>
          <w:lang w:val="en-GB"/>
        </w:rPr>
      </w:pPr>
      <w:r w:rsidRPr="00670A3C">
        <w:rPr>
          <w:lang w:val="en-GB"/>
        </w:rPr>
        <w:br w:type="page"/>
      </w:r>
    </w:p>
    <w:p w14:paraId="1221F77C" w14:textId="77777777" w:rsidR="00784387" w:rsidRPr="00670A3C" w:rsidRDefault="00000000">
      <w:pPr>
        <w:pStyle w:val="Ttulo1"/>
        <w:rPr>
          <w:lang w:val="en-GB"/>
        </w:rPr>
      </w:pPr>
      <w:r w:rsidRPr="00670A3C">
        <w:rPr>
          <w:lang w:val="en-GB"/>
        </w:rPr>
        <w:t>Appendix B. Variable List</w:t>
      </w:r>
    </w:p>
    <w:p w14:paraId="3C200D30" w14:textId="77777777" w:rsidR="00784387" w:rsidRPr="00670A3C" w:rsidRDefault="00000000">
      <w:pPr>
        <w:spacing w:after="120" w:line="280" w:lineRule="auto"/>
        <w:jc w:val="both"/>
        <w:rPr>
          <w:lang w:val="en-GB"/>
        </w:rPr>
      </w:pPr>
      <w:r w:rsidRPr="00670A3C">
        <w:rPr>
          <w:lang w:val="en-GB"/>
        </w:rPr>
        <w:t>The table below lists every analysis variable, organised by role, and links it to the survey content. Identifiers used here are the analysis-side variable names, not the survey question numbers.</w:t>
      </w:r>
    </w:p>
    <w:p w14:paraId="34A6CCAB" w14:textId="77777777" w:rsidR="00784387" w:rsidRDefault="00000000">
      <w:pPr>
        <w:pStyle w:val="Ttulo2"/>
      </w:pPr>
      <w:r>
        <w:t>B.1 Baseline covariates (Block 1)</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4060"/>
        <w:gridCol w:w="3400"/>
      </w:tblGrid>
      <w:tr w:rsidR="00784387" w14:paraId="703436DC" w14:textId="77777777">
        <w:trPr>
          <w:tblHeader/>
        </w:trPr>
        <w:tc>
          <w:tcPr>
            <w:tcW w:w="19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7E069AFA" w14:textId="77777777" w:rsidR="00784387" w:rsidRDefault="00000000">
            <w:pPr>
              <w:spacing w:line="260" w:lineRule="auto"/>
            </w:pPr>
            <w:r>
              <w:rPr>
                <w:b/>
                <w:bCs/>
                <w:sz w:val="20"/>
                <w:szCs w:val="20"/>
              </w:rPr>
              <w:t>Variable</w:t>
            </w:r>
          </w:p>
        </w:tc>
        <w:tc>
          <w:tcPr>
            <w:tcW w:w="40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5E74675F" w14:textId="77777777" w:rsidR="00784387" w:rsidRDefault="00000000">
            <w:pPr>
              <w:spacing w:line="260" w:lineRule="auto"/>
            </w:pPr>
            <w:r>
              <w:rPr>
                <w:b/>
                <w:bCs/>
                <w:sz w:val="20"/>
                <w:szCs w:val="20"/>
              </w:rPr>
              <w:t>Description</w:t>
            </w:r>
          </w:p>
        </w:tc>
        <w:tc>
          <w:tcPr>
            <w:tcW w:w="34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32AE9FC6" w14:textId="77777777" w:rsidR="00784387" w:rsidRDefault="00000000">
            <w:pPr>
              <w:spacing w:line="260" w:lineRule="auto"/>
            </w:pPr>
            <w:r>
              <w:rPr>
                <w:b/>
                <w:bCs/>
                <w:sz w:val="20"/>
                <w:szCs w:val="20"/>
              </w:rPr>
              <w:t>Role</w:t>
            </w:r>
          </w:p>
        </w:tc>
      </w:tr>
      <w:tr w:rsidR="00784387" w:rsidRPr="007541BA" w14:paraId="7588533A"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E297E26" w14:textId="77777777" w:rsidR="00784387" w:rsidRDefault="00000000">
            <w:pPr>
              <w:spacing w:line="260" w:lineRule="auto"/>
            </w:pPr>
            <w:r>
              <w:rPr>
                <w:sz w:val="20"/>
                <w:szCs w:val="20"/>
              </w:rPr>
              <w:t>GENDER</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8D944C2" w14:textId="77777777" w:rsidR="00784387" w:rsidRDefault="00000000">
            <w:pPr>
              <w:spacing w:line="260" w:lineRule="auto"/>
            </w:pPr>
            <w:r>
              <w:rPr>
                <w:sz w:val="20"/>
                <w:szCs w:val="20"/>
              </w:rPr>
              <w:t>Gender</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22F8EDD" w14:textId="77777777" w:rsidR="00784387" w:rsidRPr="00670A3C" w:rsidRDefault="00000000">
            <w:pPr>
              <w:spacing w:line="260" w:lineRule="auto"/>
              <w:rPr>
                <w:lang w:val="en-GB"/>
              </w:rPr>
            </w:pPr>
            <w:r w:rsidRPr="00670A3C">
              <w:rPr>
                <w:sz w:val="20"/>
                <w:szCs w:val="20"/>
                <w:lang w:val="en-GB"/>
              </w:rPr>
              <w:t>Baseline covariate; heterogeneity moderator (all arms)</w:t>
            </w:r>
          </w:p>
        </w:tc>
      </w:tr>
      <w:tr w:rsidR="00784387" w14:paraId="2CE15D1E"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9EDD8F4" w14:textId="77777777" w:rsidR="00784387" w:rsidRDefault="00000000">
            <w:pPr>
              <w:spacing w:line="260" w:lineRule="auto"/>
            </w:pPr>
            <w:r>
              <w:rPr>
                <w:sz w:val="20"/>
                <w:szCs w:val="20"/>
              </w:rPr>
              <w:t>AGE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4A8BD05" w14:textId="77777777" w:rsidR="00784387" w:rsidRDefault="00000000">
            <w:pPr>
              <w:spacing w:line="260" w:lineRule="auto"/>
            </w:pPr>
            <w:r>
              <w:rPr>
                <w:sz w:val="20"/>
                <w:szCs w:val="20"/>
              </w:rPr>
              <w:t>Age in years</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8681B04" w14:textId="77777777" w:rsidR="00784387" w:rsidRDefault="00000000">
            <w:pPr>
              <w:spacing w:line="260" w:lineRule="auto"/>
            </w:pPr>
            <w:r>
              <w:rPr>
                <w:sz w:val="20"/>
                <w:szCs w:val="20"/>
              </w:rPr>
              <w:t>Baseline covariate</w:t>
            </w:r>
          </w:p>
        </w:tc>
      </w:tr>
      <w:tr w:rsidR="00784387" w14:paraId="21B4C908"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CBE1A9E" w14:textId="77777777" w:rsidR="00784387" w:rsidRDefault="00000000">
            <w:pPr>
              <w:spacing w:line="260" w:lineRule="auto"/>
            </w:pPr>
            <w:r>
              <w:rPr>
                <w:sz w:val="20"/>
                <w:szCs w:val="20"/>
              </w:rPr>
              <w:t>REGION</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4100D9F" w14:textId="77777777" w:rsidR="00784387" w:rsidRDefault="00000000">
            <w:pPr>
              <w:spacing w:line="260" w:lineRule="auto"/>
            </w:pPr>
            <w:r>
              <w:rPr>
                <w:sz w:val="20"/>
                <w:szCs w:val="20"/>
              </w:rPr>
              <w:t>Comunidad Autónoma (derived from postal code)</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6E747A7" w14:textId="77777777" w:rsidR="00784387" w:rsidRDefault="00000000">
            <w:pPr>
              <w:spacing w:line="260" w:lineRule="auto"/>
            </w:pPr>
            <w:r>
              <w:rPr>
                <w:sz w:val="20"/>
                <w:szCs w:val="20"/>
              </w:rPr>
              <w:t>Baseline covariate</w:t>
            </w:r>
          </w:p>
        </w:tc>
      </w:tr>
      <w:tr w:rsidR="00784387" w:rsidRPr="007541BA" w14:paraId="6DED696A"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F90F905" w14:textId="77777777" w:rsidR="00784387" w:rsidRDefault="00000000">
            <w:pPr>
              <w:spacing w:line="260" w:lineRule="auto"/>
            </w:pPr>
            <w:r>
              <w:rPr>
                <w:sz w:val="20"/>
                <w:szCs w:val="20"/>
              </w:rPr>
              <w:t>EDUCATION</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7AE08BC" w14:textId="77777777" w:rsidR="00784387" w:rsidRPr="00670A3C" w:rsidRDefault="00000000">
            <w:pPr>
              <w:spacing w:line="260" w:lineRule="auto"/>
              <w:rPr>
                <w:lang w:val="en-GB"/>
              </w:rPr>
            </w:pPr>
            <w:r w:rsidRPr="00670A3C">
              <w:rPr>
                <w:sz w:val="20"/>
                <w:szCs w:val="20"/>
                <w:lang w:val="en-GB"/>
              </w:rPr>
              <w:t>Highest level of education completed</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A91FEEC" w14:textId="77777777" w:rsidR="00784387" w:rsidRPr="00670A3C" w:rsidRDefault="00000000">
            <w:pPr>
              <w:spacing w:line="260" w:lineRule="auto"/>
              <w:rPr>
                <w:lang w:val="en-GB"/>
              </w:rPr>
            </w:pPr>
            <w:r w:rsidRPr="00670A3C">
              <w:rPr>
                <w:sz w:val="20"/>
                <w:szCs w:val="20"/>
                <w:lang w:val="en-GB"/>
              </w:rPr>
              <w:t>Baseline covariate; heterogeneity moderator (all arms)</w:t>
            </w:r>
          </w:p>
        </w:tc>
      </w:tr>
      <w:tr w:rsidR="00784387" w:rsidRPr="007541BA" w14:paraId="27E21458"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7F204DD" w14:textId="77777777" w:rsidR="00784387" w:rsidRDefault="00000000">
            <w:pPr>
              <w:spacing w:line="260" w:lineRule="auto"/>
            </w:pPr>
            <w:r>
              <w:rPr>
                <w:sz w:val="20"/>
                <w:szCs w:val="20"/>
              </w:rPr>
              <w:t>INCOME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AB167C8" w14:textId="77777777" w:rsidR="00784387" w:rsidRDefault="00000000">
            <w:pPr>
              <w:spacing w:line="260" w:lineRule="auto"/>
            </w:pPr>
            <w:r>
              <w:rPr>
                <w:sz w:val="20"/>
                <w:szCs w:val="20"/>
              </w:rPr>
              <w:t>Monthly household income bracket</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2E720CC" w14:textId="77777777" w:rsidR="00784387" w:rsidRPr="00670A3C" w:rsidRDefault="00000000">
            <w:pPr>
              <w:spacing w:line="260" w:lineRule="auto"/>
              <w:rPr>
                <w:lang w:val="en-GB"/>
              </w:rPr>
            </w:pPr>
            <w:r w:rsidRPr="00670A3C">
              <w:rPr>
                <w:sz w:val="20"/>
                <w:szCs w:val="20"/>
                <w:lang w:val="en-GB"/>
              </w:rPr>
              <w:t>Baseline covariate; heterogeneity moderator (T2, T4)</w:t>
            </w:r>
          </w:p>
        </w:tc>
      </w:tr>
      <w:tr w:rsidR="00784387" w14:paraId="4C395EB0"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7332C8B" w14:textId="77777777" w:rsidR="00784387" w:rsidRDefault="00000000">
            <w:pPr>
              <w:spacing w:line="260" w:lineRule="auto"/>
            </w:pPr>
            <w:r>
              <w:rPr>
                <w:sz w:val="20"/>
                <w:szCs w:val="20"/>
              </w:rPr>
              <w:t>EMPLOYMENT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140894A" w14:textId="77777777" w:rsidR="00784387" w:rsidRDefault="00000000">
            <w:pPr>
              <w:spacing w:line="260" w:lineRule="auto"/>
            </w:pPr>
            <w:r>
              <w:rPr>
                <w:sz w:val="20"/>
                <w:szCs w:val="20"/>
              </w:rPr>
              <w:t>Employment status</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3DFCFF2" w14:textId="77777777" w:rsidR="00784387" w:rsidRDefault="00000000">
            <w:pPr>
              <w:spacing w:line="260" w:lineRule="auto"/>
            </w:pPr>
            <w:r>
              <w:rPr>
                <w:sz w:val="20"/>
                <w:szCs w:val="20"/>
              </w:rPr>
              <w:t>Baseline covariate</w:t>
            </w:r>
          </w:p>
        </w:tc>
      </w:tr>
      <w:tr w:rsidR="00784387" w:rsidRPr="007541BA" w14:paraId="4C195DE6"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FF275BB" w14:textId="77777777" w:rsidR="00784387" w:rsidRDefault="00000000">
            <w:pPr>
              <w:spacing w:line="260" w:lineRule="auto"/>
            </w:pPr>
            <w:r>
              <w:rPr>
                <w:sz w:val="20"/>
                <w:szCs w:val="20"/>
              </w:rPr>
              <w:t>UNI_RELATION</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39B6113" w14:textId="77777777" w:rsidR="00784387" w:rsidRPr="00670A3C" w:rsidRDefault="00000000">
            <w:pPr>
              <w:spacing w:line="260" w:lineRule="auto"/>
              <w:rPr>
                <w:lang w:val="en-GB"/>
              </w:rPr>
            </w:pPr>
            <w:r w:rsidRPr="00670A3C">
              <w:rPr>
                <w:sz w:val="20"/>
                <w:szCs w:val="20"/>
                <w:lang w:val="en-GB"/>
              </w:rPr>
              <w:t>Relation to the university system (student, parent, staff)</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AE7DD16" w14:textId="77777777" w:rsidR="00784387" w:rsidRPr="0089609D" w:rsidRDefault="00000000">
            <w:pPr>
              <w:spacing w:line="260" w:lineRule="auto"/>
              <w:rPr>
                <w:lang w:val="en-GB"/>
              </w:rPr>
            </w:pPr>
            <w:r w:rsidRPr="0089609D">
              <w:rPr>
                <w:sz w:val="20"/>
                <w:szCs w:val="20"/>
                <w:lang w:val="en-GB"/>
              </w:rPr>
              <w:t>Baseline covariate; heterogeneity moderator (T1)</w:t>
            </w:r>
          </w:p>
        </w:tc>
      </w:tr>
      <w:tr w:rsidR="00784387" w14:paraId="5FD15C33"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4341048" w14:textId="77777777" w:rsidR="00784387" w:rsidRDefault="00000000">
            <w:pPr>
              <w:spacing w:line="260" w:lineRule="auto"/>
            </w:pPr>
            <w:r>
              <w:rPr>
                <w:sz w:val="20"/>
                <w:szCs w:val="20"/>
              </w:rPr>
              <w:t>KNOWLEDGE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C6157D2" w14:textId="77777777" w:rsidR="00784387" w:rsidRPr="0089609D" w:rsidRDefault="00000000">
            <w:pPr>
              <w:spacing w:line="260" w:lineRule="auto"/>
              <w:rPr>
                <w:lang w:val="en-GB"/>
              </w:rPr>
            </w:pPr>
            <w:r w:rsidRPr="0089609D">
              <w:rPr>
                <w:sz w:val="20"/>
                <w:szCs w:val="20"/>
                <w:lang w:val="en-GB"/>
              </w:rPr>
              <w:t>Self-rated knowledge of the Spanish university system</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D72FFF0" w14:textId="77777777" w:rsidR="00784387" w:rsidRDefault="00000000">
            <w:pPr>
              <w:spacing w:line="260" w:lineRule="auto"/>
            </w:pPr>
            <w:r>
              <w:rPr>
                <w:sz w:val="20"/>
                <w:szCs w:val="20"/>
              </w:rPr>
              <w:t>Moderating covariate</w:t>
            </w:r>
          </w:p>
        </w:tc>
      </w:tr>
      <w:tr w:rsidR="00784387" w14:paraId="109A3205"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DCAEB56" w14:textId="77777777" w:rsidR="00784387" w:rsidRDefault="00000000">
            <w:pPr>
              <w:spacing w:line="260" w:lineRule="auto"/>
            </w:pPr>
            <w:r>
              <w:rPr>
                <w:sz w:val="20"/>
                <w:szCs w:val="20"/>
              </w:rPr>
              <w:t>NEWS_FREQ</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CB34823" w14:textId="77777777" w:rsidR="00784387" w:rsidRPr="0089609D" w:rsidRDefault="00000000">
            <w:pPr>
              <w:spacing w:line="260" w:lineRule="auto"/>
              <w:rPr>
                <w:lang w:val="en-GB"/>
              </w:rPr>
            </w:pPr>
            <w:r w:rsidRPr="0089609D">
              <w:rPr>
                <w:sz w:val="20"/>
                <w:szCs w:val="20"/>
                <w:lang w:val="en-GB"/>
              </w:rPr>
              <w:t>Frequency of following university news</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4E35755" w14:textId="77777777" w:rsidR="00784387" w:rsidRDefault="00000000">
            <w:pPr>
              <w:spacing w:line="260" w:lineRule="auto"/>
            </w:pPr>
            <w:r>
              <w:rPr>
                <w:sz w:val="20"/>
                <w:szCs w:val="20"/>
              </w:rPr>
              <w:t>Moderating covariate</w:t>
            </w:r>
          </w:p>
        </w:tc>
      </w:tr>
    </w:tbl>
    <w:p w14:paraId="067DB101" w14:textId="77777777" w:rsidR="00784387" w:rsidRPr="0089609D" w:rsidRDefault="00000000">
      <w:pPr>
        <w:pStyle w:val="Ttulo2"/>
        <w:rPr>
          <w:lang w:val="en-GB"/>
        </w:rPr>
      </w:pPr>
      <w:r w:rsidRPr="0089609D">
        <w:rPr>
          <w:lang w:val="en-GB"/>
        </w:rPr>
        <w:t>B.2 Pre-treatment beliefs (Block 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23"/>
        <w:gridCol w:w="3989"/>
        <w:gridCol w:w="3348"/>
      </w:tblGrid>
      <w:tr w:rsidR="00784387" w14:paraId="1D4827FA" w14:textId="77777777">
        <w:trPr>
          <w:tblHeader/>
        </w:trPr>
        <w:tc>
          <w:tcPr>
            <w:tcW w:w="19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1EFC15E8" w14:textId="77777777" w:rsidR="00784387" w:rsidRDefault="00000000">
            <w:pPr>
              <w:spacing w:line="260" w:lineRule="auto"/>
            </w:pPr>
            <w:r>
              <w:rPr>
                <w:b/>
                <w:bCs/>
                <w:sz w:val="20"/>
                <w:szCs w:val="20"/>
              </w:rPr>
              <w:t>Variable</w:t>
            </w:r>
          </w:p>
        </w:tc>
        <w:tc>
          <w:tcPr>
            <w:tcW w:w="40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47E13501" w14:textId="77777777" w:rsidR="00784387" w:rsidRDefault="00000000">
            <w:pPr>
              <w:spacing w:line="260" w:lineRule="auto"/>
            </w:pPr>
            <w:r>
              <w:rPr>
                <w:b/>
                <w:bCs/>
                <w:sz w:val="20"/>
                <w:szCs w:val="20"/>
              </w:rPr>
              <w:t>Description</w:t>
            </w:r>
          </w:p>
        </w:tc>
        <w:tc>
          <w:tcPr>
            <w:tcW w:w="34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25BB4B65" w14:textId="77777777" w:rsidR="00784387" w:rsidRDefault="00000000">
            <w:pPr>
              <w:spacing w:line="260" w:lineRule="auto"/>
            </w:pPr>
            <w:r>
              <w:rPr>
                <w:b/>
                <w:bCs/>
                <w:sz w:val="20"/>
                <w:szCs w:val="20"/>
              </w:rPr>
              <w:t>Role</w:t>
            </w:r>
          </w:p>
        </w:tc>
      </w:tr>
      <w:tr w:rsidR="00784387" w:rsidRPr="007541BA" w14:paraId="4B450D6C"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43263D4" w14:textId="77777777" w:rsidR="00784387" w:rsidRDefault="00000000">
            <w:pPr>
              <w:spacing w:line="260" w:lineRule="auto"/>
            </w:pPr>
            <w:r>
              <w:rPr>
                <w:sz w:val="20"/>
                <w:szCs w:val="20"/>
              </w:rPr>
              <w:t>EARN_BELIEF</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C2CBD31" w14:textId="77777777" w:rsidR="00784387" w:rsidRPr="0089609D" w:rsidRDefault="00000000">
            <w:pPr>
              <w:spacing w:line="260" w:lineRule="auto"/>
              <w:rPr>
                <w:lang w:val="en-GB"/>
              </w:rPr>
            </w:pPr>
            <w:r w:rsidRPr="0089609D">
              <w:rPr>
                <w:sz w:val="20"/>
                <w:szCs w:val="20"/>
                <w:lang w:val="en-GB"/>
              </w:rPr>
              <w:t>Perceived earnings gap, university vs. FP Superior</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B62E055" w14:textId="77777777" w:rsidR="00784387" w:rsidRPr="0089609D" w:rsidRDefault="00000000">
            <w:pPr>
              <w:spacing w:line="260" w:lineRule="auto"/>
              <w:rPr>
                <w:lang w:val="en-GB"/>
              </w:rPr>
            </w:pPr>
            <w:r w:rsidRPr="0089609D">
              <w:rPr>
                <w:sz w:val="20"/>
                <w:szCs w:val="20"/>
                <w:lang w:val="en-GB"/>
              </w:rPr>
              <w:t>S1 component (binary belief accuracy); moderator for T1</w:t>
            </w:r>
          </w:p>
        </w:tc>
      </w:tr>
      <w:tr w:rsidR="00784387" w:rsidRPr="007541BA" w14:paraId="24DD4C21"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320BB7B" w14:textId="77777777" w:rsidR="00784387" w:rsidRDefault="00000000">
            <w:pPr>
              <w:spacing w:line="260" w:lineRule="auto"/>
            </w:pPr>
            <w:r>
              <w:rPr>
                <w:sz w:val="20"/>
                <w:szCs w:val="20"/>
              </w:rPr>
              <w:t>EARN_CONFIDENCE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9C52FF5" w14:textId="77777777" w:rsidR="00784387" w:rsidRPr="0089609D" w:rsidRDefault="00000000">
            <w:pPr>
              <w:spacing w:line="260" w:lineRule="auto"/>
              <w:rPr>
                <w:lang w:val="en-GB"/>
              </w:rPr>
            </w:pPr>
            <w:r w:rsidRPr="0089609D">
              <w:rPr>
                <w:sz w:val="20"/>
                <w:szCs w:val="20"/>
                <w:lang w:val="en-GB"/>
              </w:rPr>
              <w:t>Confidence in the earnings gap belief</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CCD8E69" w14:textId="77777777" w:rsidR="00784387" w:rsidRPr="0089609D" w:rsidRDefault="00000000">
            <w:pPr>
              <w:spacing w:line="260" w:lineRule="auto"/>
              <w:rPr>
                <w:lang w:val="en-GB"/>
              </w:rPr>
            </w:pPr>
            <w:r w:rsidRPr="0089609D">
              <w:rPr>
                <w:sz w:val="20"/>
                <w:szCs w:val="20"/>
                <w:lang w:val="en-GB"/>
              </w:rPr>
              <w:t>Moderator: misinformed-high-confidence subgroup for T1</w:t>
            </w:r>
          </w:p>
        </w:tc>
      </w:tr>
      <w:tr w:rsidR="00784387" w14:paraId="6EA084BB"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8BE5CBD" w14:textId="77777777" w:rsidR="00784387" w:rsidRDefault="00000000">
            <w:pPr>
              <w:spacing w:line="260" w:lineRule="auto"/>
            </w:pPr>
            <w:r>
              <w:rPr>
                <w:sz w:val="20"/>
                <w:szCs w:val="20"/>
              </w:rPr>
              <w:t>EMPL_BELIEF</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9F894D5" w14:textId="77777777" w:rsidR="00784387" w:rsidRPr="0089609D" w:rsidRDefault="00000000">
            <w:pPr>
              <w:spacing w:line="260" w:lineRule="auto"/>
              <w:rPr>
                <w:lang w:val="en-GB"/>
              </w:rPr>
            </w:pPr>
            <w:r w:rsidRPr="0089609D">
              <w:rPr>
                <w:sz w:val="20"/>
                <w:szCs w:val="20"/>
                <w:lang w:val="en-GB"/>
              </w:rPr>
              <w:t>Belief about university vs. FP employment rates</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0725E82" w14:textId="77777777" w:rsidR="00784387" w:rsidRDefault="00000000">
            <w:pPr>
              <w:spacing w:line="260" w:lineRule="auto"/>
            </w:pPr>
            <w:r>
              <w:rPr>
                <w:sz w:val="20"/>
                <w:szCs w:val="20"/>
              </w:rPr>
              <w:t>Baseline covariate; exploratory</w:t>
            </w:r>
          </w:p>
        </w:tc>
      </w:tr>
      <w:tr w:rsidR="00784387" w:rsidRPr="007541BA" w14:paraId="4ACF8F11"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F10DC2B" w14:textId="77777777" w:rsidR="00784387" w:rsidRDefault="00000000">
            <w:pPr>
              <w:spacing w:line="260" w:lineRule="auto"/>
            </w:pPr>
            <w:r>
              <w:rPr>
                <w:sz w:val="20"/>
                <w:szCs w:val="20"/>
              </w:rPr>
              <w:t>FUND_SHARE_BELIEF</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4DB1631" w14:textId="77777777" w:rsidR="00784387" w:rsidRPr="0089609D" w:rsidRDefault="00000000">
            <w:pPr>
              <w:spacing w:line="260" w:lineRule="auto"/>
              <w:rPr>
                <w:lang w:val="en-GB"/>
              </w:rPr>
            </w:pPr>
            <w:r w:rsidRPr="0089609D">
              <w:rPr>
                <w:sz w:val="20"/>
                <w:szCs w:val="20"/>
                <w:lang w:val="en-GB"/>
              </w:rPr>
              <w:t>Perceived share of university costs publicly funded</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3EF34F6" w14:textId="77777777" w:rsidR="00784387" w:rsidRPr="0089609D" w:rsidRDefault="00000000">
            <w:pPr>
              <w:spacing w:line="260" w:lineRule="auto"/>
              <w:rPr>
                <w:lang w:val="en-GB"/>
              </w:rPr>
            </w:pPr>
            <w:r w:rsidRPr="0089609D">
              <w:rPr>
                <w:sz w:val="20"/>
                <w:szCs w:val="20"/>
                <w:lang w:val="en-GB"/>
              </w:rPr>
              <w:t>S2 (covariate / moderator for T2)</w:t>
            </w:r>
          </w:p>
        </w:tc>
      </w:tr>
      <w:tr w:rsidR="00784387" w:rsidRPr="007541BA" w14:paraId="029C0E32"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7B066E1" w14:textId="77777777" w:rsidR="00784387" w:rsidRDefault="00000000">
            <w:pPr>
              <w:spacing w:line="260" w:lineRule="auto"/>
            </w:pPr>
            <w:r>
              <w:rPr>
                <w:sz w:val="20"/>
                <w:szCs w:val="20"/>
              </w:rPr>
              <w:t>SPEND_BELIEF</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5678833" w14:textId="77777777" w:rsidR="00784387" w:rsidRPr="0089609D" w:rsidRDefault="00000000">
            <w:pPr>
              <w:spacing w:line="260" w:lineRule="auto"/>
              <w:rPr>
                <w:lang w:val="en-GB"/>
              </w:rPr>
            </w:pPr>
            <w:r w:rsidRPr="0089609D">
              <w:rPr>
                <w:sz w:val="20"/>
                <w:szCs w:val="20"/>
                <w:lang w:val="en-GB"/>
              </w:rPr>
              <w:t>Perceived public spending per student per year</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FE0EAC9" w14:textId="77777777" w:rsidR="00784387" w:rsidRPr="0089609D" w:rsidRDefault="00000000">
            <w:pPr>
              <w:spacing w:line="260" w:lineRule="auto"/>
              <w:rPr>
                <w:lang w:val="en-GB"/>
              </w:rPr>
            </w:pPr>
            <w:r w:rsidRPr="0089609D">
              <w:rPr>
                <w:sz w:val="20"/>
                <w:szCs w:val="20"/>
                <w:lang w:val="en-GB"/>
              </w:rPr>
              <w:t>S2 (covariate / moderator for T2)</w:t>
            </w:r>
          </w:p>
        </w:tc>
      </w:tr>
      <w:tr w:rsidR="00784387" w:rsidRPr="007541BA" w14:paraId="1EA625CF"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7D93A3A" w14:textId="77777777" w:rsidR="00784387" w:rsidRDefault="00000000">
            <w:pPr>
              <w:spacing w:line="260" w:lineRule="auto"/>
            </w:pPr>
            <w:r>
              <w:rPr>
                <w:sz w:val="20"/>
                <w:szCs w:val="20"/>
              </w:rPr>
              <w:t>SHANGHAI_BELIEF</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39BA767" w14:textId="77777777" w:rsidR="00784387" w:rsidRPr="0089609D" w:rsidRDefault="00000000">
            <w:pPr>
              <w:spacing w:line="260" w:lineRule="auto"/>
              <w:rPr>
                <w:lang w:val="en-GB"/>
              </w:rPr>
            </w:pPr>
            <w:r w:rsidRPr="0089609D">
              <w:rPr>
                <w:sz w:val="20"/>
                <w:szCs w:val="20"/>
                <w:lang w:val="en-GB"/>
              </w:rPr>
              <w:t>Perceived number of Spanish universities in the top 500</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571ED37" w14:textId="77777777" w:rsidR="00784387" w:rsidRPr="0089609D" w:rsidRDefault="00000000">
            <w:pPr>
              <w:spacing w:line="260" w:lineRule="auto"/>
              <w:rPr>
                <w:lang w:val="en-GB"/>
              </w:rPr>
            </w:pPr>
            <w:r w:rsidRPr="0089609D">
              <w:rPr>
                <w:sz w:val="20"/>
                <w:szCs w:val="20"/>
                <w:lang w:val="en-GB"/>
              </w:rPr>
              <w:t>Baseline covariate; moderator for T3</w:t>
            </w:r>
          </w:p>
        </w:tc>
      </w:tr>
      <w:tr w:rsidR="00784387" w:rsidRPr="007541BA" w14:paraId="688AFCE6"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7052CF8" w14:textId="77777777" w:rsidR="00784387" w:rsidRDefault="00000000">
            <w:pPr>
              <w:spacing w:line="260" w:lineRule="auto"/>
            </w:pPr>
            <w:r>
              <w:rPr>
                <w:sz w:val="20"/>
                <w:szCs w:val="20"/>
              </w:rPr>
              <w:t>QUALITY_GAP_BELIEF</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C9B1DD4" w14:textId="77777777" w:rsidR="00784387" w:rsidRPr="0089609D" w:rsidRDefault="00000000">
            <w:pPr>
              <w:spacing w:line="260" w:lineRule="auto"/>
              <w:rPr>
                <w:lang w:val="en-GB"/>
              </w:rPr>
            </w:pPr>
            <w:r w:rsidRPr="0089609D">
              <w:rPr>
                <w:sz w:val="20"/>
                <w:szCs w:val="20"/>
                <w:lang w:val="en-GB"/>
              </w:rPr>
              <w:t>Perceived employment gap between best and worst Spanish universities</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5D431E4" w14:textId="77777777" w:rsidR="00784387" w:rsidRPr="0089609D" w:rsidRDefault="00000000">
            <w:pPr>
              <w:spacing w:line="260" w:lineRule="auto"/>
              <w:rPr>
                <w:lang w:val="en-GB"/>
              </w:rPr>
            </w:pPr>
            <w:r w:rsidRPr="0089609D">
              <w:rPr>
                <w:sz w:val="20"/>
                <w:szCs w:val="20"/>
                <w:lang w:val="en-GB"/>
              </w:rPr>
              <w:t>Baseline covariate; moderator for T3</w:t>
            </w:r>
          </w:p>
        </w:tc>
      </w:tr>
      <w:tr w:rsidR="00784387" w:rsidRPr="007541BA" w14:paraId="576AB436"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714F42C" w14:textId="77777777" w:rsidR="00784387" w:rsidRDefault="00000000">
            <w:pPr>
              <w:spacing w:line="260" w:lineRule="auto"/>
            </w:pPr>
            <w:r>
              <w:rPr>
                <w:sz w:val="20"/>
                <w:szCs w:val="20"/>
              </w:rPr>
              <w:t>Y1_PRE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9E8160D" w14:textId="77777777" w:rsidR="00784387" w:rsidRPr="0089609D" w:rsidRDefault="00000000">
            <w:pPr>
              <w:spacing w:line="260" w:lineRule="auto"/>
              <w:rPr>
                <w:lang w:val="en-GB"/>
              </w:rPr>
            </w:pPr>
            <w:r w:rsidRPr="0089609D">
              <w:rPr>
                <w:sz w:val="20"/>
                <w:szCs w:val="20"/>
                <w:lang w:val="en-GB"/>
              </w:rPr>
              <w:t>Pre-treatment support for higher tuition fees</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7A2B0F0" w14:textId="77777777" w:rsidR="00784387" w:rsidRPr="0089609D" w:rsidRDefault="00000000">
            <w:pPr>
              <w:spacing w:line="260" w:lineRule="auto"/>
              <w:rPr>
                <w:lang w:val="en-GB"/>
              </w:rPr>
            </w:pPr>
            <w:r w:rsidRPr="0089609D">
              <w:rPr>
                <w:sz w:val="20"/>
                <w:szCs w:val="20"/>
                <w:lang w:val="en-GB"/>
              </w:rPr>
              <w:t>Pre-treatment primary outcome covariate (ANCOVA)</w:t>
            </w:r>
          </w:p>
        </w:tc>
      </w:tr>
      <w:tr w:rsidR="00784387" w:rsidRPr="007541BA" w14:paraId="5115DA50"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3907155" w14:textId="77777777" w:rsidR="00784387" w:rsidRDefault="00000000">
            <w:pPr>
              <w:spacing w:line="260" w:lineRule="auto"/>
            </w:pPr>
            <w:r>
              <w:rPr>
                <w:sz w:val="20"/>
                <w:szCs w:val="20"/>
              </w:rPr>
              <w:t>Y2_PRE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7588B11" w14:textId="77777777" w:rsidR="00784387" w:rsidRPr="0089609D" w:rsidRDefault="00000000">
            <w:pPr>
              <w:spacing w:line="260" w:lineRule="auto"/>
              <w:rPr>
                <w:lang w:val="en-GB"/>
              </w:rPr>
            </w:pPr>
            <w:r w:rsidRPr="0089609D">
              <w:rPr>
                <w:sz w:val="20"/>
                <w:szCs w:val="20"/>
                <w:lang w:val="en-GB"/>
              </w:rPr>
              <w:t>Pre-treatment support for higher public spending</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ADBE611" w14:textId="77777777" w:rsidR="00784387" w:rsidRPr="0089609D" w:rsidRDefault="00000000">
            <w:pPr>
              <w:spacing w:line="260" w:lineRule="auto"/>
              <w:rPr>
                <w:lang w:val="en-GB"/>
              </w:rPr>
            </w:pPr>
            <w:r w:rsidRPr="0089609D">
              <w:rPr>
                <w:sz w:val="20"/>
                <w:szCs w:val="20"/>
                <w:lang w:val="en-GB"/>
              </w:rPr>
              <w:t>Pre-treatment primary outcome covariate (ANCOVA)</w:t>
            </w:r>
          </w:p>
        </w:tc>
      </w:tr>
    </w:tbl>
    <w:p w14:paraId="4E651B7C" w14:textId="77777777" w:rsidR="00784387" w:rsidRPr="0089609D" w:rsidRDefault="00000000">
      <w:pPr>
        <w:pStyle w:val="Ttulo2"/>
        <w:rPr>
          <w:lang w:val="en-GB"/>
        </w:rPr>
      </w:pPr>
      <w:r w:rsidRPr="0089609D">
        <w:rPr>
          <w:lang w:val="en-GB"/>
        </w:rPr>
        <w:t>B.3 Treatment exposure and manipulation check (Block 3)</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4060"/>
        <w:gridCol w:w="3400"/>
      </w:tblGrid>
      <w:tr w:rsidR="00784387" w14:paraId="6B9627CC" w14:textId="77777777">
        <w:trPr>
          <w:tblHeader/>
        </w:trPr>
        <w:tc>
          <w:tcPr>
            <w:tcW w:w="19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17DC3785" w14:textId="77777777" w:rsidR="00784387" w:rsidRDefault="00000000">
            <w:pPr>
              <w:spacing w:line="260" w:lineRule="auto"/>
            </w:pPr>
            <w:r>
              <w:rPr>
                <w:b/>
                <w:bCs/>
                <w:sz w:val="20"/>
                <w:szCs w:val="20"/>
              </w:rPr>
              <w:t>Variable</w:t>
            </w:r>
          </w:p>
        </w:tc>
        <w:tc>
          <w:tcPr>
            <w:tcW w:w="40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764AAA20" w14:textId="77777777" w:rsidR="00784387" w:rsidRDefault="00000000">
            <w:pPr>
              <w:spacing w:line="260" w:lineRule="auto"/>
            </w:pPr>
            <w:r>
              <w:rPr>
                <w:b/>
                <w:bCs/>
                <w:sz w:val="20"/>
                <w:szCs w:val="20"/>
              </w:rPr>
              <w:t>Description</w:t>
            </w:r>
          </w:p>
        </w:tc>
        <w:tc>
          <w:tcPr>
            <w:tcW w:w="34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296D9266" w14:textId="77777777" w:rsidR="00784387" w:rsidRDefault="00000000">
            <w:pPr>
              <w:spacing w:line="260" w:lineRule="auto"/>
            </w:pPr>
            <w:r>
              <w:rPr>
                <w:b/>
                <w:bCs/>
                <w:sz w:val="20"/>
                <w:szCs w:val="20"/>
              </w:rPr>
              <w:t>Role</w:t>
            </w:r>
          </w:p>
        </w:tc>
      </w:tr>
      <w:tr w:rsidR="00784387" w:rsidRPr="007541BA" w14:paraId="02F59738"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A81A7A7" w14:textId="77777777" w:rsidR="00784387" w:rsidRDefault="00000000">
            <w:pPr>
              <w:spacing w:line="260" w:lineRule="auto"/>
            </w:pPr>
            <w:r>
              <w:rPr>
                <w:sz w:val="20"/>
                <w:szCs w:val="20"/>
              </w:rPr>
              <w:t>TREATMENT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B09BD42" w14:textId="77777777" w:rsidR="00784387" w:rsidRPr="0089609D" w:rsidRDefault="00000000">
            <w:pPr>
              <w:spacing w:line="260" w:lineRule="auto"/>
              <w:rPr>
                <w:lang w:val="en-GB"/>
              </w:rPr>
            </w:pPr>
            <w:r w:rsidRPr="0089609D">
              <w:rPr>
                <w:sz w:val="20"/>
                <w:szCs w:val="20"/>
                <w:lang w:val="en-GB"/>
              </w:rPr>
              <w:t>Assigned arm (Control, T1, T2, T3, T4)</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FAE761A" w14:textId="77777777" w:rsidR="00784387" w:rsidRPr="0089609D" w:rsidRDefault="00000000">
            <w:pPr>
              <w:spacing w:line="260" w:lineRule="auto"/>
              <w:rPr>
                <w:lang w:val="en-GB"/>
              </w:rPr>
            </w:pPr>
            <w:r w:rsidRPr="0089609D">
              <w:rPr>
                <w:sz w:val="20"/>
                <w:szCs w:val="20"/>
                <w:lang w:val="en-GB"/>
              </w:rPr>
              <w:t>Treatment indicator (causal variable of interest)</w:t>
            </w:r>
          </w:p>
        </w:tc>
      </w:tr>
      <w:tr w:rsidR="00784387" w14:paraId="6D5069B4"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2B6F5AB" w14:textId="77777777" w:rsidR="00784387" w:rsidRDefault="00000000">
            <w:pPr>
              <w:spacing w:line="260" w:lineRule="auto"/>
            </w:pPr>
            <w:r>
              <w:rPr>
                <w:sz w:val="20"/>
                <w:szCs w:val="20"/>
              </w:rPr>
              <w:t>MC_CORRECT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FFB6F0C" w14:textId="77777777" w:rsidR="00784387" w:rsidRPr="0089609D" w:rsidRDefault="00000000">
            <w:pPr>
              <w:spacing w:line="260" w:lineRule="auto"/>
              <w:rPr>
                <w:lang w:val="en-GB"/>
              </w:rPr>
            </w:pPr>
            <w:r w:rsidRPr="0089609D">
              <w:rPr>
                <w:sz w:val="20"/>
                <w:szCs w:val="20"/>
                <w:lang w:val="en-GB"/>
              </w:rPr>
              <w:t>Correct identification of treatment content (T1 to T4 only)</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BE00C9B" w14:textId="77777777" w:rsidR="00784387" w:rsidRDefault="00000000">
            <w:pPr>
              <w:spacing w:line="260" w:lineRule="auto"/>
            </w:pPr>
            <w:r>
              <w:rPr>
                <w:sz w:val="20"/>
                <w:szCs w:val="20"/>
              </w:rPr>
              <w:t>Robustness sample restriction</w:t>
            </w:r>
          </w:p>
        </w:tc>
      </w:tr>
    </w:tbl>
    <w:p w14:paraId="40F3FE99" w14:textId="77777777" w:rsidR="00784387" w:rsidRPr="0089609D" w:rsidRDefault="00000000">
      <w:pPr>
        <w:pStyle w:val="Ttulo2"/>
        <w:rPr>
          <w:lang w:val="en-GB"/>
        </w:rPr>
      </w:pPr>
      <w:r w:rsidRPr="0089609D">
        <w:rPr>
          <w:lang w:val="en-GB"/>
        </w:rPr>
        <w:t>B.4 Post-treatment primary outcomes (Block 4)</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4060"/>
        <w:gridCol w:w="3400"/>
      </w:tblGrid>
      <w:tr w:rsidR="00784387" w14:paraId="30AEF60C" w14:textId="77777777">
        <w:trPr>
          <w:tblHeader/>
        </w:trPr>
        <w:tc>
          <w:tcPr>
            <w:tcW w:w="19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B7B161C" w14:textId="77777777" w:rsidR="00784387" w:rsidRDefault="00000000">
            <w:pPr>
              <w:spacing w:line="260" w:lineRule="auto"/>
            </w:pPr>
            <w:r>
              <w:rPr>
                <w:b/>
                <w:bCs/>
                <w:sz w:val="20"/>
                <w:szCs w:val="20"/>
              </w:rPr>
              <w:t>Variable</w:t>
            </w:r>
          </w:p>
        </w:tc>
        <w:tc>
          <w:tcPr>
            <w:tcW w:w="40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C0C2AE7" w14:textId="77777777" w:rsidR="00784387" w:rsidRDefault="00000000">
            <w:pPr>
              <w:spacing w:line="260" w:lineRule="auto"/>
            </w:pPr>
            <w:r>
              <w:rPr>
                <w:b/>
                <w:bCs/>
                <w:sz w:val="20"/>
                <w:szCs w:val="20"/>
              </w:rPr>
              <w:t>Description</w:t>
            </w:r>
          </w:p>
        </w:tc>
        <w:tc>
          <w:tcPr>
            <w:tcW w:w="34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29D6CE24" w14:textId="77777777" w:rsidR="00784387" w:rsidRDefault="00000000">
            <w:pPr>
              <w:spacing w:line="260" w:lineRule="auto"/>
            </w:pPr>
            <w:r>
              <w:rPr>
                <w:b/>
                <w:bCs/>
                <w:sz w:val="20"/>
                <w:szCs w:val="20"/>
              </w:rPr>
              <w:t>Role</w:t>
            </w:r>
          </w:p>
        </w:tc>
      </w:tr>
      <w:tr w:rsidR="00784387" w14:paraId="40B45387"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3220253" w14:textId="77777777" w:rsidR="00784387" w:rsidRDefault="00000000">
            <w:pPr>
              <w:spacing w:line="260" w:lineRule="auto"/>
            </w:pPr>
            <w:r>
              <w:rPr>
                <w:sz w:val="20"/>
                <w:szCs w:val="20"/>
              </w:rPr>
              <w:t>Y1_POST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AC00D70" w14:textId="77777777" w:rsidR="00784387" w:rsidRPr="0089609D" w:rsidRDefault="00000000">
            <w:pPr>
              <w:spacing w:line="260" w:lineRule="auto"/>
              <w:rPr>
                <w:lang w:val="en-GB"/>
              </w:rPr>
            </w:pPr>
            <w:r w:rsidRPr="0089609D">
              <w:rPr>
                <w:sz w:val="20"/>
                <w:szCs w:val="20"/>
                <w:lang w:val="en-GB"/>
              </w:rPr>
              <w:t>Post-treatment support for higher tuition fees</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4D028A7" w14:textId="77777777" w:rsidR="00784387" w:rsidRDefault="00000000">
            <w:pPr>
              <w:spacing w:line="260" w:lineRule="auto"/>
            </w:pPr>
            <w:r>
              <w:rPr>
                <w:sz w:val="20"/>
                <w:szCs w:val="20"/>
              </w:rPr>
              <w:t>PRIMARY OUTCOME Y1</w:t>
            </w:r>
          </w:p>
        </w:tc>
      </w:tr>
      <w:tr w:rsidR="00784387" w14:paraId="4AFE5F83"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0F5391C" w14:textId="77777777" w:rsidR="00784387" w:rsidRDefault="00000000">
            <w:pPr>
              <w:spacing w:line="260" w:lineRule="auto"/>
            </w:pPr>
            <w:r>
              <w:rPr>
                <w:sz w:val="20"/>
                <w:szCs w:val="20"/>
              </w:rPr>
              <w:t>Y2_POST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A9CC38F" w14:textId="77777777" w:rsidR="00784387" w:rsidRPr="0089609D" w:rsidRDefault="00000000">
            <w:pPr>
              <w:spacing w:line="260" w:lineRule="auto"/>
              <w:rPr>
                <w:lang w:val="en-GB"/>
              </w:rPr>
            </w:pPr>
            <w:r w:rsidRPr="0089609D">
              <w:rPr>
                <w:sz w:val="20"/>
                <w:szCs w:val="20"/>
                <w:lang w:val="en-GB"/>
              </w:rPr>
              <w:t>Post-treatment support for higher public spending</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B071D5E" w14:textId="77777777" w:rsidR="00784387" w:rsidRDefault="00000000">
            <w:pPr>
              <w:spacing w:line="260" w:lineRule="auto"/>
            </w:pPr>
            <w:r>
              <w:rPr>
                <w:sz w:val="20"/>
                <w:szCs w:val="20"/>
              </w:rPr>
              <w:t>PRIMARY OUTCOME Y2</w:t>
            </w:r>
          </w:p>
        </w:tc>
      </w:tr>
      <w:tr w:rsidR="00784387" w:rsidRPr="007541BA" w14:paraId="4544D6CA"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BA2FF8E" w14:textId="77777777" w:rsidR="00784387" w:rsidRDefault="00000000">
            <w:pPr>
              <w:spacing w:line="260" w:lineRule="auto"/>
            </w:pPr>
            <w:r>
              <w:rPr>
                <w:sz w:val="20"/>
                <w:szCs w:val="20"/>
              </w:rPr>
              <w:t>ACCOUNT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732B1B1" w14:textId="77777777" w:rsidR="00784387" w:rsidRPr="0089609D" w:rsidRDefault="00000000">
            <w:pPr>
              <w:spacing w:line="260" w:lineRule="auto"/>
              <w:rPr>
                <w:lang w:val="en-GB"/>
              </w:rPr>
            </w:pPr>
            <w:r w:rsidRPr="0089609D">
              <w:rPr>
                <w:sz w:val="20"/>
                <w:szCs w:val="20"/>
                <w:lang w:val="en-GB"/>
              </w:rPr>
              <w:t>Accountability with budget consequences (binarised)</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ED7BB9A" w14:textId="77777777" w:rsidR="00784387" w:rsidRPr="0089609D" w:rsidRDefault="00000000">
            <w:pPr>
              <w:spacing w:line="260" w:lineRule="auto"/>
              <w:rPr>
                <w:lang w:val="en-GB"/>
              </w:rPr>
            </w:pPr>
            <w:r w:rsidRPr="0089609D">
              <w:rPr>
                <w:sz w:val="20"/>
                <w:szCs w:val="20"/>
                <w:lang w:val="en-GB"/>
              </w:rPr>
              <w:t>PRIMARY OUTCOME for T3 (S4)</w:t>
            </w:r>
          </w:p>
        </w:tc>
      </w:tr>
      <w:tr w:rsidR="00784387" w:rsidRPr="007541BA" w14:paraId="25C10026" w14:textId="77777777">
        <w:tc>
          <w:tcPr>
            <w:tcW w:w="19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CF0E709" w14:textId="77777777" w:rsidR="00784387" w:rsidRDefault="00000000">
            <w:pPr>
              <w:spacing w:line="260" w:lineRule="auto"/>
            </w:pPr>
            <w:r>
              <w:rPr>
                <w:sz w:val="20"/>
                <w:szCs w:val="20"/>
              </w:rPr>
              <w:t>PRIORITY</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0DC3470" w14:textId="77777777" w:rsidR="00784387" w:rsidRPr="0089609D" w:rsidRDefault="00000000">
            <w:pPr>
              <w:spacing w:line="260" w:lineRule="auto"/>
              <w:rPr>
                <w:lang w:val="en-GB"/>
              </w:rPr>
            </w:pPr>
            <w:r w:rsidRPr="0089609D">
              <w:rPr>
                <w:sz w:val="20"/>
                <w:szCs w:val="20"/>
                <w:lang w:val="en-GB"/>
              </w:rPr>
              <w:t>Priority destination for additional public spending</w:t>
            </w:r>
          </w:p>
        </w:tc>
        <w:tc>
          <w:tcPr>
            <w:tcW w:w="3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AD48361" w14:textId="77777777" w:rsidR="00784387" w:rsidRPr="0089609D" w:rsidRDefault="00000000">
            <w:pPr>
              <w:spacing w:line="260" w:lineRule="auto"/>
              <w:rPr>
                <w:lang w:val="en-GB"/>
              </w:rPr>
            </w:pPr>
            <w:r w:rsidRPr="0089609D">
              <w:rPr>
                <w:sz w:val="20"/>
                <w:szCs w:val="20"/>
                <w:lang w:val="en-GB"/>
              </w:rPr>
              <w:t>PRIMARY OUTCOME for T3 (S4)</w:t>
            </w:r>
          </w:p>
        </w:tc>
      </w:tr>
    </w:tbl>
    <w:p w14:paraId="782F7875" w14:textId="77777777" w:rsidR="00784387" w:rsidRPr="0089609D" w:rsidRDefault="00000000">
      <w:pPr>
        <w:pStyle w:val="Ttulo2"/>
        <w:rPr>
          <w:lang w:val="en-GB"/>
        </w:rPr>
      </w:pPr>
      <w:r w:rsidRPr="0089609D">
        <w:rPr>
          <w:lang w:val="en-GB"/>
        </w:rPr>
        <w:t>B.5 Secondary and exploratory outcomes (Block 4)</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8"/>
        <w:gridCol w:w="4000"/>
        <w:gridCol w:w="3252"/>
      </w:tblGrid>
      <w:tr w:rsidR="00784387" w14:paraId="5B2A28DF" w14:textId="77777777">
        <w:trPr>
          <w:tblHeader/>
        </w:trPr>
        <w:tc>
          <w:tcPr>
            <w:tcW w:w="2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502D2BB8" w14:textId="77777777" w:rsidR="00784387" w:rsidRDefault="00000000">
            <w:pPr>
              <w:spacing w:line="260" w:lineRule="auto"/>
            </w:pPr>
            <w:r>
              <w:rPr>
                <w:b/>
                <w:bCs/>
                <w:sz w:val="20"/>
                <w:szCs w:val="20"/>
              </w:rPr>
              <w:t>Variable</w:t>
            </w:r>
          </w:p>
        </w:tc>
        <w:tc>
          <w:tcPr>
            <w:tcW w:w="40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6FF31E90" w14:textId="77777777" w:rsidR="00784387" w:rsidRDefault="00000000">
            <w:pPr>
              <w:spacing w:line="260" w:lineRule="auto"/>
            </w:pPr>
            <w:r>
              <w:rPr>
                <w:b/>
                <w:bCs/>
                <w:sz w:val="20"/>
                <w:szCs w:val="20"/>
              </w:rPr>
              <w:t>Description</w:t>
            </w:r>
          </w:p>
        </w:tc>
        <w:tc>
          <w:tcPr>
            <w:tcW w:w="33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5CE869A8" w14:textId="77777777" w:rsidR="00784387" w:rsidRDefault="00000000">
            <w:pPr>
              <w:spacing w:line="260" w:lineRule="auto"/>
            </w:pPr>
            <w:r>
              <w:rPr>
                <w:b/>
                <w:bCs/>
                <w:sz w:val="20"/>
                <w:szCs w:val="20"/>
              </w:rPr>
              <w:t>Role</w:t>
            </w:r>
          </w:p>
        </w:tc>
      </w:tr>
      <w:tr w:rsidR="00784387" w14:paraId="4FAA11DE"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B6EE0DA" w14:textId="77777777" w:rsidR="00784387" w:rsidRDefault="00000000">
            <w:pPr>
              <w:spacing w:line="260" w:lineRule="auto"/>
            </w:pPr>
            <w:r>
              <w:rPr>
                <w:sz w:val="20"/>
                <w:szCs w:val="20"/>
              </w:rPr>
              <w:t>WTP</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7B51656" w14:textId="77777777" w:rsidR="00784387" w:rsidRPr="0089609D" w:rsidRDefault="00000000">
            <w:pPr>
              <w:spacing w:line="260" w:lineRule="auto"/>
              <w:rPr>
                <w:lang w:val="en-GB"/>
              </w:rPr>
            </w:pPr>
            <w:r w:rsidRPr="0089609D">
              <w:rPr>
                <w:sz w:val="20"/>
                <w:szCs w:val="20"/>
                <w:lang w:val="en-GB"/>
              </w:rPr>
              <w:t>Willingness to pay per year (six ordered categories)</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926C6EC" w14:textId="77777777" w:rsidR="00784387" w:rsidRDefault="00000000">
            <w:pPr>
              <w:spacing w:line="260" w:lineRule="auto"/>
            </w:pPr>
            <w:r>
              <w:rPr>
                <w:sz w:val="20"/>
                <w:szCs w:val="20"/>
              </w:rPr>
              <w:t>Secondary outcome (S5)</w:t>
            </w:r>
          </w:p>
        </w:tc>
      </w:tr>
      <w:tr w:rsidR="00784387" w:rsidRPr="007541BA" w14:paraId="13FDDEAB"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A7C4C16" w14:textId="77777777" w:rsidR="00784387" w:rsidRDefault="00000000">
            <w:pPr>
              <w:spacing w:line="260" w:lineRule="auto"/>
            </w:pPr>
            <w:r>
              <w:rPr>
                <w:sz w:val="20"/>
                <w:szCs w:val="20"/>
              </w:rPr>
              <w:t>FAIR_MATRIX</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D7FCB0D" w14:textId="77777777" w:rsidR="00784387" w:rsidRPr="0089609D" w:rsidRDefault="00000000">
            <w:pPr>
              <w:spacing w:line="260" w:lineRule="auto"/>
              <w:rPr>
                <w:lang w:val="en-GB"/>
              </w:rPr>
            </w:pPr>
            <w:r w:rsidRPr="0089609D">
              <w:rPr>
                <w:sz w:val="20"/>
                <w:szCs w:val="20"/>
                <w:lang w:val="en-GB"/>
              </w:rPr>
              <w:t>5 by 5 Likert: rating of five financing systems</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A9D6A25" w14:textId="77777777" w:rsidR="00784387" w:rsidRPr="0089609D" w:rsidRDefault="00000000">
            <w:pPr>
              <w:spacing w:line="260" w:lineRule="auto"/>
              <w:rPr>
                <w:lang w:val="en-GB"/>
              </w:rPr>
            </w:pPr>
            <w:r w:rsidRPr="0089609D">
              <w:rPr>
                <w:sz w:val="20"/>
                <w:szCs w:val="20"/>
                <w:lang w:val="en-GB"/>
              </w:rPr>
              <w:t>Secondary outcome (S3); mechanism for T4</w:t>
            </w:r>
          </w:p>
        </w:tc>
      </w:tr>
      <w:tr w:rsidR="00784387" w:rsidRPr="007541BA" w14:paraId="6D6B590B"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D53F5B4" w14:textId="77777777" w:rsidR="00784387" w:rsidRDefault="00000000">
            <w:pPr>
              <w:spacing w:line="260" w:lineRule="auto"/>
            </w:pPr>
            <w:r>
              <w:rPr>
                <w:sz w:val="20"/>
                <w:szCs w:val="20"/>
              </w:rPr>
              <w:t>MOST_JUST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905BAFA" w14:textId="77777777" w:rsidR="00784387" w:rsidRPr="0089609D" w:rsidRDefault="00000000">
            <w:pPr>
              <w:spacing w:line="260" w:lineRule="auto"/>
              <w:rPr>
                <w:lang w:val="en-GB"/>
              </w:rPr>
            </w:pPr>
            <w:r w:rsidRPr="0089609D">
              <w:rPr>
                <w:sz w:val="20"/>
                <w:szCs w:val="20"/>
                <w:lang w:val="en-GB"/>
              </w:rPr>
              <w:t>Most socially just system (categorical)</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BE2F8B1" w14:textId="77777777" w:rsidR="00784387" w:rsidRPr="0089609D" w:rsidRDefault="00000000">
            <w:pPr>
              <w:spacing w:line="260" w:lineRule="auto"/>
              <w:rPr>
                <w:lang w:val="en-GB"/>
              </w:rPr>
            </w:pPr>
            <w:r w:rsidRPr="0089609D">
              <w:rPr>
                <w:sz w:val="20"/>
                <w:szCs w:val="20"/>
                <w:lang w:val="en-GB"/>
              </w:rPr>
              <w:t>Secondary outcome (S3); mechanism for T4</w:t>
            </w:r>
          </w:p>
        </w:tc>
      </w:tr>
      <w:tr w:rsidR="00784387" w:rsidRPr="007541BA" w14:paraId="587127D8"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A43E46B" w14:textId="77777777" w:rsidR="00784387" w:rsidRDefault="00000000">
            <w:pPr>
              <w:spacing w:line="260" w:lineRule="auto"/>
            </w:pPr>
            <w:r>
              <w:rPr>
                <w:sz w:val="20"/>
                <w:szCs w:val="20"/>
              </w:rPr>
              <w:t>EARN_NUMERIC_POST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99ECC97" w14:textId="77777777" w:rsidR="00784387" w:rsidRPr="0089609D" w:rsidRDefault="00000000">
            <w:pPr>
              <w:spacing w:line="260" w:lineRule="auto"/>
              <w:rPr>
                <w:lang w:val="en-GB"/>
              </w:rPr>
            </w:pPr>
            <w:r w:rsidRPr="0089609D">
              <w:rPr>
                <w:sz w:val="20"/>
                <w:szCs w:val="20"/>
                <w:lang w:val="en-GB"/>
              </w:rPr>
              <w:t>Post-treatment numerical earnings estimate (T1, Control only)</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C1B9007" w14:textId="77777777" w:rsidR="00784387" w:rsidRPr="0089609D" w:rsidRDefault="00000000">
            <w:pPr>
              <w:spacing w:line="260" w:lineRule="auto"/>
              <w:rPr>
                <w:lang w:val="en-GB"/>
              </w:rPr>
            </w:pPr>
            <w:r w:rsidRPr="0089609D">
              <w:rPr>
                <w:sz w:val="20"/>
                <w:szCs w:val="20"/>
                <w:lang w:val="en-GB"/>
              </w:rPr>
              <w:t>S1 component (belief updating for T1)</w:t>
            </w:r>
          </w:p>
        </w:tc>
      </w:tr>
      <w:tr w:rsidR="00784387" w14:paraId="08FFED20"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812785E" w14:textId="77777777" w:rsidR="00784387" w:rsidRDefault="00000000">
            <w:pPr>
              <w:spacing w:line="260" w:lineRule="auto"/>
            </w:pPr>
            <w:r>
              <w:rPr>
                <w:sz w:val="20"/>
                <w:szCs w:val="20"/>
              </w:rPr>
              <w:t>TEACH_QUAL</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7A05B08" w14:textId="77777777" w:rsidR="00784387" w:rsidRDefault="00000000">
            <w:pPr>
              <w:spacing w:line="260" w:lineRule="auto"/>
            </w:pPr>
            <w:r>
              <w:rPr>
                <w:sz w:val="20"/>
                <w:szCs w:val="20"/>
              </w:rPr>
              <w:t>Opinion on teaching quality</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DD1142D" w14:textId="77777777" w:rsidR="00784387" w:rsidRDefault="00000000">
            <w:pPr>
              <w:spacing w:line="260" w:lineRule="auto"/>
            </w:pPr>
            <w:r>
              <w:rPr>
                <w:sz w:val="20"/>
                <w:szCs w:val="20"/>
              </w:rPr>
              <w:t>Exploratory</w:t>
            </w:r>
          </w:p>
        </w:tc>
      </w:tr>
      <w:tr w:rsidR="00784387" w14:paraId="6618D37B"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D3891F5" w14:textId="77777777" w:rsidR="00784387" w:rsidRDefault="00000000">
            <w:pPr>
              <w:spacing w:line="260" w:lineRule="auto"/>
            </w:pPr>
            <w:r>
              <w:rPr>
                <w:sz w:val="20"/>
                <w:szCs w:val="20"/>
              </w:rPr>
              <w:t>RES_QUAL</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E4439B8" w14:textId="77777777" w:rsidR="00784387" w:rsidRDefault="00000000">
            <w:pPr>
              <w:spacing w:line="260" w:lineRule="auto"/>
            </w:pPr>
            <w:r>
              <w:rPr>
                <w:sz w:val="20"/>
                <w:szCs w:val="20"/>
              </w:rPr>
              <w:t>Opinion on research quality</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7A674040" w14:textId="77777777" w:rsidR="00784387" w:rsidRDefault="00000000">
            <w:pPr>
              <w:spacing w:line="260" w:lineRule="auto"/>
            </w:pPr>
            <w:r>
              <w:rPr>
                <w:sz w:val="20"/>
                <w:szCs w:val="20"/>
              </w:rPr>
              <w:t>Exploratory</w:t>
            </w:r>
          </w:p>
        </w:tc>
      </w:tr>
      <w:tr w:rsidR="00784387" w14:paraId="2917EA40"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175F5D1" w14:textId="77777777" w:rsidR="00784387" w:rsidRDefault="00000000">
            <w:pPr>
              <w:spacing w:line="260" w:lineRule="auto"/>
            </w:pPr>
            <w:r>
              <w:rPr>
                <w:sz w:val="20"/>
                <w:szCs w:val="20"/>
              </w:rPr>
              <w:t>EMPL_ENH</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5642E7E" w14:textId="77777777" w:rsidR="00784387" w:rsidRDefault="00000000">
            <w:pPr>
              <w:spacing w:line="260" w:lineRule="auto"/>
            </w:pPr>
            <w:r>
              <w:rPr>
                <w:sz w:val="20"/>
                <w:szCs w:val="20"/>
              </w:rPr>
              <w:t>Perceived employment enhancement effect</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F5849E6" w14:textId="77777777" w:rsidR="00784387" w:rsidRDefault="00000000">
            <w:pPr>
              <w:spacing w:line="260" w:lineRule="auto"/>
            </w:pPr>
            <w:r>
              <w:rPr>
                <w:sz w:val="20"/>
                <w:szCs w:val="20"/>
              </w:rPr>
              <w:t>Exploratory</w:t>
            </w:r>
          </w:p>
        </w:tc>
      </w:tr>
      <w:tr w:rsidR="00784387" w14:paraId="17ABEAF1"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5827018" w14:textId="77777777" w:rsidR="00784387" w:rsidRDefault="00000000">
            <w:pPr>
              <w:spacing w:line="260" w:lineRule="auto"/>
            </w:pPr>
            <w:r>
              <w:rPr>
                <w:sz w:val="20"/>
                <w:szCs w:val="20"/>
              </w:rPr>
              <w:t>SOCIETAL_GOALS</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8131033" w14:textId="77777777" w:rsidR="00784387" w:rsidRPr="0089609D" w:rsidRDefault="00000000">
            <w:pPr>
              <w:spacing w:line="260" w:lineRule="auto"/>
              <w:rPr>
                <w:lang w:val="en-GB"/>
              </w:rPr>
            </w:pPr>
            <w:r w:rsidRPr="0089609D">
              <w:rPr>
                <w:sz w:val="20"/>
                <w:szCs w:val="20"/>
                <w:lang w:val="en-GB"/>
              </w:rPr>
              <w:t>0 to 10 contribution to five societal goals</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1E61594F" w14:textId="77777777" w:rsidR="00784387" w:rsidRDefault="00000000">
            <w:pPr>
              <w:spacing w:line="260" w:lineRule="auto"/>
            </w:pPr>
            <w:r>
              <w:rPr>
                <w:sz w:val="20"/>
                <w:szCs w:val="20"/>
              </w:rPr>
              <w:t>Exploratory</w:t>
            </w:r>
          </w:p>
        </w:tc>
      </w:tr>
      <w:tr w:rsidR="00784387" w14:paraId="5F34B25E"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960DEB7" w14:textId="77777777" w:rsidR="00784387" w:rsidRDefault="00000000">
            <w:pPr>
              <w:spacing w:line="260" w:lineRule="auto"/>
            </w:pPr>
            <w:r>
              <w:rPr>
                <w:sz w:val="20"/>
                <w:szCs w:val="20"/>
              </w:rPr>
              <w:t>EU_COMPARE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44CF10A" w14:textId="77777777" w:rsidR="00784387" w:rsidRPr="0089609D" w:rsidRDefault="00000000">
            <w:pPr>
              <w:spacing w:line="260" w:lineRule="auto"/>
              <w:rPr>
                <w:lang w:val="en-GB"/>
              </w:rPr>
            </w:pPr>
            <w:r w:rsidRPr="0089609D">
              <w:rPr>
                <w:sz w:val="20"/>
                <w:szCs w:val="20"/>
                <w:lang w:val="en-GB"/>
              </w:rPr>
              <w:t>Comparison with the EU average</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6C7EF51" w14:textId="77777777" w:rsidR="00784387" w:rsidRDefault="00000000">
            <w:pPr>
              <w:spacing w:line="260" w:lineRule="auto"/>
            </w:pPr>
            <w:r>
              <w:rPr>
                <w:sz w:val="20"/>
                <w:szCs w:val="20"/>
              </w:rPr>
              <w:t>Exploratory</w:t>
            </w:r>
          </w:p>
        </w:tc>
      </w:tr>
      <w:tr w:rsidR="00784387" w14:paraId="500E060F"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3ABA5FB" w14:textId="77777777" w:rsidR="00784387" w:rsidRDefault="00000000">
            <w:pPr>
              <w:spacing w:line="260" w:lineRule="auto"/>
            </w:pPr>
            <w:r>
              <w:rPr>
                <w:sz w:val="20"/>
                <w:szCs w:val="20"/>
              </w:rPr>
              <w:t>EARN_CHANGE</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B0B3BE3" w14:textId="77777777" w:rsidR="00784387" w:rsidRPr="0089609D" w:rsidRDefault="00000000">
            <w:pPr>
              <w:spacing w:line="260" w:lineRule="auto"/>
              <w:rPr>
                <w:lang w:val="en-GB"/>
              </w:rPr>
            </w:pPr>
            <w:r w:rsidRPr="0089609D">
              <w:rPr>
                <w:sz w:val="20"/>
                <w:szCs w:val="20"/>
                <w:lang w:val="en-GB"/>
              </w:rPr>
              <w:t>Qualitative change in earnings perception</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9056C07" w14:textId="77777777" w:rsidR="00784387" w:rsidRDefault="00000000">
            <w:pPr>
              <w:spacing w:line="260" w:lineRule="auto"/>
            </w:pPr>
            <w:r>
              <w:rPr>
                <w:sz w:val="20"/>
                <w:szCs w:val="20"/>
              </w:rPr>
              <w:t>Exploratory</w:t>
            </w:r>
          </w:p>
        </w:tc>
      </w:tr>
      <w:tr w:rsidR="00784387" w14:paraId="0F75CD3B"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50B4C29" w14:textId="77777777" w:rsidR="00784387" w:rsidRDefault="00000000">
            <w:pPr>
              <w:spacing w:line="260" w:lineRule="auto"/>
            </w:pPr>
            <w:r>
              <w:rPr>
                <w:sz w:val="20"/>
                <w:szCs w:val="20"/>
              </w:rPr>
              <w:t>EDU_SAT</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5D758B26" w14:textId="77777777" w:rsidR="00784387" w:rsidRDefault="00000000">
            <w:pPr>
              <w:spacing w:line="260" w:lineRule="auto"/>
            </w:pPr>
            <w:r>
              <w:rPr>
                <w:sz w:val="20"/>
                <w:szCs w:val="20"/>
              </w:rPr>
              <w:t>Educational satisfaction (branched)</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1680ADF" w14:textId="77777777" w:rsidR="00784387" w:rsidRDefault="00000000">
            <w:pPr>
              <w:spacing w:line="260" w:lineRule="auto"/>
            </w:pPr>
            <w:r>
              <w:rPr>
                <w:sz w:val="20"/>
                <w:szCs w:val="20"/>
              </w:rPr>
              <w:t>Exploratory covariate</w:t>
            </w:r>
          </w:p>
        </w:tc>
      </w:tr>
    </w:tbl>
    <w:p w14:paraId="354EF719" w14:textId="77777777" w:rsidR="00784387" w:rsidRDefault="00000000">
      <w:pPr>
        <w:pStyle w:val="Ttulo2"/>
      </w:pPr>
      <w:r>
        <w:t>B.6 Quality controls (Block 4)</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4060"/>
        <w:gridCol w:w="3300"/>
      </w:tblGrid>
      <w:tr w:rsidR="00784387" w14:paraId="06DB79FD" w14:textId="77777777">
        <w:trPr>
          <w:tblHeader/>
        </w:trPr>
        <w:tc>
          <w:tcPr>
            <w:tcW w:w="20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316A54EF" w14:textId="77777777" w:rsidR="00784387" w:rsidRDefault="00000000">
            <w:pPr>
              <w:spacing w:line="260" w:lineRule="auto"/>
            </w:pPr>
            <w:r>
              <w:rPr>
                <w:b/>
                <w:bCs/>
                <w:sz w:val="20"/>
                <w:szCs w:val="20"/>
              </w:rPr>
              <w:t>Variable</w:t>
            </w:r>
          </w:p>
        </w:tc>
        <w:tc>
          <w:tcPr>
            <w:tcW w:w="406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574924A9" w14:textId="77777777" w:rsidR="00784387" w:rsidRDefault="00000000">
            <w:pPr>
              <w:spacing w:line="260" w:lineRule="auto"/>
            </w:pPr>
            <w:r>
              <w:rPr>
                <w:b/>
                <w:bCs/>
                <w:sz w:val="20"/>
                <w:szCs w:val="20"/>
              </w:rPr>
              <w:t>Description</w:t>
            </w:r>
          </w:p>
        </w:tc>
        <w:tc>
          <w:tcPr>
            <w:tcW w:w="3300" w:type="dxa"/>
            <w:tcBorders>
              <w:top w:val="single" w:sz="4" w:space="0" w:color="BFBFBF"/>
              <w:left w:val="single" w:sz="4" w:space="0" w:color="BFBFBF"/>
              <w:bottom w:val="single" w:sz="4" w:space="0" w:color="BFBFBF"/>
              <w:right w:val="single" w:sz="4" w:space="0" w:color="BFBFBF"/>
            </w:tcBorders>
            <w:shd w:val="clear" w:color="auto" w:fill="D9E2F3"/>
            <w:tcMar>
              <w:top w:w="80" w:type="dxa"/>
              <w:left w:w="120" w:type="dxa"/>
              <w:bottom w:w="80" w:type="dxa"/>
              <w:right w:w="120" w:type="dxa"/>
            </w:tcMar>
          </w:tcPr>
          <w:p w14:paraId="2C1042B2" w14:textId="77777777" w:rsidR="00784387" w:rsidRDefault="00000000">
            <w:pPr>
              <w:spacing w:line="260" w:lineRule="auto"/>
            </w:pPr>
            <w:r>
              <w:rPr>
                <w:b/>
                <w:bCs/>
                <w:sz w:val="20"/>
                <w:szCs w:val="20"/>
              </w:rPr>
              <w:t>Role</w:t>
            </w:r>
          </w:p>
        </w:tc>
      </w:tr>
      <w:tr w:rsidR="00784387" w:rsidRPr="007541BA" w14:paraId="3232EDEA"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CE391CA" w14:textId="77777777" w:rsidR="00784387" w:rsidRDefault="00000000">
            <w:pPr>
              <w:spacing w:line="260" w:lineRule="auto"/>
            </w:pPr>
            <w:r>
              <w:rPr>
                <w:sz w:val="20"/>
                <w:szCs w:val="20"/>
              </w:rPr>
              <w:t>AC_PASS</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15CB2AC" w14:textId="77777777" w:rsidR="00784387" w:rsidRPr="0089609D" w:rsidRDefault="00000000">
            <w:pPr>
              <w:spacing w:line="260" w:lineRule="auto"/>
              <w:rPr>
                <w:lang w:val="en-GB"/>
              </w:rPr>
            </w:pPr>
            <w:r>
              <w:t>Attention check</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C3F447B" w14:textId="77777777" w:rsidR="00784387" w:rsidRPr="0089609D" w:rsidRDefault="00000000">
            <w:pPr>
              <w:spacing w:line="260" w:lineRule="auto"/>
              <w:rPr>
                <w:lang w:val="en-GB"/>
              </w:rPr>
            </w:pPr>
            <w:r>
              <w:t>Primary sample restriction (AC_PASS=1); robustness includes failures</w:t>
            </w:r>
          </w:p>
        </w:tc>
      </w:tr>
      <w:tr w:rsidR="00784387" w:rsidRPr="007541BA" w14:paraId="76CA5524"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6DDEB91" w14:textId="77777777" w:rsidR="00784387" w:rsidRDefault="00000000">
            <w:pPr>
              <w:spacing w:line="260" w:lineRule="auto"/>
            </w:pPr>
            <w:r>
              <w:rPr>
                <w:sz w:val="20"/>
                <w:szCs w:val="20"/>
              </w:rPr>
              <w:t>DURATION_SR</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6AA31767" w14:textId="77777777" w:rsidR="00784387" w:rsidRDefault="00000000">
            <w:pPr>
              <w:spacing w:line="260" w:lineRule="auto"/>
            </w:pPr>
            <w:r>
              <w:rPr>
                <w:sz w:val="20"/>
                <w:szCs w:val="20"/>
              </w:rPr>
              <w:t>Self-reported survey duration</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0DC5C2AE" w14:textId="77777777" w:rsidR="00784387" w:rsidRPr="0089609D" w:rsidRDefault="00000000">
            <w:pPr>
              <w:spacing w:line="260" w:lineRule="auto"/>
              <w:rPr>
                <w:lang w:val="en-GB"/>
              </w:rPr>
            </w:pPr>
            <w:r w:rsidRPr="0089609D">
              <w:rPr>
                <w:sz w:val="20"/>
                <w:szCs w:val="20"/>
                <w:lang w:val="en-GB"/>
              </w:rPr>
              <w:t>Quality control (robustness sample restriction)</w:t>
            </w:r>
          </w:p>
        </w:tc>
      </w:tr>
      <w:tr w:rsidR="00784387" w14:paraId="69460402" w14:textId="77777777">
        <w:tc>
          <w:tcPr>
            <w:tcW w:w="20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B312E4E" w14:textId="77777777" w:rsidR="00784387" w:rsidRDefault="00000000">
            <w:pPr>
              <w:spacing w:line="260" w:lineRule="auto"/>
            </w:pPr>
            <w:r>
              <w:rPr>
                <w:sz w:val="20"/>
                <w:szCs w:val="20"/>
              </w:rPr>
              <w:t>DEMAND_PERC</w:t>
            </w:r>
          </w:p>
        </w:tc>
        <w:tc>
          <w:tcPr>
            <w:tcW w:w="406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38CA334A" w14:textId="77777777" w:rsidR="00784387" w:rsidRPr="0089609D" w:rsidRDefault="00000000">
            <w:pPr>
              <w:spacing w:line="260" w:lineRule="auto"/>
              <w:rPr>
                <w:lang w:val="en-GB"/>
              </w:rPr>
            </w:pPr>
            <w:r w:rsidRPr="0089609D">
              <w:rPr>
                <w:sz w:val="20"/>
                <w:szCs w:val="20"/>
                <w:lang w:val="en-GB"/>
              </w:rPr>
              <w:t>Perceived attempt to influence opinion</w:t>
            </w:r>
          </w:p>
        </w:tc>
        <w:tc>
          <w:tcPr>
            <w:tcW w:w="33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401E6644" w14:textId="77777777" w:rsidR="00784387" w:rsidRDefault="00000000">
            <w:pPr>
              <w:spacing w:line="260" w:lineRule="auto"/>
            </w:pPr>
            <w:r>
              <w:rPr>
                <w:sz w:val="20"/>
                <w:szCs w:val="20"/>
              </w:rPr>
              <w:t>Heterogeneity variable (Haaland et al. 2023)</w:t>
            </w:r>
          </w:p>
        </w:tc>
      </w:tr>
    </w:tbl>
    <w:p w14:paraId="3E14C19B" w14:textId="77777777" w:rsidR="009A6024" w:rsidRDefault="009A6024"/>
    <w:sectPr w:rsidR="009A6024">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40DAF"/>
    <w:multiLevelType w:val="hybridMultilevel"/>
    <w:tmpl w:val="5678CDE4"/>
    <w:lvl w:ilvl="0" w:tplc="52B4386E">
      <w:start w:val="1"/>
      <w:numFmt w:val="bullet"/>
      <w:lvlText w:val="•"/>
      <w:lvlJc w:val="left"/>
      <w:pPr>
        <w:ind w:left="720" w:hanging="360"/>
      </w:pPr>
    </w:lvl>
    <w:lvl w:ilvl="1" w:tplc="4FE8CDDC">
      <w:start w:val="1"/>
      <w:numFmt w:val="bullet"/>
      <w:lvlText w:val="◦"/>
      <w:lvlJc w:val="left"/>
      <w:pPr>
        <w:ind w:left="1440" w:hanging="360"/>
      </w:pPr>
    </w:lvl>
    <w:lvl w:ilvl="2" w:tplc="FC1A1994">
      <w:numFmt w:val="decimal"/>
      <w:lvlText w:val=""/>
      <w:lvlJc w:val="left"/>
    </w:lvl>
    <w:lvl w:ilvl="3" w:tplc="927634C2">
      <w:numFmt w:val="decimal"/>
      <w:lvlText w:val=""/>
      <w:lvlJc w:val="left"/>
    </w:lvl>
    <w:lvl w:ilvl="4" w:tplc="60EA6036">
      <w:numFmt w:val="decimal"/>
      <w:lvlText w:val=""/>
      <w:lvlJc w:val="left"/>
    </w:lvl>
    <w:lvl w:ilvl="5" w:tplc="5E7C1E7E">
      <w:numFmt w:val="decimal"/>
      <w:lvlText w:val=""/>
      <w:lvlJc w:val="left"/>
    </w:lvl>
    <w:lvl w:ilvl="6" w:tplc="1EDE7934">
      <w:numFmt w:val="decimal"/>
      <w:lvlText w:val=""/>
      <w:lvlJc w:val="left"/>
    </w:lvl>
    <w:lvl w:ilvl="7" w:tplc="640A3B5C">
      <w:numFmt w:val="decimal"/>
      <w:lvlText w:val=""/>
      <w:lvlJc w:val="left"/>
    </w:lvl>
    <w:lvl w:ilvl="8" w:tplc="C4F09C7C">
      <w:numFmt w:val="decimal"/>
      <w:lvlText w:val=""/>
      <w:lvlJc w:val="left"/>
    </w:lvl>
  </w:abstractNum>
  <w:abstractNum w:abstractNumId="1" w15:restartNumberingAfterBreak="0">
    <w:nsid w:val="651F107D"/>
    <w:multiLevelType w:val="hybridMultilevel"/>
    <w:tmpl w:val="9CF4E740"/>
    <w:lvl w:ilvl="0" w:tplc="49CA5C62">
      <w:start w:val="1"/>
      <w:numFmt w:val="bullet"/>
      <w:lvlText w:val="●"/>
      <w:lvlJc w:val="left"/>
      <w:pPr>
        <w:ind w:left="720" w:hanging="360"/>
      </w:pPr>
    </w:lvl>
    <w:lvl w:ilvl="1" w:tplc="AB3A5048">
      <w:start w:val="1"/>
      <w:numFmt w:val="bullet"/>
      <w:lvlText w:val="○"/>
      <w:lvlJc w:val="left"/>
      <w:pPr>
        <w:ind w:left="1440" w:hanging="360"/>
      </w:pPr>
    </w:lvl>
    <w:lvl w:ilvl="2" w:tplc="4162B9A4">
      <w:start w:val="1"/>
      <w:numFmt w:val="bullet"/>
      <w:lvlText w:val="■"/>
      <w:lvlJc w:val="left"/>
      <w:pPr>
        <w:ind w:left="2160" w:hanging="360"/>
      </w:pPr>
    </w:lvl>
    <w:lvl w:ilvl="3" w:tplc="470E4348">
      <w:start w:val="1"/>
      <w:numFmt w:val="bullet"/>
      <w:lvlText w:val="●"/>
      <w:lvlJc w:val="left"/>
      <w:pPr>
        <w:ind w:left="2880" w:hanging="360"/>
      </w:pPr>
    </w:lvl>
    <w:lvl w:ilvl="4" w:tplc="793A0B3A">
      <w:start w:val="1"/>
      <w:numFmt w:val="bullet"/>
      <w:lvlText w:val="○"/>
      <w:lvlJc w:val="left"/>
      <w:pPr>
        <w:ind w:left="3600" w:hanging="360"/>
      </w:pPr>
    </w:lvl>
    <w:lvl w:ilvl="5" w:tplc="EA22A522">
      <w:start w:val="1"/>
      <w:numFmt w:val="bullet"/>
      <w:lvlText w:val="■"/>
      <w:lvlJc w:val="left"/>
      <w:pPr>
        <w:ind w:left="4320" w:hanging="360"/>
      </w:pPr>
    </w:lvl>
    <w:lvl w:ilvl="6" w:tplc="B2C6D558">
      <w:start w:val="1"/>
      <w:numFmt w:val="bullet"/>
      <w:lvlText w:val="●"/>
      <w:lvlJc w:val="left"/>
      <w:pPr>
        <w:ind w:left="5040" w:hanging="360"/>
      </w:pPr>
    </w:lvl>
    <w:lvl w:ilvl="7" w:tplc="176002A8">
      <w:start w:val="1"/>
      <w:numFmt w:val="bullet"/>
      <w:lvlText w:val="●"/>
      <w:lvlJc w:val="left"/>
      <w:pPr>
        <w:ind w:left="5760" w:hanging="360"/>
      </w:pPr>
    </w:lvl>
    <w:lvl w:ilvl="8" w:tplc="1F30C146">
      <w:start w:val="1"/>
      <w:numFmt w:val="bullet"/>
      <w:lvlText w:val="●"/>
      <w:lvlJc w:val="left"/>
      <w:pPr>
        <w:ind w:left="6480" w:hanging="360"/>
      </w:pPr>
    </w:lvl>
  </w:abstractNum>
  <w:num w:numId="1" w16cid:durableId="788545859">
    <w:abstractNumId w:val="1"/>
    <w:lvlOverride w:ilvl="0">
      <w:startOverride w:val="1"/>
    </w:lvlOverride>
  </w:num>
  <w:num w:numId="2" w16cid:durableId="21261189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387"/>
    <w:rsid w:val="000F0FA4"/>
    <w:rsid w:val="00646F7B"/>
    <w:rsid w:val="00670A3C"/>
    <w:rsid w:val="00713821"/>
    <w:rsid w:val="007541BA"/>
    <w:rsid w:val="00784387"/>
    <w:rsid w:val="0089609D"/>
    <w:rsid w:val="009A6024"/>
    <w:rsid w:val="00EC2BC7"/>
    <w:rsid w:val="00F55B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D2553"/>
  <w15:docId w15:val="{CECDA06F-C931-4619-9AE7-6C83CCE1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80" w:after="140"/>
      <w:outlineLvl w:val="0"/>
    </w:pPr>
    <w:rPr>
      <w:b/>
      <w:bCs/>
      <w:sz w:val="28"/>
      <w:szCs w:val="28"/>
    </w:rPr>
  </w:style>
  <w:style w:type="paragraph" w:styleId="Ttulo2">
    <w:name w:val="heading 2"/>
    <w:uiPriority w:val="9"/>
    <w:unhideWhenUsed/>
    <w:qFormat/>
    <w:pPr>
      <w:spacing w:before="220" w:after="100"/>
      <w:outlineLvl w:val="1"/>
    </w:pPr>
    <w:rPr>
      <w:b/>
      <w:bCs/>
      <w:sz w:val="24"/>
      <w:szCs w:val="24"/>
    </w:rPr>
  </w:style>
  <w:style w:type="paragraph" w:styleId="Ttulo3">
    <w:name w:val="heading 3"/>
    <w:uiPriority w:val="9"/>
    <w:unhideWhenUsed/>
    <w:qFormat/>
    <w:pPr>
      <w:spacing w:before="180" w:after="80"/>
      <w:outlineLvl w:val="2"/>
    </w:pPr>
    <w:rPr>
      <w:b/>
      <w:bCs/>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character" w:styleId="Mencinsinresolver">
    <w:name w:val="Unresolved Mention"/>
    <w:basedOn w:val="Fuentedeprrafopredeter"/>
    <w:uiPriority w:val="99"/>
    <w:semiHidden/>
    <w:unhideWhenUsed/>
    <w:rsid w:val="00713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2/9780470316696" TargetMode="External"/><Relationship Id="rId3" Type="http://schemas.openxmlformats.org/officeDocument/2006/relationships/settings" Target="settings.xml"/><Relationship Id="rId7" Type="http://schemas.openxmlformats.org/officeDocument/2006/relationships/hyperlink" Target="https://doi.org/10.1016/j.jpubeco.2023.1049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jik.2025.100796" TargetMode="External"/><Relationship Id="rId5" Type="http://schemas.openxmlformats.org/officeDocument/2006/relationships/hyperlink" Target="https://doi.org/10.1177/0958928725134591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7828</Words>
  <Characters>43059</Characters>
  <Application>Microsoft Office Word</Application>
  <DocSecurity>0</DocSecurity>
  <Lines>358</Lines>
  <Paragraphs>101</Paragraphs>
  <ScaleCrop>false</ScaleCrop>
  <Company/>
  <LinksUpToDate>false</LinksUpToDate>
  <CharactersWithSpaces>50786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Ismael Sanz Labrador</cp:lastModifiedBy>
  <cp:revision>2</cp:revision>
  <dcterms:created xsi:type="dcterms:W3CDTF">2026-05-25T08:52:00Z</dcterms:created>
  <dcterms:modified xsi:type="dcterms:W3CDTF">2026-05-25T08:52:00Z</dcterms:modified>
</cp:coreProperties>
</file>