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E867B" w14:textId="77777777" w:rsidR="00077ECC" w:rsidRDefault="00000000">
      <w:pPr>
        <w:spacing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eastAsia="Times New Roman" w:hAnsi="Times New Roman" w:cs="Times New Roman"/>
          <w:b/>
          <w:bCs/>
          <w:sz w:val="22"/>
          <w:szCs w:val="22"/>
        </w:rPr>
        <w:t>Analysis Plan for the Feasibility Trial: OSI-A in Chile</w:t>
      </w:r>
    </w:p>
    <w:p w14:paraId="4D59F267" w14:textId="77777777" w:rsidR="00077ECC" w:rsidRDefault="00000000">
      <w:pPr>
        <w:pStyle w:val="Ttulo2"/>
        <w:keepNext w:val="0"/>
        <w:keepLines w:val="0"/>
        <w:numPr>
          <w:ilvl w:val="0"/>
          <w:numId w:val="9"/>
        </w:numPr>
        <w:spacing w:before="360" w:line="276" w:lineRule="auto"/>
        <w:rPr>
          <w:rFonts w:ascii="Times New Roman" w:eastAsia="Times New Roman" w:hAnsi="Times New Roman" w:cs="Times New Roman"/>
          <w:b/>
          <w:bCs/>
          <w:color w:val="000000"/>
          <w:sz w:val="22"/>
          <w:szCs w:val="22"/>
        </w:rPr>
      </w:pPr>
      <w:bookmarkStart w:id="0" w:name="_heading=h.fiip683enxrc" w:colFirst="0" w:colLast="0"/>
      <w:bookmarkEnd w:id="0"/>
      <w:r>
        <w:rPr>
          <w:rFonts w:ascii="Times New Roman" w:eastAsia="Times New Roman" w:hAnsi="Times New Roman" w:cs="Times New Roman"/>
          <w:b/>
          <w:bCs/>
          <w:color w:val="000000"/>
          <w:sz w:val="22"/>
          <w:szCs w:val="22"/>
        </w:rPr>
        <w:t>Study Background and Rationale</w:t>
      </w:r>
    </w:p>
    <w:p w14:paraId="0EB52B78" w14:textId="77777777" w:rsidR="00077ECC" w:rsidRDefault="00000000">
      <w:pPr>
        <w:pBdr>
          <w:top w:val="nil"/>
          <w:left w:val="nil"/>
          <w:bottom w:val="nil"/>
          <w:right w:val="nil"/>
          <w:between w:val="nil"/>
        </w:pBdr>
        <w:spacing w:before="280" w:after="280" w:line="276"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Anxiety is highly prevalent among children with neurodevelopmental conditions, particularly autistic children, and substantially affects daily functioning, family wellbeing, and multiple aspects of children's development. Cognitive Behavioural Therapy (CBT) has strong empirical support for treating anxiety in autistic children. In Chile, however, access to specialised CBT therapists and low-intensity treatment options remains limited, particularly within public and community-based systems.</w:t>
      </w:r>
    </w:p>
    <w:p w14:paraId="57514A19"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This study evaluates the feasibility of implementing OSI-A (Online Support and Intervention for Child Anxiety – Autism Version), a parent-guided CBT programme originally developed at the University of Oxford and co-designed with autistic children, parents, and clinicians. The intervention consists of nine modules covering psychoeducation about anxiety, gradual exposure, problem-solving, promoting independence, and autism-specific adaptations.</w:t>
      </w:r>
    </w:p>
    <w:p w14:paraId="64948110"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 Chile, OSI-A is delivered through paper/PDF materials supported by weekly therapist telephone or videoconference sessions over eight weeks. One intervention arm additionally receives access to AILA, a WhatsApp-based AI chatbot that provides reminders, guidance, and support between therapist contacts.</w:t>
      </w:r>
    </w:p>
    <w:p w14:paraId="302836CE"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study aims to assess the feasibility, acceptability, and implementation requirements of OSI-A delivered with and without AI-assisted support. Although the study is not powered to evaluate effectiveness or cost-effectiveness, preliminary clinical and health economic outcome data will be collected to inform the design of a future definitive trial. The study will also provide evidence on the potential role of conversational AI in supporting low-intensity mental health interventions for autistic children and their families.</w:t>
      </w:r>
    </w:p>
    <w:p w14:paraId="11CB3735" w14:textId="77777777" w:rsidR="00077ECC" w:rsidRDefault="00000000">
      <w:pPr>
        <w:numPr>
          <w:ilvl w:val="0"/>
          <w:numId w:val="9"/>
        </w:numPr>
        <w:pBdr>
          <w:top w:val="nil"/>
          <w:left w:val="nil"/>
          <w:bottom w:val="nil"/>
          <w:right w:val="nil"/>
          <w:between w:val="nil"/>
        </w:pBdr>
        <w:spacing w:before="240" w:after="240"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Study Design</w:t>
      </w:r>
    </w:p>
    <w:p w14:paraId="3C11B2D6"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rPr>
      </w:pPr>
      <w:bookmarkStart w:id="1" w:name="_heading=h.k69k13lk4u58" w:colFirst="0" w:colLast="0"/>
      <w:bookmarkEnd w:id="1"/>
      <w:r>
        <w:rPr>
          <w:rFonts w:ascii="Times New Roman" w:eastAsia="Times New Roman" w:hAnsi="Times New Roman" w:cs="Times New Roman"/>
          <w:b/>
          <w:bCs/>
          <w:color w:val="000000"/>
          <w:sz w:val="22"/>
          <w:szCs w:val="22"/>
        </w:rPr>
        <w:t>Overview</w:t>
      </w:r>
    </w:p>
    <w:p w14:paraId="0E0699A1"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 study is a three-arm, parallel-group, multi-site feasibility randomised controlled trial.</w:t>
      </w:r>
    </w:p>
    <w:p w14:paraId="2E407FD2"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Study Arms</w:t>
      </w:r>
    </w:p>
    <w:p w14:paraId="7B7455F4" w14:textId="77777777" w:rsidR="00077ECC" w:rsidRDefault="00000000">
      <w:pPr>
        <w:numPr>
          <w:ilvl w:val="0"/>
          <w:numId w:val="7"/>
        </w:numPr>
        <w:spacing w:before="240" w:after="0" w:line="276" w:lineRule="auto"/>
        <w:rPr>
          <w:rFonts w:ascii="Times New Roman" w:eastAsia="Times New Roman" w:hAnsi="Times New Roman" w:cs="Times New Roman"/>
          <w:sz w:val="22"/>
          <w:szCs w:val="22"/>
        </w:rPr>
      </w:pPr>
      <w:r>
        <w:rPr>
          <w:rFonts w:ascii="Times New Roman" w:eastAsia="Times New Roman" w:hAnsi="Times New Roman" w:cs="Times New Roman"/>
          <w:b/>
          <w:bCs/>
          <w:sz w:val="22"/>
          <w:szCs w:val="22"/>
        </w:rPr>
        <w:t>OSI-A (Paper/PDF):</w:t>
      </w:r>
      <w:r>
        <w:rPr>
          <w:rFonts w:ascii="Times New Roman" w:eastAsia="Times New Roman" w:hAnsi="Times New Roman" w:cs="Times New Roman"/>
          <w:b/>
          <w:bCs/>
          <w:sz w:val="22"/>
          <w:szCs w:val="22"/>
        </w:rPr>
        <w:br/>
      </w:r>
      <w:r>
        <w:rPr>
          <w:rFonts w:ascii="Times New Roman" w:eastAsia="Times New Roman" w:hAnsi="Times New Roman" w:cs="Times New Roman"/>
          <w:sz w:val="22"/>
          <w:szCs w:val="22"/>
        </w:rPr>
        <w:t>Parent-led CBT delivered through structured printed/PDF materials, with weekly therapist phone or video support.</w:t>
      </w:r>
      <w:r>
        <w:rPr>
          <w:rFonts w:ascii="Times New Roman" w:eastAsia="Times New Roman" w:hAnsi="Times New Roman" w:cs="Times New Roman"/>
          <w:sz w:val="22"/>
          <w:szCs w:val="22"/>
        </w:rPr>
        <w:br/>
      </w:r>
    </w:p>
    <w:p w14:paraId="39127A76" w14:textId="77777777" w:rsidR="00077ECC" w:rsidRDefault="00000000">
      <w:pPr>
        <w:numPr>
          <w:ilvl w:val="0"/>
          <w:numId w:val="7"/>
        </w:num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b/>
          <w:bCs/>
          <w:sz w:val="22"/>
          <w:szCs w:val="22"/>
        </w:rPr>
        <w:t>OSI-A + AI Chatbot:</w:t>
      </w:r>
      <w:r>
        <w:rPr>
          <w:rFonts w:ascii="Times New Roman" w:eastAsia="Times New Roman" w:hAnsi="Times New Roman" w:cs="Times New Roman"/>
          <w:b/>
          <w:bCs/>
          <w:sz w:val="22"/>
          <w:szCs w:val="22"/>
        </w:rPr>
        <w:br/>
      </w:r>
      <w:r>
        <w:rPr>
          <w:rFonts w:ascii="Times New Roman" w:eastAsia="Times New Roman" w:hAnsi="Times New Roman" w:cs="Times New Roman"/>
          <w:sz w:val="22"/>
          <w:szCs w:val="22"/>
        </w:rPr>
        <w:t>The same OSI-A program, with weekly therapist phone or video support, supplemented by a WhatsApp-based generative AI chatbot providing reminders, structured guidance, and support between therapist contacts.</w:t>
      </w:r>
      <w:r>
        <w:rPr>
          <w:rFonts w:ascii="Times New Roman" w:eastAsia="Times New Roman" w:hAnsi="Times New Roman" w:cs="Times New Roman"/>
          <w:sz w:val="22"/>
          <w:szCs w:val="22"/>
        </w:rPr>
        <w:br/>
      </w:r>
    </w:p>
    <w:p w14:paraId="14F0CE6C" w14:textId="77777777" w:rsidR="00077ECC" w:rsidRDefault="00000000">
      <w:pPr>
        <w:numPr>
          <w:ilvl w:val="0"/>
          <w:numId w:val="7"/>
        </w:numPr>
        <w:spacing w:after="240" w:line="276" w:lineRule="auto"/>
        <w:rPr>
          <w:rFonts w:ascii="Times New Roman" w:eastAsia="Times New Roman" w:hAnsi="Times New Roman" w:cs="Times New Roman"/>
          <w:sz w:val="22"/>
          <w:szCs w:val="22"/>
        </w:rPr>
      </w:pPr>
      <w:r>
        <w:rPr>
          <w:rFonts w:ascii="Times New Roman" w:eastAsia="Times New Roman" w:hAnsi="Times New Roman" w:cs="Times New Roman"/>
          <w:b/>
          <w:bCs/>
          <w:sz w:val="22"/>
          <w:szCs w:val="22"/>
        </w:rPr>
        <w:t>Treatment as Usual (TAU):</w:t>
      </w:r>
      <w:r>
        <w:rPr>
          <w:rFonts w:ascii="Times New Roman" w:eastAsia="Times New Roman" w:hAnsi="Times New Roman" w:cs="Times New Roman"/>
          <w:b/>
          <w:bCs/>
          <w:sz w:val="22"/>
          <w:szCs w:val="22"/>
        </w:rPr>
        <w:br/>
      </w:r>
      <w:r>
        <w:rPr>
          <w:rFonts w:ascii="Times New Roman" w:eastAsia="Times New Roman" w:hAnsi="Times New Roman" w:cs="Times New Roman"/>
          <w:sz w:val="22"/>
          <w:szCs w:val="22"/>
        </w:rPr>
        <w:t xml:space="preserve"> Standard services available in participating outpatient hospital mental health services or </w:t>
      </w:r>
      <w:r>
        <w:rPr>
          <w:rFonts w:ascii="Times New Roman" w:eastAsia="Times New Roman" w:hAnsi="Times New Roman" w:cs="Times New Roman"/>
          <w:sz w:val="22"/>
          <w:szCs w:val="22"/>
        </w:rPr>
        <w:lastRenderedPageBreak/>
        <w:t>community health centres.</w:t>
      </w:r>
      <w:r>
        <w:rPr>
          <w:rFonts w:ascii="Times New Roman" w:eastAsia="Times New Roman" w:hAnsi="Times New Roman" w:cs="Times New Roman"/>
          <w:sz w:val="22"/>
          <w:szCs w:val="22"/>
        </w:rPr>
        <w:br/>
      </w:r>
    </w:p>
    <w:p w14:paraId="752BB8A2"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rPr>
      </w:pPr>
      <w:bookmarkStart w:id="2" w:name="_heading=h.ssrlordjx469" w:colFirst="0" w:colLast="0"/>
      <w:bookmarkEnd w:id="2"/>
      <w:r>
        <w:rPr>
          <w:rFonts w:ascii="Times New Roman" w:eastAsia="Times New Roman" w:hAnsi="Times New Roman" w:cs="Times New Roman"/>
          <w:b/>
          <w:bCs/>
          <w:color w:val="000000"/>
          <w:sz w:val="22"/>
          <w:szCs w:val="22"/>
        </w:rPr>
        <w:t>Unit of Randomisation</w:t>
      </w:r>
    </w:p>
    <w:p w14:paraId="29570FEC"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 caregiver–child dyad is the unit of randomisation, with each dyad randomly assigned to one of the three study conditions.</w:t>
      </w:r>
    </w:p>
    <w:p w14:paraId="0C0A87F6" w14:textId="77777777" w:rsidR="00077ECC" w:rsidRDefault="00077ECC">
      <w:pPr>
        <w:spacing w:before="240" w:after="240" w:line="276" w:lineRule="auto"/>
        <w:rPr>
          <w:rFonts w:ascii="Times New Roman" w:eastAsia="Times New Roman" w:hAnsi="Times New Roman" w:cs="Times New Roman"/>
          <w:sz w:val="22"/>
          <w:szCs w:val="22"/>
        </w:rPr>
      </w:pPr>
    </w:p>
    <w:p w14:paraId="0B0E96D4"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highlight w:val="yellow"/>
        </w:rPr>
      </w:pPr>
      <w:bookmarkStart w:id="3" w:name="_heading=h.uunyj78ibroy" w:colFirst="0" w:colLast="0"/>
      <w:bookmarkEnd w:id="3"/>
      <w:r>
        <w:rPr>
          <w:rFonts w:ascii="Times New Roman" w:eastAsia="Times New Roman" w:hAnsi="Times New Roman" w:cs="Times New Roman"/>
          <w:b/>
          <w:bCs/>
          <w:color w:val="000000"/>
          <w:sz w:val="22"/>
          <w:szCs w:val="22"/>
          <w:highlight w:val="yellow"/>
        </w:rPr>
        <w:t>Stratification</w:t>
      </w:r>
    </w:p>
    <w:p w14:paraId="49BCE7CE"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Randomization is stratified by:</w:t>
      </w:r>
    </w:p>
    <w:p w14:paraId="6F15AACA" w14:textId="77777777" w:rsidR="00077ECC" w:rsidRDefault="00000000">
      <w:pPr>
        <w:numPr>
          <w:ilvl w:val="0"/>
          <w:numId w:val="2"/>
        </w:numPr>
        <w:pBdr>
          <w:top w:val="nil"/>
          <w:left w:val="nil"/>
          <w:bottom w:val="nil"/>
          <w:right w:val="nil"/>
          <w:between w:val="nil"/>
        </w:pBdr>
        <w:spacing w:before="280"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Recruitment site (2 sites)</w:t>
      </w:r>
    </w:p>
    <w:p w14:paraId="2D46093C" w14:textId="77777777" w:rsidR="00077ECC" w:rsidRDefault="00000000">
      <w:pPr>
        <w:numPr>
          <w:ilvl w:val="0"/>
          <w:numId w:val="2"/>
        </w:numPr>
        <w:pBdr>
          <w:top w:val="nil"/>
          <w:left w:val="nil"/>
          <w:bottom w:val="nil"/>
          <w:right w:val="nil"/>
          <w:between w:val="nil"/>
        </w:pBdr>
        <w:spacing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 xml:space="preserve">Anxiety Levels </w:t>
      </w:r>
      <w:r>
        <w:rPr>
          <w:rFonts w:ascii="Times New Roman" w:eastAsia="Times New Roman" w:hAnsi="Times New Roman" w:cs="Times New Roman"/>
          <w:color w:val="000000"/>
          <w:sz w:val="22"/>
          <w:szCs w:val="22"/>
        </w:rPr>
        <w:t>( 2 levels)</w:t>
      </w:r>
    </w:p>
    <w:p w14:paraId="72DD1464" w14:textId="77777777" w:rsidR="00077ECC" w:rsidRPr="001E549B" w:rsidRDefault="00000000">
      <w:pPr>
        <w:numPr>
          <w:ilvl w:val="1"/>
          <w:numId w:val="2"/>
        </w:numPr>
        <w:pBdr>
          <w:top w:val="nil"/>
          <w:left w:val="nil"/>
          <w:bottom w:val="nil"/>
          <w:right w:val="nil"/>
          <w:between w:val="nil"/>
        </w:pBdr>
        <w:spacing w:after="280" w:line="276" w:lineRule="auto"/>
        <w:rPr>
          <w:rFonts w:ascii="Times New Roman" w:eastAsia="Times New Roman" w:hAnsi="Times New Roman" w:cs="Times New Roman"/>
          <w:color w:val="000000"/>
          <w:sz w:val="22"/>
          <w:szCs w:val="22"/>
        </w:rPr>
      </w:pPr>
      <w:sdt>
        <w:sdtPr>
          <w:tag w:val="goog_rdk_0"/>
          <w:id w:val="2084959859"/>
        </w:sdtPr>
        <w:sdtEndPr>
          <w:rPr>
            <w:rFonts w:ascii="Times New Roman" w:hAnsi="Times New Roman" w:cs="Times New Roman"/>
          </w:rPr>
        </w:sdtEndPr>
        <w:sdtContent>
          <w:r w:rsidRPr="001E549B">
            <w:rPr>
              <w:rFonts w:ascii="Times New Roman" w:eastAsia="Gungsuh" w:hAnsi="Times New Roman" w:cs="Times New Roman"/>
              <w:sz w:val="22"/>
              <w:szCs w:val="22"/>
            </w:rPr>
            <w:t>Elevated anxiety: CAIS-P ≥ 25; Lower anxiety: CAIS-P &lt; 25</w:t>
          </w:r>
        </w:sdtContent>
      </w:sdt>
    </w:p>
    <w:p w14:paraId="2664391D" w14:textId="77777777" w:rsidR="00077ECC" w:rsidRDefault="00000000">
      <w:pPr>
        <w:pBdr>
          <w:top w:val="nil"/>
          <w:left w:val="nil"/>
          <w:bottom w:val="nil"/>
          <w:right w:val="nil"/>
          <w:between w:val="nil"/>
        </w:pBdr>
        <w:spacing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This stratification aims to ensure balance across study arms while maintaining a feasible implementation structure for the trial.</w:t>
      </w:r>
    </w:p>
    <w:p w14:paraId="6DEFDFE1"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The sample size for this feasibility trial is determined primarily by feasibility considerations, including recruitment capacity, implementation resources, and the objective of generating preliminary estimates of treatment effects to inform the design and power calculations of a future fully powered trial.</w:t>
      </w:r>
    </w:p>
    <w:p w14:paraId="266CAC7B"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rPr>
      </w:pPr>
      <w:bookmarkStart w:id="4" w:name="_heading=h.ro3npmu70evj" w:colFirst="0" w:colLast="0"/>
      <w:bookmarkEnd w:id="4"/>
      <w:r>
        <w:rPr>
          <w:rFonts w:ascii="Times New Roman" w:eastAsia="Times New Roman" w:hAnsi="Times New Roman" w:cs="Times New Roman"/>
          <w:b/>
          <w:bCs/>
          <w:color w:val="000000"/>
          <w:sz w:val="22"/>
          <w:szCs w:val="22"/>
        </w:rPr>
        <w:t>Measurement Points</w:t>
      </w:r>
    </w:p>
    <w:p w14:paraId="3221BA55"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Data will be collected at the following time points:</w:t>
      </w:r>
    </w:p>
    <w:p w14:paraId="52F62BF0" w14:textId="77777777" w:rsidR="00077ECC" w:rsidRDefault="00000000">
      <w:pPr>
        <w:numPr>
          <w:ilvl w:val="0"/>
          <w:numId w:val="4"/>
        </w:numPr>
        <w:pBdr>
          <w:top w:val="nil"/>
          <w:left w:val="nil"/>
          <w:bottom w:val="nil"/>
          <w:right w:val="nil"/>
          <w:between w:val="nil"/>
        </w:pBdr>
        <w:spacing w:before="280" w:after="0"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color w:val="000000"/>
          <w:sz w:val="22"/>
          <w:szCs w:val="22"/>
        </w:rPr>
        <w:t>Baseline (pre-randomization)</w:t>
      </w:r>
    </w:p>
    <w:p w14:paraId="490086F4" w14:textId="77777777" w:rsidR="00077ECC" w:rsidRDefault="00000000">
      <w:pPr>
        <w:numPr>
          <w:ilvl w:val="0"/>
          <w:numId w:val="4"/>
        </w:numPr>
        <w:pBdr>
          <w:top w:val="nil"/>
          <w:left w:val="nil"/>
          <w:bottom w:val="nil"/>
          <w:right w:val="nil"/>
          <w:between w:val="nil"/>
        </w:pBdr>
        <w:spacing w:after="0"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color w:val="000000"/>
          <w:sz w:val="22"/>
          <w:szCs w:val="22"/>
        </w:rPr>
        <w:t>14 weeks post-randomization (post-intervention)</w:t>
      </w:r>
    </w:p>
    <w:p w14:paraId="344626A4" w14:textId="77777777" w:rsidR="00077ECC" w:rsidRDefault="00000000">
      <w:pPr>
        <w:numPr>
          <w:ilvl w:val="0"/>
          <w:numId w:val="4"/>
        </w:numPr>
        <w:pBdr>
          <w:top w:val="nil"/>
          <w:left w:val="nil"/>
          <w:bottom w:val="nil"/>
          <w:right w:val="nil"/>
          <w:between w:val="nil"/>
        </w:pBdr>
        <w:spacing w:after="280"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color w:val="000000"/>
          <w:sz w:val="22"/>
          <w:szCs w:val="22"/>
        </w:rPr>
        <w:t>24 weeks post-randomization (follow-up)</w:t>
      </w:r>
    </w:p>
    <w:p w14:paraId="02453FEB" w14:textId="77777777" w:rsidR="00077ECC" w:rsidRDefault="00000000">
      <w:pPr>
        <w:numPr>
          <w:ilvl w:val="0"/>
          <w:numId w:val="9"/>
        </w:numPr>
        <w:pBdr>
          <w:top w:val="nil"/>
          <w:left w:val="nil"/>
          <w:bottom w:val="nil"/>
          <w:right w:val="nil"/>
          <w:between w:val="nil"/>
        </w:pBdr>
        <w:spacing w:after="24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Study Objectives</w:t>
      </w:r>
    </w:p>
    <w:p w14:paraId="35B1C1C9"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rPr>
      </w:pPr>
      <w:bookmarkStart w:id="5" w:name="_heading=h.fl5kq7f5r7dh" w:colFirst="0" w:colLast="0"/>
      <w:bookmarkEnd w:id="5"/>
      <w:r>
        <w:rPr>
          <w:rFonts w:ascii="Times New Roman" w:eastAsia="Times New Roman" w:hAnsi="Times New Roman" w:cs="Times New Roman"/>
          <w:b/>
          <w:bCs/>
          <w:color w:val="000000"/>
          <w:sz w:val="22"/>
          <w:szCs w:val="22"/>
        </w:rPr>
        <w:t>Primary Objective (Feasibility)</w:t>
      </w:r>
    </w:p>
    <w:p w14:paraId="7F640453"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To determine the feasibility and acceptability of implementing OSI-A and conducting the associated trial procedures within public healthcare settings in Chile. Feasibility will be assessed through recruitment, intervention adherence, participant retention, data completeness, therapist fidelity, safety, and intervention acceptability.</w:t>
      </w:r>
    </w:p>
    <w:p w14:paraId="3B06DFDC"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rPr>
      </w:pPr>
      <w:bookmarkStart w:id="6" w:name="_heading=h.jlzqvaurlla4" w:colFirst="0" w:colLast="0"/>
      <w:bookmarkEnd w:id="6"/>
      <w:r>
        <w:rPr>
          <w:rFonts w:ascii="Times New Roman" w:eastAsia="Times New Roman" w:hAnsi="Times New Roman" w:cs="Times New Roman"/>
          <w:b/>
          <w:bCs/>
          <w:color w:val="000000"/>
          <w:sz w:val="22"/>
          <w:szCs w:val="22"/>
        </w:rPr>
        <w:t>Secondary Objectives (Exploratory)</w:t>
      </w:r>
    </w:p>
    <w:p w14:paraId="11C6D091"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To generate preliminary, hypothesis-generating evidence on:</w:t>
      </w:r>
    </w:p>
    <w:p w14:paraId="133C15C2" w14:textId="77777777" w:rsidR="00077ECC" w:rsidRDefault="00000000">
      <w:pPr>
        <w:numPr>
          <w:ilvl w:val="0"/>
          <w:numId w:val="5"/>
        </w:numPr>
        <w:pBdr>
          <w:top w:val="nil"/>
          <w:left w:val="nil"/>
          <w:bottom w:val="nil"/>
          <w:right w:val="nil"/>
          <w:between w:val="nil"/>
        </w:pBdr>
        <w:spacing w:before="280"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Child anxiety symptoms and emotional functioning outcomes.</w:t>
      </w:r>
    </w:p>
    <w:p w14:paraId="031B671B" w14:textId="77777777" w:rsidR="00077ECC" w:rsidRDefault="00000000">
      <w:pPr>
        <w:numPr>
          <w:ilvl w:val="0"/>
          <w:numId w:val="5"/>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Usability and acceptability of the digital support component (AI chatbot).</w:t>
      </w:r>
    </w:p>
    <w:p w14:paraId="4D4F300E" w14:textId="77777777" w:rsidR="00077ECC" w:rsidRDefault="00000000">
      <w:pPr>
        <w:numPr>
          <w:ilvl w:val="0"/>
          <w:numId w:val="5"/>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Preliminary economic outcomes related to child wellbeing and service utilization from family.</w:t>
      </w:r>
    </w:p>
    <w:p w14:paraId="71F35A3C" w14:textId="77777777" w:rsidR="00077ECC" w:rsidRDefault="00000000">
      <w:pPr>
        <w:numPr>
          <w:ilvl w:val="0"/>
          <w:numId w:val="5"/>
        </w:numPr>
        <w:pBdr>
          <w:top w:val="nil"/>
          <w:left w:val="nil"/>
          <w:bottom w:val="nil"/>
          <w:right w:val="nil"/>
          <w:between w:val="nil"/>
        </w:pBdr>
        <w:spacing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Implementation insights relevant for future large-scale implementation and evaluation.</w:t>
      </w:r>
    </w:p>
    <w:p w14:paraId="1FD995C7" w14:textId="77777777" w:rsidR="00077ECC" w:rsidRDefault="00000000">
      <w:pPr>
        <w:pStyle w:val="Ttulo2"/>
        <w:keepNext w:val="0"/>
        <w:keepLines w:val="0"/>
        <w:numPr>
          <w:ilvl w:val="0"/>
          <w:numId w:val="9"/>
        </w:numPr>
        <w:spacing w:before="360" w:line="276" w:lineRule="auto"/>
        <w:rPr>
          <w:rFonts w:ascii="Times New Roman" w:eastAsia="Times New Roman" w:hAnsi="Times New Roman" w:cs="Times New Roman"/>
          <w:b/>
          <w:bCs/>
          <w:color w:val="000000"/>
          <w:sz w:val="22"/>
          <w:szCs w:val="22"/>
        </w:rPr>
      </w:pPr>
      <w:bookmarkStart w:id="7" w:name="_heading=h.l3dapz4re8qz" w:colFirst="0" w:colLast="0"/>
      <w:bookmarkEnd w:id="7"/>
      <w:r>
        <w:rPr>
          <w:rFonts w:ascii="Times New Roman" w:eastAsia="Times New Roman" w:hAnsi="Times New Roman" w:cs="Times New Roman"/>
          <w:b/>
          <w:bCs/>
          <w:color w:val="000000"/>
          <w:sz w:val="22"/>
          <w:szCs w:val="22"/>
        </w:rPr>
        <w:t xml:space="preserve">Outcomes and Measurements </w:t>
      </w:r>
    </w:p>
    <w:p w14:paraId="7953AF02" w14:textId="77777777" w:rsidR="00077ECC" w:rsidRDefault="00000000">
      <w:pPr>
        <w:pStyle w:val="Ttulo3"/>
        <w:numPr>
          <w:ilvl w:val="1"/>
          <w:numId w:val="9"/>
        </w:numPr>
        <w:spacing w:line="276" w:lineRule="auto"/>
        <w:rPr>
          <w:rFonts w:ascii="Times New Roman" w:eastAsia="Times New Roman" w:hAnsi="Times New Roman" w:cs="Times New Roman"/>
          <w:sz w:val="22"/>
          <w:szCs w:val="22"/>
        </w:rPr>
      </w:pPr>
      <w:bookmarkStart w:id="8" w:name="_heading=h.4n88n4sfgkwt" w:colFirst="0" w:colLast="0"/>
      <w:bookmarkEnd w:id="8"/>
      <w:r>
        <w:rPr>
          <w:rFonts w:ascii="Times New Roman" w:eastAsia="Times New Roman" w:hAnsi="Times New Roman" w:cs="Times New Roman"/>
          <w:sz w:val="22"/>
          <w:szCs w:val="22"/>
        </w:rPr>
        <w:t>Feasibility Outcomes (Primary)</w:t>
      </w:r>
    </w:p>
    <w:p w14:paraId="1A6DD704"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primary objective of this study is to assess the feasibility and acceptability of implementing OSI-A in Chile and to determine whether progression to a future definitive trial is warranted. Accordingly, the primary outcomes focus on feasibility and implementation rather than clinical effectiveness.</w:t>
      </w:r>
    </w:p>
    <w:p w14:paraId="02DE6E87"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Feasibility will be assessed through indicators of recruitment, intervention adherence, therapist fidelity, participant retention, data completeness, acceptability, and engagement with the AI chatbot. These outcomes will provide evidence on the practicality of delivering the intervention, retaining participants, and collecting high-quality outcome data within the Chilean context.</w:t>
      </w:r>
    </w:p>
    <w:p w14:paraId="2A42DBC1" w14:textId="77777777" w:rsidR="00077ECC" w:rsidRDefault="00077ECC">
      <w:pPr>
        <w:spacing w:before="240" w:after="240" w:line="276" w:lineRule="auto"/>
        <w:jc w:val="both"/>
        <w:rPr>
          <w:rFonts w:ascii="Times New Roman" w:eastAsia="Times New Roman" w:hAnsi="Times New Roman" w:cs="Times New Roman"/>
          <w:b/>
          <w:bCs/>
          <w:sz w:val="22"/>
          <w:szCs w:val="22"/>
        </w:rPr>
      </w:pP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40"/>
        <w:gridCol w:w="3002"/>
        <w:gridCol w:w="2270"/>
        <w:gridCol w:w="1413"/>
      </w:tblGrid>
      <w:tr w:rsidR="00077ECC" w14:paraId="1248CA56" w14:textId="77777777">
        <w:trPr>
          <w:trHeight w:val="515"/>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F5431F"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Outcome</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1CDC19"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Definition</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46AC6"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Source</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0F08B"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Timing</w:t>
            </w:r>
          </w:p>
        </w:tc>
      </w:tr>
      <w:tr w:rsidR="00077ECC" w14:paraId="225CDFFD" w14:textId="77777777">
        <w:trPr>
          <w:trHeight w:val="785"/>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6F471"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Recruitment</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C47EB"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Number of caregiver–child dyads randomised per month</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FA853"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Study records</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293ED9"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Continuous</w:t>
            </w:r>
          </w:p>
        </w:tc>
      </w:tr>
      <w:tr w:rsidR="00077ECC" w14:paraId="085DD789" w14:textId="77777777">
        <w:trPr>
          <w:trHeight w:val="785"/>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9C43D"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Intervention adherence</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A39C0"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Completion of at least 6 of the 8 programme modules</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67E54"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REDCap logs</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690E7D"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Continuous</w:t>
            </w:r>
          </w:p>
        </w:tc>
      </w:tr>
      <w:tr w:rsidR="00077ECC" w14:paraId="3CACA3B3" w14:textId="77777777">
        <w:trPr>
          <w:trHeight w:val="785"/>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25BA5"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Therapist adherence</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27740"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Delivery of scheduled support sessions and protocol fidelity</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458F77"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Therapist logs and supervision records</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DB16F"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Continuous</w:t>
            </w:r>
          </w:p>
        </w:tc>
      </w:tr>
      <w:tr w:rsidR="00077ECC" w14:paraId="627A4AB0" w14:textId="77777777">
        <w:trPr>
          <w:trHeight w:val="785"/>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10E298"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Participant retention</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1BAFC"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Completion of follow-up assessments</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FF2040"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Survey data</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514C3"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14w, 24w</w:t>
            </w:r>
          </w:p>
        </w:tc>
      </w:tr>
      <w:tr w:rsidR="00077ECC" w14:paraId="38A02B10" w14:textId="77777777">
        <w:trPr>
          <w:trHeight w:val="1070"/>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903794"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Data completeness</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B0E2FD"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Percentage of completed outcome measures, including CAIS-P and CHU-9D</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0BC8E"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Survey data</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E79B7"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14w, 24w</w:t>
            </w:r>
          </w:p>
        </w:tc>
      </w:tr>
      <w:tr w:rsidR="00077ECC" w14:paraId="3A534118" w14:textId="77777777">
        <w:trPr>
          <w:trHeight w:val="1070"/>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A0C686"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Acceptability</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ECE7FB"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Perceived usefulness, burden, usability, and satisfaction with the intervention</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C7834"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Qualitative interviews with caregivers and therapists</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C2BA5"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Post-intervention</w:t>
            </w:r>
          </w:p>
        </w:tc>
      </w:tr>
      <w:tr w:rsidR="00077ECC" w14:paraId="532A7207" w14:textId="77777777">
        <w:trPr>
          <w:trHeight w:val="1070"/>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F4FBC7"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AI chatbot engagement (OSI-A + AILA arm only)</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BD4C4"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Proportion of families actively engaging with the chatbot following enrolment</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E2405"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Chatbot usage logs</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488BDD"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Continuous</w:t>
            </w:r>
          </w:p>
        </w:tc>
      </w:tr>
      <w:tr w:rsidR="00077ECC" w14:paraId="67BDF811" w14:textId="77777777">
        <w:trPr>
          <w:trHeight w:val="1070"/>
        </w:trPr>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56118"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Safety</w:t>
            </w:r>
          </w:p>
        </w:tc>
        <w:tc>
          <w:tcPr>
            <w:tcW w:w="30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4A946F"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Adverse events and other safety concerns related to study participation</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D416F"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Study monitoring records</w:t>
            </w:r>
          </w:p>
        </w:tc>
        <w:tc>
          <w:tcPr>
            <w:tcW w:w="14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43ABB"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Continuous</w:t>
            </w:r>
          </w:p>
        </w:tc>
      </w:tr>
    </w:tbl>
    <w:p w14:paraId="7DE27FBC" w14:textId="77777777" w:rsidR="00077ECC" w:rsidRDefault="00000000">
      <w:pPr>
        <w:pStyle w:val="Ttulo3"/>
        <w:keepNext w:val="0"/>
        <w:keepLines w:val="0"/>
        <w:spacing w:before="280" w:line="276" w:lineRule="auto"/>
        <w:jc w:val="both"/>
        <w:rPr>
          <w:rFonts w:ascii="Times New Roman" w:eastAsia="Times New Roman" w:hAnsi="Times New Roman" w:cs="Times New Roman"/>
          <w:b/>
          <w:bCs/>
          <w:color w:val="000000"/>
          <w:sz w:val="26"/>
          <w:szCs w:val="26"/>
        </w:rPr>
      </w:pPr>
      <w:bookmarkStart w:id="9" w:name="_heading=h.3c09ai4x1ic9" w:colFirst="0" w:colLast="0"/>
      <w:bookmarkEnd w:id="9"/>
      <w:r>
        <w:rPr>
          <w:rFonts w:ascii="Times New Roman" w:eastAsia="Times New Roman" w:hAnsi="Times New Roman" w:cs="Times New Roman"/>
          <w:b/>
          <w:bCs/>
          <w:color w:val="000000"/>
          <w:sz w:val="26"/>
          <w:szCs w:val="26"/>
        </w:rPr>
        <w:t>Traffic Light Criteria for Progression to a Definitive Trial</w:t>
      </w:r>
    </w:p>
    <w:p w14:paraId="754B4E26"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Consistent with recommendations for feasibility studies, progression to a future definitive trial will be guided by predefined Traffic Light Criteria. These criteria are not intended as formal hypothesis tests but rather as decision-making thresholds to assess whether key feasibility objectives have been achieved. Findings from the feasibility outcomes, together with qualitative feedback from participants and therapists, will be used to determine whether the study procedures and intervention are suitable for progression, require modification, or warrant further refinement before a larger trial is undertaken.</w:t>
      </w:r>
    </w:p>
    <w:p w14:paraId="6501F593" w14:textId="77777777" w:rsidR="00077ECC" w:rsidRDefault="00077ECC">
      <w:pPr>
        <w:spacing w:before="240" w:after="240" w:line="276" w:lineRule="auto"/>
        <w:jc w:val="both"/>
        <w:rPr>
          <w:rFonts w:ascii="Times New Roman" w:eastAsia="Times New Roman" w:hAnsi="Times New Roman" w:cs="Times New Roman"/>
          <w:sz w:val="22"/>
          <w:szCs w:val="22"/>
        </w:rPr>
      </w:pP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1"/>
        <w:gridCol w:w="2897"/>
        <w:gridCol w:w="2079"/>
        <w:gridCol w:w="1858"/>
      </w:tblGrid>
      <w:tr w:rsidR="00077ECC" w14:paraId="45D7633E" w14:textId="77777777">
        <w:trPr>
          <w:trHeight w:val="134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6E64A"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Progression Criterion</w:t>
            </w:r>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D6F37"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Red (Stop)</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104BA6"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Amber (Review and implement mitigation strategies)</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301C3"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Green (Proceed)</w:t>
            </w:r>
          </w:p>
        </w:tc>
      </w:tr>
      <w:tr w:rsidR="00077ECC" w14:paraId="4E100862" w14:textId="77777777">
        <w:trPr>
          <w:trHeight w:val="107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70D59"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Participants randomised (target n = 180)</w:t>
            </w:r>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808A3"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&lt;60% of target (&lt;108 participants)</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90586B"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60–79% of target (108–143 participants)</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CB672" w14:textId="77777777" w:rsidR="00077ECC" w:rsidRDefault="00000000">
            <w:pPr>
              <w:spacing w:before="240" w:after="240" w:line="276" w:lineRule="auto"/>
              <w:jc w:val="both"/>
              <w:rPr>
                <w:rFonts w:ascii="Times New Roman" w:eastAsia="Times New Roman" w:hAnsi="Times New Roman" w:cs="Times New Roman"/>
                <w:sz w:val="22"/>
                <w:szCs w:val="22"/>
              </w:rPr>
            </w:pPr>
            <w:sdt>
              <w:sdtPr>
                <w:tag w:val="goog_rdk_1"/>
                <w:id w:val="-877738218"/>
              </w:sdtPr>
              <w:sdtContent>
                <w:r>
                  <w:rPr>
                    <w:rFonts w:ascii="Gungsuh" w:eastAsia="Gungsuh" w:hAnsi="Gungsuh" w:cs="Gungsuh"/>
                    <w:sz w:val="22"/>
                    <w:szCs w:val="22"/>
                  </w:rPr>
                  <w:t>≥80% of target (≥144 participants)</w:t>
                </w:r>
              </w:sdtContent>
            </w:sdt>
          </w:p>
        </w:tc>
      </w:tr>
      <w:tr w:rsidR="00077ECC" w14:paraId="0D2AF944" w14:textId="77777777">
        <w:trPr>
          <w:trHeight w:val="107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E70B1"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Participant retention (completion of 14-week assessment)</w:t>
            </w:r>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60F05"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&lt;50% retained</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0AE8B2"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50–69% retained</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D98C9" w14:textId="77777777" w:rsidR="00077ECC" w:rsidRDefault="00000000">
            <w:pPr>
              <w:spacing w:before="240" w:after="240" w:line="276" w:lineRule="auto"/>
              <w:jc w:val="both"/>
              <w:rPr>
                <w:rFonts w:ascii="Times New Roman" w:eastAsia="Times New Roman" w:hAnsi="Times New Roman" w:cs="Times New Roman"/>
                <w:sz w:val="22"/>
                <w:szCs w:val="22"/>
              </w:rPr>
            </w:pPr>
            <w:sdt>
              <w:sdtPr>
                <w:tag w:val="goog_rdk_2"/>
                <w:id w:val="103757061"/>
              </w:sdtPr>
              <w:sdtContent>
                <w:r>
                  <w:rPr>
                    <w:rFonts w:ascii="Gungsuh" w:eastAsia="Gungsuh" w:hAnsi="Gungsuh" w:cs="Gungsuh"/>
                    <w:sz w:val="22"/>
                    <w:szCs w:val="22"/>
                  </w:rPr>
                  <w:t>≥70% retained</w:t>
                </w:r>
              </w:sdtContent>
            </w:sdt>
          </w:p>
        </w:tc>
      </w:tr>
      <w:tr w:rsidR="00077ECC" w14:paraId="7A1C109C" w14:textId="77777777">
        <w:trPr>
          <w:trHeight w:val="1625"/>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A9598E" w14:textId="77777777" w:rsidR="00077ECC" w:rsidRDefault="00000000">
            <w:pPr>
              <w:spacing w:before="240" w:after="240" w:line="276" w:lineRule="auto"/>
              <w:jc w:val="both"/>
              <w:rPr>
                <w:rFonts w:ascii="Times New Roman" w:eastAsia="Times New Roman" w:hAnsi="Times New Roman" w:cs="Times New Roman"/>
                <w:sz w:val="22"/>
                <w:szCs w:val="22"/>
              </w:rPr>
            </w:pPr>
            <w:sdt>
              <w:sdtPr>
                <w:tag w:val="goog_rdk_3"/>
                <w:id w:val="12713246"/>
              </w:sdtPr>
              <w:sdtContent>
                <w:r>
                  <w:rPr>
                    <w:rFonts w:ascii="Gungsuh" w:eastAsia="Gungsuh" w:hAnsi="Gungsuh" w:cs="Gungsuh"/>
                    <w:sz w:val="22"/>
                    <w:szCs w:val="22"/>
                  </w:rPr>
                  <w:t>Intervention adherence (OSI-A families completing ≥70% of modules; ≥6/8 modules)</w:t>
                </w:r>
              </w:sdtContent>
            </w:sdt>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DD81BB"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&lt;40%</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C6B5BA"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40–59%</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695C2" w14:textId="77777777" w:rsidR="00077ECC" w:rsidRDefault="00000000">
            <w:pPr>
              <w:spacing w:before="240" w:after="240" w:line="276" w:lineRule="auto"/>
              <w:jc w:val="both"/>
              <w:rPr>
                <w:rFonts w:ascii="Times New Roman" w:eastAsia="Times New Roman" w:hAnsi="Times New Roman" w:cs="Times New Roman"/>
                <w:sz w:val="22"/>
                <w:szCs w:val="22"/>
              </w:rPr>
            </w:pPr>
            <w:sdt>
              <w:sdtPr>
                <w:tag w:val="goog_rdk_4"/>
                <w:id w:val="1793059362"/>
              </w:sdtPr>
              <w:sdtContent>
                <w:r>
                  <w:rPr>
                    <w:rFonts w:ascii="Gungsuh" w:eastAsia="Gungsuh" w:hAnsi="Gungsuh" w:cs="Gungsuh"/>
                    <w:sz w:val="22"/>
                    <w:szCs w:val="22"/>
                  </w:rPr>
                  <w:t>≥60%</w:t>
                </w:r>
              </w:sdtContent>
            </w:sdt>
          </w:p>
        </w:tc>
      </w:tr>
      <w:tr w:rsidR="00077ECC" w14:paraId="1955E55C" w14:textId="77777777">
        <w:trPr>
          <w:trHeight w:val="134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B62869"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Therapist adherence (delivery of scheduled support sessions and protocol fidelity)</w:t>
            </w:r>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901CF"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&lt;60%</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74ED8"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60–79%</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689CD9" w14:textId="77777777" w:rsidR="00077ECC" w:rsidRDefault="00000000">
            <w:pPr>
              <w:spacing w:before="240" w:after="240" w:line="276" w:lineRule="auto"/>
              <w:jc w:val="both"/>
              <w:rPr>
                <w:rFonts w:ascii="Times New Roman" w:eastAsia="Times New Roman" w:hAnsi="Times New Roman" w:cs="Times New Roman"/>
                <w:sz w:val="22"/>
                <w:szCs w:val="22"/>
              </w:rPr>
            </w:pPr>
            <w:sdt>
              <w:sdtPr>
                <w:tag w:val="goog_rdk_5"/>
                <w:id w:val="-207160431"/>
              </w:sdtPr>
              <w:sdtContent>
                <w:r>
                  <w:rPr>
                    <w:rFonts w:ascii="Gungsuh" w:eastAsia="Gungsuh" w:hAnsi="Gungsuh" w:cs="Gungsuh"/>
                    <w:sz w:val="22"/>
                    <w:szCs w:val="22"/>
                  </w:rPr>
                  <w:t>≥80%</w:t>
                </w:r>
              </w:sdtContent>
            </w:sdt>
          </w:p>
        </w:tc>
      </w:tr>
      <w:tr w:rsidR="00077ECC" w14:paraId="17D3FEE9" w14:textId="77777777">
        <w:trPr>
          <w:trHeight w:val="1625"/>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4CBA90"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Acceptability (parent satisfaction and qualitative feedback)</w:t>
            </w:r>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DEC60"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Evidence of poor acceptability or major concerns regarding intervention burden, relevance, or usability</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1CBFA"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Mixed acceptability requiring modifications</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B435C"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Overall positive acceptability and usability</w:t>
            </w:r>
          </w:p>
        </w:tc>
      </w:tr>
      <w:tr w:rsidR="00077ECC" w14:paraId="3DB20D3B" w14:textId="77777777">
        <w:trPr>
          <w:trHeight w:val="107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E6E5FE"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AI chatbot engagement (OSI-A + AILA arm only)</w:t>
            </w:r>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227B3"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&lt;40% of families actively engage with the chatbot after enrolment</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9E37C"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40–59%</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8BD47" w14:textId="77777777" w:rsidR="00077ECC" w:rsidRDefault="00000000">
            <w:pPr>
              <w:spacing w:before="240" w:after="240" w:line="276" w:lineRule="auto"/>
              <w:jc w:val="both"/>
              <w:rPr>
                <w:rFonts w:ascii="Times New Roman" w:eastAsia="Times New Roman" w:hAnsi="Times New Roman" w:cs="Times New Roman"/>
                <w:sz w:val="22"/>
                <w:szCs w:val="22"/>
              </w:rPr>
            </w:pPr>
            <w:sdt>
              <w:sdtPr>
                <w:tag w:val="goog_rdk_6"/>
                <w:id w:val="-1928788403"/>
              </w:sdtPr>
              <w:sdtContent>
                <w:r>
                  <w:rPr>
                    <w:rFonts w:ascii="Gungsuh" w:eastAsia="Gungsuh" w:hAnsi="Gungsuh" w:cs="Gungsuh"/>
                    <w:sz w:val="22"/>
                    <w:szCs w:val="22"/>
                  </w:rPr>
                  <w:t>≥60%</w:t>
                </w:r>
              </w:sdtContent>
            </w:sdt>
          </w:p>
        </w:tc>
      </w:tr>
      <w:tr w:rsidR="00077ECC" w14:paraId="30E6EB7B" w14:textId="77777777">
        <w:trPr>
          <w:trHeight w:val="134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2725D"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Data completeness (primary feasibility and clinical outcome measures)</w:t>
            </w:r>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A4322"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&lt;50% complete</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4E582D"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50–79% complete</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9949C" w14:textId="77777777" w:rsidR="00077ECC" w:rsidRDefault="00000000">
            <w:pPr>
              <w:spacing w:before="240" w:after="240" w:line="276" w:lineRule="auto"/>
              <w:jc w:val="both"/>
              <w:rPr>
                <w:rFonts w:ascii="Times New Roman" w:eastAsia="Times New Roman" w:hAnsi="Times New Roman" w:cs="Times New Roman"/>
                <w:sz w:val="22"/>
                <w:szCs w:val="22"/>
              </w:rPr>
            </w:pPr>
            <w:sdt>
              <w:sdtPr>
                <w:tag w:val="goog_rdk_7"/>
                <w:id w:val="-769647427"/>
              </w:sdtPr>
              <w:sdtContent>
                <w:r>
                  <w:rPr>
                    <w:rFonts w:ascii="Gungsuh" w:eastAsia="Gungsuh" w:hAnsi="Gungsuh" w:cs="Gungsuh"/>
                    <w:sz w:val="22"/>
                    <w:szCs w:val="22"/>
                  </w:rPr>
                  <w:t>≥80% complete</w:t>
                </w:r>
              </w:sdtContent>
            </w:sdt>
          </w:p>
        </w:tc>
      </w:tr>
      <w:tr w:rsidR="00077ECC" w14:paraId="30B1660C" w14:textId="77777777">
        <w:trPr>
          <w:trHeight w:val="1895"/>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49A1D"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Adverse events and safety</w:t>
            </w:r>
          </w:p>
        </w:tc>
        <w:tc>
          <w:tcPr>
            <w:tcW w:w="2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F90880"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Serious adverse events attributable to study participation requiring trial termination, as determined by the Trial Steering Committee and Ethics Committee</w:t>
            </w:r>
          </w:p>
        </w:tc>
        <w:tc>
          <w:tcPr>
            <w:tcW w:w="20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7F8A7"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Safety concerns requiring protocol modification and enhanced monitoring</w:t>
            </w:r>
          </w:p>
        </w:tc>
        <w:tc>
          <w:tcPr>
            <w:tcW w:w="18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9B1CEC"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No serious adverse events attributable to study participation</w:t>
            </w:r>
          </w:p>
        </w:tc>
      </w:tr>
    </w:tbl>
    <w:p w14:paraId="20A4ABCF" w14:textId="77777777" w:rsidR="00077ECC" w:rsidRDefault="00000000">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These outcomes evaluate the feasibility of recruiting and retaining participants, delivering the intervention as intended, maintaining engagement, and collecting complete outcome data. Findings will </w:t>
      </w:r>
      <w:r>
        <w:rPr>
          <w:rFonts w:ascii="Times New Roman" w:eastAsia="Times New Roman" w:hAnsi="Times New Roman" w:cs="Times New Roman"/>
          <w:sz w:val="22"/>
          <w:szCs w:val="22"/>
        </w:rPr>
        <w:lastRenderedPageBreak/>
        <w:t>inform decisions regarding progression to a future definitive trial and any modifications required to study procedures or intervention delivery.</w:t>
      </w:r>
    </w:p>
    <w:p w14:paraId="685FE8AE" w14:textId="77777777" w:rsidR="00077ECC" w:rsidRDefault="00000000">
      <w:pPr>
        <w:numPr>
          <w:ilvl w:val="1"/>
          <w:numId w:val="9"/>
        </w:numPr>
        <w:pBdr>
          <w:top w:val="nil"/>
          <w:left w:val="nil"/>
          <w:bottom w:val="nil"/>
          <w:right w:val="nil"/>
          <w:between w:val="nil"/>
        </w:pBdr>
        <w:spacing w:line="276" w:lineRule="auto"/>
        <w:rPr>
          <w:rFonts w:ascii="Times New Roman" w:eastAsia="Times New Roman" w:hAnsi="Times New Roman" w:cs="Times New Roman"/>
          <w:color w:val="000000"/>
          <w:sz w:val="22"/>
          <w:szCs w:val="22"/>
          <w:highlight w:val="yellow"/>
        </w:rPr>
      </w:pPr>
      <w:r>
        <w:rPr>
          <w:rFonts w:ascii="Times New Roman" w:eastAsia="Times New Roman" w:hAnsi="Times New Roman" w:cs="Times New Roman"/>
          <w:color w:val="2F5496"/>
          <w:sz w:val="22"/>
          <w:szCs w:val="22"/>
          <w:highlight w:val="yellow"/>
        </w:rPr>
        <w:t>Clinical Outcomes (Secondary)</w:t>
      </w:r>
    </w:p>
    <w:p w14:paraId="426E5C2A"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Clinical outcomes measure changes in child anxiety symptoms and emotional functioning using validated psychometric instruments.</w:t>
      </w:r>
    </w:p>
    <w:tbl>
      <w:tblPr>
        <w:tblStyle w:val="a1"/>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20"/>
        <w:gridCol w:w="1935"/>
        <w:gridCol w:w="1560"/>
        <w:gridCol w:w="1680"/>
        <w:gridCol w:w="1620"/>
      </w:tblGrid>
      <w:tr w:rsidR="00077ECC" w14:paraId="17C19725" w14:textId="77777777">
        <w:trPr>
          <w:trHeight w:val="515"/>
        </w:trPr>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D281E4"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Outcome</w:t>
            </w:r>
          </w:p>
        </w:tc>
        <w:tc>
          <w:tcPr>
            <w:tcW w:w="1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CDB803"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Instrument</w:t>
            </w:r>
          </w:p>
        </w:tc>
        <w:tc>
          <w:tcPr>
            <w:tcW w:w="15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18F6B3"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Respondent</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BCFFEE"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Timing</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B30B34"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Construction</w:t>
            </w:r>
          </w:p>
        </w:tc>
      </w:tr>
      <w:tr w:rsidR="00077ECC" w14:paraId="24992BD7" w14:textId="77777777">
        <w:trPr>
          <w:trHeight w:val="785"/>
        </w:trPr>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D02454"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Anxiety impact</w:t>
            </w:r>
          </w:p>
        </w:tc>
        <w:tc>
          <w:tcPr>
            <w:tcW w:w="1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0EAC11"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CAIS-P</w:t>
            </w:r>
          </w:p>
        </w:tc>
        <w:tc>
          <w:tcPr>
            <w:tcW w:w="15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EBE444"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A0C13E"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225EBC"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Total score</w:t>
            </w:r>
          </w:p>
        </w:tc>
      </w:tr>
      <w:tr w:rsidR="00077ECC" w14:paraId="1880C70C" w14:textId="77777777">
        <w:trPr>
          <w:trHeight w:val="785"/>
        </w:trPr>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338CE8"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Anxiety (self-report)</w:t>
            </w:r>
          </w:p>
        </w:tc>
        <w:tc>
          <w:tcPr>
            <w:tcW w:w="1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B163CC"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CAIS-C / ASC-ASD</w:t>
            </w:r>
          </w:p>
        </w:tc>
        <w:tc>
          <w:tcPr>
            <w:tcW w:w="15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4E2F79"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Child</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800ECB"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C479C7"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Total score</w:t>
            </w:r>
          </w:p>
        </w:tc>
      </w:tr>
      <w:tr w:rsidR="00077ECC" w14:paraId="716275A0" w14:textId="77777777">
        <w:trPr>
          <w:trHeight w:val="785"/>
        </w:trPr>
        <w:tc>
          <w:tcPr>
            <w:tcW w:w="22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60E5A9"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Emotional/behavioural functioning</w:t>
            </w:r>
          </w:p>
        </w:tc>
        <w:tc>
          <w:tcPr>
            <w:tcW w:w="19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7571D"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SDQ</w:t>
            </w:r>
          </w:p>
        </w:tc>
        <w:tc>
          <w:tcPr>
            <w:tcW w:w="15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B5E1C2"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w:t>
            </w:r>
          </w:p>
        </w:tc>
        <w:tc>
          <w:tcPr>
            <w:tcW w:w="1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A28A5E"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1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A32F82"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Total score</w:t>
            </w:r>
          </w:p>
        </w:tc>
      </w:tr>
    </w:tbl>
    <w:p w14:paraId="69476E70"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These outcomes provide preliminary evidence on the clinical effectiveness of the intervention in reducing child anxiety symptoms and improving emotional functioning.</w:t>
      </w:r>
    </w:p>
    <w:p w14:paraId="7464AD81" w14:textId="77777777" w:rsidR="00077ECC" w:rsidRDefault="00000000">
      <w:pPr>
        <w:pStyle w:val="Ttulo3"/>
        <w:numPr>
          <w:ilvl w:val="1"/>
          <w:numId w:val="9"/>
        </w:numPr>
        <w:spacing w:line="276" w:lineRule="auto"/>
        <w:rPr>
          <w:rFonts w:ascii="Times New Roman" w:eastAsia="Times New Roman" w:hAnsi="Times New Roman" w:cs="Times New Roman"/>
          <w:sz w:val="22"/>
          <w:szCs w:val="22"/>
          <w:highlight w:val="yellow"/>
        </w:rPr>
      </w:pPr>
      <w:bookmarkStart w:id="10" w:name="_heading=h.m6llk15eg16p" w:colFirst="0" w:colLast="0"/>
      <w:bookmarkEnd w:id="10"/>
      <w:r>
        <w:rPr>
          <w:rFonts w:ascii="Times New Roman" w:eastAsia="Times New Roman" w:hAnsi="Times New Roman" w:cs="Times New Roman"/>
          <w:sz w:val="22"/>
          <w:szCs w:val="22"/>
          <w:highlight w:val="yellow"/>
        </w:rPr>
        <w:t>Economic Outcomes (Secondary)</w:t>
      </w:r>
    </w:p>
    <w:p w14:paraId="55612081"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Economic outcomes assess the potential cost-effectiveness of the intervention and its effects on service utilization.</w:t>
      </w:r>
    </w:p>
    <w:tbl>
      <w:tblPr>
        <w:tblStyle w:val="a2"/>
        <w:tblW w:w="89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10"/>
        <w:gridCol w:w="1470"/>
        <w:gridCol w:w="1815"/>
        <w:gridCol w:w="1590"/>
        <w:gridCol w:w="1785"/>
      </w:tblGrid>
      <w:tr w:rsidR="00077ECC" w14:paraId="7DB401C2"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28CB69"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Outcome</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1026C0"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Instrument</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AB8903"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Respondent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B41C32"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Timing</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AA776A" w14:textId="77777777" w:rsidR="00077ECC" w:rsidRDefault="00000000">
            <w:pPr>
              <w:spacing w:after="0" w:line="276"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Construction</w:t>
            </w:r>
          </w:p>
        </w:tc>
      </w:tr>
      <w:tr w:rsidR="00077ECC" w14:paraId="76CCFCFA" w14:textId="77777777">
        <w:trPr>
          <w:trHeight w:val="806"/>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B47106"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Health-related quality of life</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60F5A2"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Child Health Utility–9 Dimensions (CHU-9D): a preference-based measure of child health-related quality of life used to derive utility scores and calculate QALYs.</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BC0478"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044769"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345C7C"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Utility scores derived using published preference weights</w:t>
            </w:r>
          </w:p>
        </w:tc>
      </w:tr>
      <w:tr w:rsidR="00077ECC" w14:paraId="75D516BF"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11ED4B"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Quality-Adjusted Life Years</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C9346F" w14:textId="77777777" w:rsidR="00077ECC" w:rsidRDefault="00077ECC">
            <w:pPr>
              <w:spacing w:after="0" w:line="276" w:lineRule="auto"/>
              <w:rPr>
                <w:rFonts w:ascii="Times New Roman" w:eastAsia="Times New Roman" w:hAnsi="Times New Roman" w:cs="Times New Roman"/>
                <w:sz w:val="22"/>
                <w:szCs w:val="22"/>
              </w:rPr>
            </w:pPr>
          </w:p>
          <w:tbl>
            <w:tblPr>
              <w:tblStyle w:val="a3"/>
              <w:tblW w:w="12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60"/>
            </w:tblGrid>
            <w:tr w:rsidR="00077ECC" w14:paraId="55A989CE" w14:textId="77777777">
              <w:trPr>
                <w:trHeight w:val="515"/>
              </w:trPr>
              <w:tc>
                <w:tcPr>
                  <w:tcW w:w="1260" w:type="dxa"/>
                  <w:tcBorders>
                    <w:top w:val="nil"/>
                    <w:left w:val="nil"/>
                    <w:bottom w:val="nil"/>
                    <w:right w:val="nil"/>
                  </w:tcBorders>
                  <w:tcMar>
                    <w:top w:w="100" w:type="dxa"/>
                    <w:left w:w="100" w:type="dxa"/>
                    <w:bottom w:w="100" w:type="dxa"/>
                    <w:right w:w="100" w:type="dxa"/>
                  </w:tcMar>
                </w:tcPr>
                <w:p w14:paraId="1CED462A"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Derived from CHU-9D utility scores</w:t>
                  </w:r>
                </w:p>
              </w:tc>
            </w:tr>
          </w:tbl>
          <w:p w14:paraId="641887CA" w14:textId="77777777" w:rsidR="00077ECC" w:rsidRDefault="00077ECC">
            <w:pPr>
              <w:spacing w:after="0" w:line="276" w:lineRule="auto"/>
              <w:rPr>
                <w:rFonts w:ascii="Times New Roman" w:eastAsia="Times New Roman" w:hAnsi="Times New Roman" w:cs="Times New Roman"/>
                <w:sz w:val="22"/>
                <w:szCs w:val="22"/>
              </w:rPr>
            </w:pP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1E3610"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0CC9F2"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AC235A"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Estimated using area-under-the-curve (AUC) with linear interpolation</w:t>
            </w:r>
          </w:p>
        </w:tc>
      </w:tr>
      <w:tr w:rsidR="00077ECC" w14:paraId="2666D525"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D6A28A"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Hospital service utilization</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263311"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CSRI / parent survey</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81F016"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E45ED2"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0w-24w</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168E88"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Inpatient stays, outpatient appointments, and emergency visits</w:t>
            </w:r>
          </w:p>
        </w:tc>
      </w:tr>
      <w:tr w:rsidR="00077ECC" w14:paraId="5FD2BD11"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0BA8D5"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Primary and community care utilization </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58DCA8"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CSRI / parent survey</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15D461"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813B51"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0w-24w</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8777"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Counts of contacts with primary care providers, mental health professionals, and community-based services </w:t>
            </w:r>
          </w:p>
        </w:tc>
      </w:tr>
      <w:tr w:rsidR="00077ECC" w14:paraId="7D2DDA2E" w14:textId="77777777">
        <w:trPr>
          <w:trHeight w:val="174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AC110A"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Medication use</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167AA3"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Survey</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6B7611"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9D1C28"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4DE3ED"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Prescribed and over-the-counter medication use</w:t>
            </w:r>
          </w:p>
        </w:tc>
      </w:tr>
      <w:tr w:rsidR="00077ECC" w14:paraId="2AAC5E7F"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1803CE"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Family-incurred costs</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56E1A9"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Survey</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1BD27B"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669A77"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40A2A4"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Travel-related and direct out-of-pocket expenses</w:t>
            </w:r>
          </w:p>
        </w:tc>
      </w:tr>
      <w:tr w:rsidR="00077ECC" w14:paraId="443B216B"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B1FDB6"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Healthcare costs</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5F0536"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Derived from resource utilization</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57B725" w14:textId="77777777" w:rsidR="00077ECC" w:rsidRDefault="00077ECC">
            <w:pPr>
              <w:spacing w:after="0" w:line="276" w:lineRule="auto"/>
              <w:rPr>
                <w:rFonts w:ascii="Times New Roman" w:eastAsia="Times New Roman" w:hAnsi="Times New Roman" w:cs="Times New Roman"/>
                <w:sz w:val="22"/>
                <w:szCs w:val="22"/>
              </w:rPr>
            </w:pP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19C7B4" w14:textId="77777777" w:rsidR="00077ECC" w:rsidRDefault="00077ECC">
            <w:pPr>
              <w:spacing w:after="0" w:line="276" w:lineRule="auto"/>
              <w:rPr>
                <w:rFonts w:ascii="Times New Roman" w:eastAsia="Times New Roman" w:hAnsi="Times New Roman" w:cs="Times New Roman"/>
                <w:sz w:val="22"/>
                <w:szCs w:val="22"/>
              </w:rPr>
            </w:pP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0F263F"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Resource utilization multiplied by unit costs</w:t>
            </w:r>
          </w:p>
        </w:tc>
      </w:tr>
      <w:tr w:rsidR="00077ECC" w14:paraId="2FBB8433"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7DDA3E"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Educational support services</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2A443C"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Survey</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885EC0"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A7EB5B"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0w- 24w</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FCC26C"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Formal educational supports and school-based assistance</w:t>
            </w:r>
          </w:p>
        </w:tc>
      </w:tr>
      <w:tr w:rsidR="00077ECC" w14:paraId="67D6841A"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CB6B19"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School absenteeism</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D87E5D"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Survey</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749F49"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0F83C5"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3EE4A5"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Days absent due to fears, worries, or anxiety </w:t>
            </w:r>
          </w:p>
        </w:tc>
      </w:tr>
      <w:tr w:rsidR="00077ECC" w14:paraId="0BA1652A" w14:textId="77777777">
        <w:trPr>
          <w:trHeight w:val="515"/>
        </w:trPr>
        <w:tc>
          <w:tcPr>
            <w:tcW w:w="2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96C472"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Social service interactions</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FB0B93"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Survey </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F7EF27" w14:textId="77777777" w:rsidR="00077ECC" w:rsidRDefault="00077ECC">
            <w:pPr>
              <w:spacing w:after="0" w:line="276" w:lineRule="auto"/>
              <w:rPr>
                <w:rFonts w:ascii="Times New Roman" w:eastAsia="Times New Roman" w:hAnsi="Times New Roman" w:cs="Times New Roman"/>
                <w:sz w:val="22"/>
                <w:szCs w:val="22"/>
              </w:rPr>
            </w:pP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9E8276"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0w-24w</w:t>
            </w:r>
          </w:p>
        </w:tc>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FFB3CC" w14:textId="77777777" w:rsidR="00077ECC" w:rsidRDefault="00000000">
            <w:p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Counts of contacts with social workers, family support services, and community social care services</w:t>
            </w:r>
          </w:p>
        </w:tc>
      </w:tr>
    </w:tbl>
    <w:p w14:paraId="49B2BDBF" w14:textId="77777777" w:rsidR="00077ECC" w:rsidRDefault="00077ECC">
      <w:pPr>
        <w:pStyle w:val="Ttulo2"/>
        <w:keepNext w:val="0"/>
        <w:keepLines w:val="0"/>
        <w:spacing w:before="360" w:line="276" w:lineRule="auto"/>
        <w:rPr>
          <w:rFonts w:ascii="Times New Roman" w:eastAsia="Times New Roman" w:hAnsi="Times New Roman" w:cs="Times New Roman"/>
          <w:b/>
          <w:bCs/>
          <w:color w:val="000000"/>
          <w:sz w:val="22"/>
          <w:szCs w:val="22"/>
        </w:rPr>
      </w:pPr>
      <w:bookmarkStart w:id="11" w:name="_heading=h.kvs6ko7n0df" w:colFirst="0" w:colLast="0"/>
      <w:bookmarkEnd w:id="11"/>
    </w:p>
    <w:p w14:paraId="692618C8" w14:textId="77777777" w:rsidR="00077ECC" w:rsidRDefault="00000000">
      <w:pPr>
        <w:pStyle w:val="Ttulo1"/>
        <w:numPr>
          <w:ilvl w:val="1"/>
          <w:numId w:val="9"/>
        </w:numPr>
        <w:spacing w:line="276" w:lineRule="auto"/>
        <w:rPr>
          <w:rFonts w:ascii="Times New Roman" w:eastAsia="Times New Roman" w:hAnsi="Times New Roman" w:cs="Times New Roman"/>
          <w:sz w:val="22"/>
          <w:szCs w:val="22"/>
          <w:highlight w:val="yellow"/>
        </w:rPr>
      </w:pPr>
      <w:r>
        <w:rPr>
          <w:rFonts w:ascii="Times New Roman" w:eastAsia="Times New Roman" w:hAnsi="Times New Roman" w:cs="Times New Roman"/>
          <w:sz w:val="22"/>
          <w:szCs w:val="22"/>
          <w:highlight w:val="yellow"/>
        </w:rPr>
        <w:t>Caregiver Outcomes (Secondary)</w:t>
      </w:r>
    </w:p>
    <w:p w14:paraId="7591AD09"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Caregiver outcomes capture potential spillover effects of the intervention on caregiver wellbeing and household economic behaviour.</w:t>
      </w:r>
    </w:p>
    <w:tbl>
      <w:tblPr>
        <w:tblStyle w:val="a4"/>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7"/>
        <w:gridCol w:w="2435"/>
        <w:gridCol w:w="1308"/>
        <w:gridCol w:w="1090"/>
        <w:gridCol w:w="2245"/>
      </w:tblGrid>
      <w:tr w:rsidR="00077ECC" w14:paraId="2C1D5751" w14:textId="77777777">
        <w:trPr>
          <w:trHeight w:val="946"/>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A82030" w14:textId="77777777" w:rsidR="00077ECC" w:rsidRDefault="00000000">
            <w:pPr>
              <w:spacing w:before="280" w:after="280" w:line="276" w:lineRule="auto"/>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Outcome</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7BD42" w14:textId="77777777" w:rsidR="00077ECC" w:rsidRDefault="00000000">
            <w:pPr>
              <w:spacing w:before="280" w:after="280" w:line="276" w:lineRule="auto"/>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Instrument</w:t>
            </w:r>
          </w:p>
        </w:tc>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547580" w14:textId="77777777" w:rsidR="00077ECC" w:rsidRDefault="00000000">
            <w:pPr>
              <w:spacing w:before="280" w:after="280" w:line="276" w:lineRule="auto"/>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Respondent</w:t>
            </w: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C9854" w14:textId="77777777" w:rsidR="00077ECC" w:rsidRDefault="00000000">
            <w:pPr>
              <w:spacing w:before="280" w:after="280" w:line="276" w:lineRule="auto"/>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Timing</w:t>
            </w:r>
          </w:p>
        </w:tc>
        <w:tc>
          <w:tcPr>
            <w:tcW w:w="2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C8669" w14:textId="77777777" w:rsidR="00077ECC" w:rsidRDefault="00000000">
            <w:pPr>
              <w:spacing w:before="280" w:after="280" w:line="276" w:lineRule="auto"/>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Construction</w:t>
            </w:r>
          </w:p>
        </w:tc>
      </w:tr>
      <w:tr w:rsidR="00077ECC" w14:paraId="3EC551B0" w14:textId="77777777">
        <w:trPr>
          <w:trHeight w:val="737"/>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AB993C"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Labour market participation</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298B1"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Survey and Administrative data (if available)</w:t>
            </w:r>
          </w:p>
        </w:tc>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8AEEA"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w:t>
            </w: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B4770"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2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0540D"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Employment status and hours worked</w:t>
            </w:r>
          </w:p>
        </w:tc>
      </w:tr>
      <w:tr w:rsidR="00077ECC" w14:paraId="6F9428A0" w14:textId="77777777">
        <w:trPr>
          <w:trHeight w:val="737"/>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B940C"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Anxiety symptoms</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CB524C"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GAD-7</w:t>
            </w:r>
          </w:p>
        </w:tc>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210175"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w:t>
            </w: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1A2CD"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2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F35E9"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Total score</w:t>
            </w:r>
          </w:p>
        </w:tc>
      </w:tr>
      <w:tr w:rsidR="00077ECC" w14:paraId="4F7F5F33" w14:textId="77777777">
        <w:trPr>
          <w:trHeight w:val="737"/>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76974"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Depressive symptoms</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C54D33"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PHQ-9</w:t>
            </w:r>
          </w:p>
        </w:tc>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F70FF"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w:t>
            </w: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ECDD0"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2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82F9"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Total score</w:t>
            </w:r>
          </w:p>
        </w:tc>
      </w:tr>
      <w:tr w:rsidR="00077ECC" w14:paraId="6ABA8929" w14:textId="77777777">
        <w:trPr>
          <w:trHeight w:val="737"/>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41213"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Caregiver burden</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E647FB"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Zarit Burden Interview – Short Form</w:t>
            </w:r>
          </w:p>
        </w:tc>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64434C"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w:t>
            </w: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768FA7"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2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1D9BA"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Total score</w:t>
            </w:r>
          </w:p>
        </w:tc>
      </w:tr>
      <w:tr w:rsidR="00077ECC" w14:paraId="2CA0B5B0" w14:textId="77777777">
        <w:trPr>
          <w:trHeight w:val="737"/>
        </w:trPr>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CECDF"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Parenting skills and confidence</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87EDF9"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Parenting Skills and Confidence Scale (PRCS)</w:t>
            </w:r>
          </w:p>
        </w:tc>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11D76"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w:t>
            </w: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3ED97"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0w, 14w, 24w</w:t>
            </w:r>
          </w:p>
        </w:tc>
        <w:tc>
          <w:tcPr>
            <w:tcW w:w="2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E9CC3"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Mean or total score across items</w:t>
            </w:r>
          </w:p>
        </w:tc>
      </w:tr>
    </w:tbl>
    <w:p w14:paraId="2C66FA67"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These outcomes aim to capture how improvements in child anxiety may affect caregiver wellbeing, time allocation, and labour market participation.</w:t>
      </w:r>
    </w:p>
    <w:p w14:paraId="05A1169E" w14:textId="77777777" w:rsidR="00077ECC" w:rsidRDefault="00000000">
      <w:pPr>
        <w:pStyle w:val="Ttulo2"/>
        <w:keepNext w:val="0"/>
        <w:keepLines w:val="0"/>
        <w:numPr>
          <w:ilvl w:val="0"/>
          <w:numId w:val="9"/>
        </w:numPr>
        <w:spacing w:before="360"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Estimands and Primary Comparisons</w:t>
      </w:r>
    </w:p>
    <w:p w14:paraId="0FED4CAB"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rPr>
      </w:pPr>
      <w:bookmarkStart w:id="12" w:name="_heading=h.9aj9tt8nvm8k" w:colFirst="0" w:colLast="0"/>
      <w:bookmarkEnd w:id="12"/>
      <w:r>
        <w:rPr>
          <w:rFonts w:ascii="Times New Roman" w:eastAsia="Times New Roman" w:hAnsi="Times New Roman" w:cs="Times New Roman"/>
          <w:b/>
          <w:bCs/>
          <w:color w:val="000000"/>
          <w:sz w:val="22"/>
          <w:szCs w:val="22"/>
        </w:rPr>
        <w:t>Feasibility Estimands</w:t>
      </w:r>
    </w:p>
    <w:p w14:paraId="1DA3087A"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Descriptive estimands capturing recruitment, adherence, retention, and data completeness by trial arm.</w:t>
      </w:r>
    </w:p>
    <w:p w14:paraId="1288E752" w14:textId="77777777" w:rsidR="00077ECC" w:rsidRDefault="00000000">
      <w:pPr>
        <w:pStyle w:val="Ttulo3"/>
        <w:keepNext w:val="0"/>
        <w:keepLines w:val="0"/>
        <w:numPr>
          <w:ilvl w:val="1"/>
          <w:numId w:val="9"/>
        </w:numPr>
        <w:spacing w:before="280" w:line="276" w:lineRule="auto"/>
        <w:rPr>
          <w:rFonts w:ascii="Times New Roman" w:eastAsia="Times New Roman" w:hAnsi="Times New Roman" w:cs="Times New Roman"/>
          <w:b/>
          <w:bCs/>
          <w:color w:val="000000"/>
          <w:sz w:val="22"/>
          <w:szCs w:val="22"/>
        </w:rPr>
      </w:pPr>
      <w:bookmarkStart w:id="13" w:name="_heading=h.udfv3s1kav2j" w:colFirst="0" w:colLast="0"/>
      <w:bookmarkEnd w:id="13"/>
      <w:r>
        <w:rPr>
          <w:rFonts w:ascii="Times New Roman" w:eastAsia="Times New Roman" w:hAnsi="Times New Roman" w:cs="Times New Roman"/>
          <w:b/>
          <w:bCs/>
          <w:color w:val="000000"/>
          <w:sz w:val="22"/>
          <w:szCs w:val="22"/>
        </w:rPr>
        <w:t>Clinical Estimands (Secondary)</w:t>
      </w:r>
    </w:p>
    <w:p w14:paraId="291EF4B4"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Under an intention-to-treat (ITT) framework, the primary clinical estimands are mean differences in CAIS-P scores at 14 weeks between:</w:t>
      </w:r>
    </w:p>
    <w:p w14:paraId="239E74E9" w14:textId="77777777" w:rsidR="00077ECC" w:rsidRDefault="00000000">
      <w:pPr>
        <w:numPr>
          <w:ilvl w:val="0"/>
          <w:numId w:val="3"/>
        </w:numPr>
        <w:spacing w:before="240"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OSI-A vs. TAU</w:t>
      </w:r>
      <w:r>
        <w:rPr>
          <w:rFonts w:ascii="Times New Roman" w:eastAsia="Times New Roman" w:hAnsi="Times New Roman" w:cs="Times New Roman"/>
          <w:sz w:val="22"/>
          <w:szCs w:val="22"/>
        </w:rPr>
        <w:br/>
      </w:r>
    </w:p>
    <w:p w14:paraId="10F7C81E" w14:textId="77777777" w:rsidR="00077ECC" w:rsidRDefault="00000000">
      <w:pPr>
        <w:numPr>
          <w:ilvl w:val="0"/>
          <w:numId w:val="3"/>
        </w:num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OSI-A + chatbot vs. TAU</w:t>
      </w:r>
      <w:r>
        <w:rPr>
          <w:rFonts w:ascii="Times New Roman" w:eastAsia="Times New Roman" w:hAnsi="Times New Roman" w:cs="Times New Roman"/>
          <w:sz w:val="22"/>
          <w:szCs w:val="22"/>
        </w:rPr>
        <w:br/>
      </w:r>
    </w:p>
    <w:p w14:paraId="0CC4E697" w14:textId="77777777" w:rsidR="00077ECC" w:rsidRPr="001E549B" w:rsidRDefault="00000000">
      <w:pPr>
        <w:numPr>
          <w:ilvl w:val="0"/>
          <w:numId w:val="3"/>
        </w:numPr>
        <w:spacing w:after="240" w:line="276" w:lineRule="auto"/>
        <w:rPr>
          <w:rFonts w:ascii="Times New Roman" w:eastAsia="Times New Roman" w:hAnsi="Times New Roman" w:cs="Times New Roman"/>
          <w:sz w:val="22"/>
          <w:szCs w:val="22"/>
          <w:lang w:val="es-PE"/>
        </w:rPr>
      </w:pPr>
      <w:r w:rsidRPr="001E549B">
        <w:rPr>
          <w:rFonts w:ascii="Times New Roman" w:eastAsia="Times New Roman" w:hAnsi="Times New Roman" w:cs="Times New Roman"/>
          <w:sz w:val="22"/>
          <w:szCs w:val="22"/>
          <w:lang w:val="es-PE"/>
        </w:rPr>
        <w:t>OSI-A + chatbot vs. OSI-A</w:t>
      </w:r>
    </w:p>
    <w:p w14:paraId="78CEF177"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Analogous estimands are defined for 24-week outcomes.</w:t>
      </w:r>
    </w:p>
    <w:p w14:paraId="36124E6E" w14:textId="77777777" w:rsidR="00077ECC" w:rsidRDefault="00000000">
      <w:pPr>
        <w:pStyle w:val="Ttulo2"/>
        <w:keepNext w:val="0"/>
        <w:keepLines w:val="0"/>
        <w:numPr>
          <w:ilvl w:val="0"/>
          <w:numId w:val="9"/>
        </w:numPr>
        <w:spacing w:before="360" w:line="276" w:lineRule="auto"/>
        <w:rPr>
          <w:rFonts w:ascii="Times New Roman" w:eastAsia="Times New Roman" w:hAnsi="Times New Roman" w:cs="Times New Roman"/>
          <w:sz w:val="22"/>
          <w:szCs w:val="22"/>
          <w:highlight w:val="yellow"/>
        </w:rPr>
      </w:pPr>
      <w:r>
        <w:rPr>
          <w:rFonts w:ascii="Times New Roman" w:eastAsia="Times New Roman" w:hAnsi="Times New Roman" w:cs="Times New Roman"/>
          <w:b/>
          <w:bCs/>
          <w:color w:val="000000"/>
          <w:sz w:val="22"/>
          <w:szCs w:val="22"/>
          <w:highlight w:val="yellow"/>
        </w:rPr>
        <w:t>Analysis Samples</w:t>
      </w:r>
      <w:r>
        <w:rPr>
          <w:rFonts w:ascii="Times New Roman" w:eastAsia="Times New Roman" w:hAnsi="Times New Roman" w:cs="Times New Roman"/>
          <w:sz w:val="22"/>
          <w:szCs w:val="22"/>
          <w:highlight w:val="yellow"/>
        </w:rPr>
        <w:br/>
      </w:r>
    </w:p>
    <w:p w14:paraId="77579086" w14:textId="77777777" w:rsidR="00077ECC" w:rsidRDefault="00000000">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 Intention-to-Treat (ITT) population will include all randomised caregiver–child dyads and will serve as the primary analysis population. Participants will be analysed according to their original treatment assignment regardless of intervention uptake, adherence, or dosage.</w:t>
      </w:r>
    </w:p>
    <w:p w14:paraId="75505837" w14:textId="77777777" w:rsidR="00077ECC" w:rsidRDefault="00000000">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Secondary analyses may explore the effect of intervention adherence using an Instrumental Variables (IV) approach, where random treatment assignment will be used as an instrument for intervention uptake. Adherence will be defined according to pre-specified criteria (e.g., completion of at least six intervention modules and at least one therapist contact). This approach aims to estimate compiler-average causal effects while preserving the benefits of randomisation.</w:t>
      </w:r>
    </w:p>
    <w:p w14:paraId="265539C8" w14:textId="77777777" w:rsidR="00077ECC" w:rsidRDefault="00000000">
      <w:pPr>
        <w:pStyle w:val="Ttulo2"/>
        <w:keepNext w:val="0"/>
        <w:keepLines w:val="0"/>
        <w:numPr>
          <w:ilvl w:val="0"/>
          <w:numId w:val="9"/>
        </w:numPr>
        <w:spacing w:before="360" w:line="276" w:lineRule="auto"/>
        <w:rPr>
          <w:rFonts w:ascii="Times New Roman" w:eastAsia="Times New Roman" w:hAnsi="Times New Roman" w:cs="Times New Roman"/>
          <w:b/>
          <w:bCs/>
          <w:color w:val="000000"/>
          <w:sz w:val="22"/>
          <w:szCs w:val="22"/>
        </w:rPr>
      </w:pPr>
      <w:bookmarkStart w:id="14" w:name="_heading=h.4vn1r9hfzxbm" w:colFirst="0" w:colLast="0"/>
      <w:bookmarkEnd w:id="14"/>
      <w:r>
        <w:rPr>
          <w:rFonts w:ascii="Times New Roman" w:eastAsia="Times New Roman" w:hAnsi="Times New Roman" w:cs="Times New Roman"/>
          <w:b/>
          <w:bCs/>
          <w:color w:val="000000"/>
          <w:sz w:val="22"/>
          <w:szCs w:val="22"/>
        </w:rPr>
        <w:t xml:space="preserve">Feasibility Success Criteria </w:t>
      </w:r>
    </w:p>
    <w:p w14:paraId="2E96749D"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 pilot will be considered operationally feasible if:</w:t>
      </w:r>
    </w:p>
    <w:p w14:paraId="5D048566" w14:textId="77777777" w:rsidR="00077ECC" w:rsidRDefault="00000000">
      <w:pPr>
        <w:numPr>
          <w:ilvl w:val="0"/>
          <w:numId w:val="6"/>
        </w:numPr>
        <w:spacing w:before="240" w:after="0" w:line="276" w:lineRule="auto"/>
        <w:rPr>
          <w:rFonts w:ascii="Times New Roman" w:eastAsia="Times New Roman" w:hAnsi="Times New Roman" w:cs="Times New Roman"/>
          <w:sz w:val="22"/>
          <w:szCs w:val="22"/>
        </w:rPr>
      </w:pPr>
      <w:sdt>
        <w:sdtPr>
          <w:tag w:val="goog_rdk_8"/>
          <w:id w:val="-1740058462"/>
        </w:sdtPr>
        <w:sdtContent>
          <w:r>
            <w:rPr>
              <w:rFonts w:ascii="Gungsuh" w:eastAsia="Gungsuh" w:hAnsi="Gungsuh" w:cs="Gungsuh"/>
              <w:sz w:val="22"/>
              <w:szCs w:val="22"/>
            </w:rPr>
            <w:t>≥70% of randomised dyads complete the 14-week assessment</w:t>
          </w:r>
        </w:sdtContent>
      </w:sdt>
    </w:p>
    <w:p w14:paraId="117E7625" w14:textId="77777777" w:rsidR="00077ECC" w:rsidRDefault="00000000">
      <w:pPr>
        <w:numPr>
          <w:ilvl w:val="0"/>
          <w:numId w:val="6"/>
        </w:numPr>
        <w:spacing w:after="0" w:line="276" w:lineRule="auto"/>
        <w:rPr>
          <w:rFonts w:ascii="Times New Roman" w:eastAsia="Times New Roman" w:hAnsi="Times New Roman" w:cs="Times New Roman"/>
          <w:sz w:val="22"/>
          <w:szCs w:val="22"/>
        </w:rPr>
      </w:pPr>
      <w:sdt>
        <w:sdtPr>
          <w:tag w:val="goog_rdk_9"/>
          <w:id w:val="1664291211"/>
        </w:sdtPr>
        <w:sdtContent>
          <w:r>
            <w:rPr>
              <w:rFonts w:ascii="Gungsuh" w:eastAsia="Gungsuh" w:hAnsi="Gungsuh" w:cs="Gungsuh"/>
              <w:sz w:val="22"/>
              <w:szCs w:val="22"/>
            </w:rPr>
            <w:t>≥60% of intervention participants complete ≥6 modules</w:t>
          </w:r>
        </w:sdtContent>
      </w:sdt>
    </w:p>
    <w:p w14:paraId="3B8725FC" w14:textId="77777777" w:rsidR="00077ECC" w:rsidRDefault="00000000">
      <w:pPr>
        <w:numPr>
          <w:ilvl w:val="0"/>
          <w:numId w:val="6"/>
        </w:numPr>
        <w:spacing w:after="240" w:line="276" w:lineRule="auto"/>
        <w:rPr>
          <w:rFonts w:ascii="Times New Roman" w:eastAsia="Times New Roman" w:hAnsi="Times New Roman" w:cs="Times New Roman"/>
          <w:sz w:val="22"/>
          <w:szCs w:val="22"/>
        </w:rPr>
      </w:pPr>
      <w:sdt>
        <w:sdtPr>
          <w:tag w:val="goog_rdk_10"/>
          <w:id w:val="-560747847"/>
        </w:sdtPr>
        <w:sdtContent>
          <w:r>
            <w:rPr>
              <w:rFonts w:ascii="Gungsuh" w:eastAsia="Gungsuh" w:hAnsi="Gungsuh" w:cs="Gungsuh"/>
              <w:sz w:val="22"/>
              <w:szCs w:val="22"/>
            </w:rPr>
            <w:t>≥80% completeness of CAIS-P and CHU-9D at follow-up</w:t>
          </w:r>
        </w:sdtContent>
      </w:sdt>
    </w:p>
    <w:p w14:paraId="4AC90565"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These benchmarks guide interpretation and are not formal hypothesis tests.</w:t>
      </w:r>
    </w:p>
    <w:p w14:paraId="1CE0CD29" w14:textId="77777777" w:rsidR="00077ECC" w:rsidRDefault="00000000">
      <w:pPr>
        <w:pStyle w:val="Ttulo2"/>
        <w:keepNext w:val="0"/>
        <w:keepLines w:val="0"/>
        <w:numPr>
          <w:ilvl w:val="0"/>
          <w:numId w:val="10"/>
        </w:numPr>
        <w:spacing w:before="360" w:line="276" w:lineRule="auto"/>
        <w:rPr>
          <w:rFonts w:ascii="Times New Roman" w:eastAsia="Times New Roman" w:hAnsi="Times New Roman" w:cs="Times New Roman"/>
          <w:b/>
          <w:bCs/>
          <w:color w:val="000000"/>
          <w:sz w:val="22"/>
          <w:szCs w:val="22"/>
        </w:rPr>
      </w:pPr>
      <w:bookmarkStart w:id="15" w:name="_heading=h.cq7lyjfnky2t" w:colFirst="0" w:colLast="0"/>
      <w:bookmarkEnd w:id="15"/>
      <w:r>
        <w:rPr>
          <w:rFonts w:ascii="Times New Roman" w:eastAsia="Times New Roman" w:hAnsi="Times New Roman" w:cs="Times New Roman"/>
          <w:b/>
          <w:bCs/>
          <w:color w:val="000000"/>
          <w:sz w:val="22"/>
          <w:szCs w:val="22"/>
        </w:rPr>
        <w:t>Statistical Methods</w:t>
      </w:r>
    </w:p>
    <w:p w14:paraId="772B4CB9" w14:textId="77777777" w:rsidR="00077ECC" w:rsidRDefault="00000000">
      <w:pPr>
        <w:pStyle w:val="Ttulo3"/>
        <w:keepNext w:val="0"/>
        <w:keepLines w:val="0"/>
        <w:numPr>
          <w:ilvl w:val="1"/>
          <w:numId w:val="10"/>
        </w:numPr>
        <w:spacing w:before="280" w:line="276" w:lineRule="auto"/>
        <w:rPr>
          <w:rFonts w:ascii="Times New Roman" w:eastAsia="Times New Roman" w:hAnsi="Times New Roman" w:cs="Times New Roman"/>
          <w:b/>
          <w:bCs/>
          <w:color w:val="000000"/>
          <w:sz w:val="22"/>
          <w:szCs w:val="22"/>
        </w:rPr>
      </w:pPr>
      <w:bookmarkStart w:id="16" w:name="_heading=h.skba49gc4mn5" w:colFirst="0" w:colLast="0"/>
      <w:bookmarkEnd w:id="16"/>
      <w:r>
        <w:rPr>
          <w:rFonts w:ascii="Times New Roman" w:eastAsia="Times New Roman" w:hAnsi="Times New Roman" w:cs="Times New Roman"/>
          <w:b/>
          <w:bCs/>
          <w:color w:val="000000"/>
          <w:sz w:val="22"/>
          <w:szCs w:val="22"/>
        </w:rPr>
        <w:t>Feasibility Outcomes</w:t>
      </w:r>
    </w:p>
    <w:p w14:paraId="532B4333" w14:textId="77777777" w:rsidR="00077ECC" w:rsidRDefault="00000000">
      <w:pPr>
        <w:pStyle w:val="Ttulo3"/>
        <w:keepNext w:val="0"/>
        <w:keepLines w:val="0"/>
        <w:spacing w:before="280" w:line="276" w:lineRule="auto"/>
        <w:rPr>
          <w:rFonts w:ascii="Times New Roman" w:eastAsia="Times New Roman" w:hAnsi="Times New Roman" w:cs="Times New Roman"/>
          <w:color w:val="000000"/>
          <w:sz w:val="22"/>
          <w:szCs w:val="22"/>
        </w:rPr>
      </w:pPr>
      <w:bookmarkStart w:id="17" w:name="_heading=h.wuswwfb27z3t" w:colFirst="0" w:colLast="0"/>
      <w:bookmarkEnd w:id="17"/>
      <w:r>
        <w:rPr>
          <w:rFonts w:ascii="Times New Roman" w:eastAsia="Times New Roman" w:hAnsi="Times New Roman" w:cs="Times New Roman"/>
          <w:color w:val="000000"/>
          <w:sz w:val="22"/>
          <w:szCs w:val="22"/>
        </w:rPr>
        <w:lastRenderedPageBreak/>
        <w:t>Feasibility outcomes will be reported descriptively by treatment arm using means, proportions, and 95% confidence intervals. No formal hypothesis testing will be emphasised, as the primary objective of the trial is to assess feasibility rather than effectiveness.</w:t>
      </w:r>
    </w:p>
    <w:p w14:paraId="3DBDEE3E" w14:textId="77777777" w:rsidR="00077ECC" w:rsidRDefault="00000000">
      <w:pPr>
        <w:pStyle w:val="Ttulo3"/>
        <w:keepNext w:val="0"/>
        <w:keepLines w:val="0"/>
        <w:numPr>
          <w:ilvl w:val="1"/>
          <w:numId w:val="10"/>
        </w:numPr>
        <w:spacing w:before="280" w:line="276" w:lineRule="auto"/>
        <w:rPr>
          <w:rFonts w:ascii="Times New Roman" w:eastAsia="Times New Roman" w:hAnsi="Times New Roman" w:cs="Times New Roman"/>
          <w:b/>
          <w:bCs/>
          <w:color w:val="000000"/>
          <w:sz w:val="22"/>
          <w:szCs w:val="22"/>
          <w:highlight w:val="yellow"/>
        </w:rPr>
      </w:pPr>
      <w:r>
        <w:rPr>
          <w:rFonts w:ascii="Times New Roman" w:eastAsia="Times New Roman" w:hAnsi="Times New Roman" w:cs="Times New Roman"/>
          <w:b/>
          <w:bCs/>
          <w:color w:val="000000"/>
          <w:sz w:val="22"/>
          <w:szCs w:val="22"/>
          <w:highlight w:val="yellow"/>
        </w:rPr>
        <w:t>Clinical and Economic Outcomes</w:t>
      </w:r>
    </w:p>
    <w:p w14:paraId="3A699DE2"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The primary estimand follows an intention-to-treat (ITT) framework and corresponds to the difference in mean outcomes between each treatment arm and the control group at post-intervention. Participants will be analysed according to their original treatment assignment, regardless of intervention uptake, dosage, or compliance. Age and recruitment site will be included as control variables in the analysis. Recruitment </w:t>
      </w:r>
      <w:r>
        <w:rPr>
          <w:rFonts w:ascii="Times New Roman" w:eastAsia="Times New Roman" w:hAnsi="Times New Roman" w:cs="Times New Roman"/>
          <w:sz w:val="22"/>
          <w:szCs w:val="22"/>
        </w:rPr>
        <w:t>sites</w:t>
      </w:r>
      <w:r>
        <w:rPr>
          <w:rFonts w:ascii="Times New Roman" w:eastAsia="Times New Roman" w:hAnsi="Times New Roman" w:cs="Times New Roman"/>
          <w:color w:val="000000"/>
          <w:sz w:val="22"/>
          <w:szCs w:val="22"/>
        </w:rPr>
        <w:t xml:space="preserve"> will be treated as a fixed design factor.</w:t>
      </w:r>
    </w:p>
    <w:p w14:paraId="00DACD62"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Clinical outcomes will be analysed using regression models comparing outcomes across the three treatment arms. For outcomes measured repeatedly over time, mixed-effects models will be used to account for within-individual correlation across observations.</w:t>
      </w:r>
    </w:p>
    <w:p w14:paraId="6505D9C1"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The primary specification is:</w:t>
      </w:r>
    </w:p>
    <w:p w14:paraId="2C7FA0F3" w14:textId="77777777" w:rsidR="00077ECC" w:rsidRDefault="00000000">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Y</m:t>
              </m:r>
            </m:e>
            <m:sub>
              <m:r>
                <w:rPr>
                  <w:rFonts w:ascii="Cambria Math" w:eastAsia="Cambria Math" w:hAnsi="Cambria Math" w:cs="Cambria Math"/>
                  <w:sz w:val="22"/>
                  <w:szCs w:val="22"/>
                </w:rPr>
                <m:t>it</m:t>
              </m:r>
            </m:sub>
          </m:sSub>
          <m:r>
            <w:rPr>
              <w:rFonts w:ascii="Cambria Math" w:eastAsia="Cambria Math" w:hAnsi="Cambria Math" w:cs="Cambria Math"/>
              <w:sz w:val="22"/>
              <w:szCs w:val="22"/>
            </w:rPr>
            <m:t>=α+</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β</m:t>
              </m:r>
            </m:e>
            <m:sub>
              <m:r>
                <w:rPr>
                  <w:rFonts w:ascii="Cambria Math" w:eastAsia="Cambria Math" w:hAnsi="Cambria Math" w:cs="Cambria Math"/>
                  <w:sz w:val="22"/>
                  <w:szCs w:val="22"/>
                </w:rPr>
                <m:t>1</m:t>
              </m:r>
            </m:sub>
          </m:sSub>
          <m:r>
            <w:rPr>
              <w:rFonts w:ascii="Cambria Math" w:eastAsia="Cambria Math" w:hAnsi="Cambria Math" w:cs="Cambria Math"/>
              <w:sz w:val="22"/>
              <w:szCs w:val="22"/>
            </w:rPr>
            <m:t>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1</m:t>
              </m:r>
            </m:e>
            <m:sub>
              <m:r>
                <w:rPr>
                  <w:rFonts w:ascii="Cambria Math" w:eastAsia="Cambria Math" w:hAnsi="Cambria Math" w:cs="Cambria Math"/>
                  <w:sz w:val="22"/>
                  <w:szCs w:val="22"/>
                </w:rPr>
                <m:t>i</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β</m:t>
              </m:r>
            </m:e>
            <m:sub>
              <m:r>
                <w:rPr>
                  <w:rFonts w:ascii="Cambria Math" w:eastAsia="Cambria Math" w:hAnsi="Cambria Math" w:cs="Cambria Math"/>
                  <w:sz w:val="22"/>
                  <w:szCs w:val="22"/>
                </w:rPr>
                <m:t>2</m:t>
              </m:r>
            </m:sub>
          </m:sSub>
          <m:r>
            <w:rPr>
              <w:rFonts w:ascii="Cambria Math" w:eastAsia="Cambria Math" w:hAnsi="Cambria Math" w:cs="Cambria Math"/>
              <w:sz w:val="22"/>
              <w:szCs w:val="22"/>
            </w:rPr>
            <m:t>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2</m:t>
              </m:r>
            </m:e>
            <m:sub>
              <m:r>
                <w:rPr>
                  <w:rFonts w:ascii="Cambria Math" w:eastAsia="Cambria Math" w:hAnsi="Cambria Math" w:cs="Cambria Math"/>
                  <w:sz w:val="22"/>
                  <w:szCs w:val="22"/>
                </w:rPr>
                <m:t>i</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δ</m:t>
              </m:r>
            </m:e>
            <m:sub>
              <m:r>
                <w:rPr>
                  <w:rFonts w:ascii="Cambria Math" w:eastAsia="Cambria Math" w:hAnsi="Cambria Math" w:cs="Cambria Math"/>
                  <w:sz w:val="22"/>
                  <w:szCs w:val="22"/>
                </w:rPr>
                <m:t>t</m:t>
              </m:r>
            </m:sub>
          </m:sSub>
          <m:r>
            <w:rPr>
              <w:rFonts w:ascii="Cambria Math" w:eastAsia="Cambria Math" w:hAnsi="Cambria Math" w:cs="Cambria Math"/>
              <w:sz w:val="22"/>
              <w:szCs w:val="22"/>
            </w:rPr>
            <m:t>+γ</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Y</m:t>
              </m:r>
            </m:e>
            <m:sub>
              <m:r>
                <w:rPr>
                  <w:rFonts w:ascii="Cambria Math" w:eastAsia="Cambria Math" w:hAnsi="Cambria Math" w:cs="Cambria Math"/>
                  <w:sz w:val="22"/>
                  <w:szCs w:val="22"/>
                </w:rPr>
                <m:t>i0</m:t>
              </m:r>
            </m:sub>
          </m:sSub>
          <m:r>
            <w:rPr>
              <w:rFonts w:ascii="Cambria Math" w:eastAsia="Cambria Math" w:hAnsi="Cambria Math" w:cs="Cambria Math"/>
              <w:sz w:val="22"/>
              <w:szCs w:val="22"/>
            </w:rPr>
            <m:t xml:space="preserve"> +θ</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S</m:t>
              </m:r>
            </m:e>
            <m:sub>
              <m:r>
                <w:rPr>
                  <w:rFonts w:ascii="Cambria Math" w:eastAsia="Cambria Math" w:hAnsi="Cambria Math" w:cs="Cambria Math"/>
                  <w:color w:val="000000"/>
                  <w:sz w:val="22"/>
                  <w:szCs w:val="22"/>
                </w:rPr>
                <m:t>i</m:t>
              </m:r>
            </m:sub>
          </m:sSub>
          <m:r>
            <w:rPr>
              <w:rFonts w:ascii="Cambria Math" w:eastAsia="Cambria Math" w:hAnsi="Cambria Math" w:cs="Cambria Math"/>
            </w:rPr>
            <m:t xml:space="preserve"> + </m:t>
          </m:r>
          <m:sSub>
            <m:sSubPr>
              <m:ctrlPr>
                <w:rPr>
                  <w:rFonts w:ascii="Cambria Math" w:eastAsia="Cambria Math" w:hAnsi="Cambria Math" w:cs="Cambria Math"/>
                  <w:sz w:val="22"/>
                  <w:szCs w:val="22"/>
                </w:rPr>
              </m:ctrlPr>
            </m:sSubPr>
            <m:e>
              <m:r>
                <w:rPr>
                  <w:rFonts w:ascii="Cambria Math" w:eastAsia="Cambria Math" w:hAnsi="Cambria Math" w:cs="Cambria Math"/>
                </w:rPr>
                <m:t>ϵ</m:t>
              </m:r>
            </m:e>
            <m:sub>
              <m:r>
                <w:rPr>
                  <w:rFonts w:ascii="Cambria Math" w:eastAsia="Cambria Math" w:hAnsi="Cambria Math" w:cs="Cambria Math"/>
                  <w:sz w:val="22"/>
                  <w:szCs w:val="22"/>
                </w:rPr>
                <m:t>it</m:t>
              </m:r>
            </m:sub>
          </m:sSub>
        </m:oMath>
      </m:oMathPara>
    </w:p>
    <w:p w14:paraId="374E556E"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where:</w:t>
      </w:r>
    </w:p>
    <w:p w14:paraId="53303DEB" w14:textId="77777777" w:rsidR="00077ECC" w:rsidRDefault="00000000">
      <w:pPr>
        <w:numPr>
          <w:ilvl w:val="0"/>
          <w:numId w:val="8"/>
        </w:numPr>
        <w:pBdr>
          <w:top w:val="nil"/>
          <w:left w:val="nil"/>
          <w:bottom w:val="nil"/>
          <w:right w:val="nil"/>
          <w:between w:val="nil"/>
        </w:pBdr>
        <w:spacing w:before="280" w:after="0" w:line="276" w:lineRule="auto"/>
        <w:rPr>
          <w:rFonts w:ascii="Times New Roman" w:eastAsia="Times New Roman" w:hAnsi="Times New Roman" w:cs="Times New Roman"/>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Y</m:t>
            </m:r>
          </m:e>
          <m:sub>
            <m:r>
              <w:rPr>
                <w:rFonts w:ascii="Cambria Math" w:eastAsia="Cambria Math" w:hAnsi="Cambria Math" w:cs="Cambria Math"/>
                <w:color w:val="000000"/>
                <w:sz w:val="22"/>
                <w:szCs w:val="22"/>
              </w:rPr>
              <m:t>it</m:t>
            </m:r>
          </m:sub>
        </m:sSub>
        <m:r>
          <w:rPr>
            <w:rFonts w:ascii="Cambria Math" w:eastAsia="Cambria Math" w:hAnsi="Cambria Math" w:cs="Cambria Math"/>
            <w:color w:val="000000"/>
            <w:sz w:val="22"/>
            <w:szCs w:val="22"/>
          </w:rPr>
          <m:t xml:space="preserve"> </m:t>
        </m:r>
      </m:oMath>
      <w:r>
        <w:rPr>
          <w:rFonts w:ascii="Times New Roman" w:eastAsia="Times New Roman" w:hAnsi="Times New Roman" w:cs="Times New Roman"/>
          <w:color w:val="000000"/>
          <w:sz w:val="22"/>
          <w:szCs w:val="22"/>
        </w:rPr>
        <w:t xml:space="preserve">is the outcome for individual </w:t>
      </w:r>
      <w:r>
        <w:rPr>
          <w:rFonts w:ascii="Times New Roman" w:eastAsia="Times New Roman" w:hAnsi="Times New Roman" w:cs="Times New Roman"/>
          <w:i/>
          <w:iCs/>
          <w:color w:val="000000"/>
          <w:sz w:val="22"/>
          <w:szCs w:val="22"/>
        </w:rPr>
        <w:t>i</w:t>
      </w:r>
      <w:r>
        <w:rPr>
          <w:rFonts w:ascii="Times New Roman" w:eastAsia="Times New Roman" w:hAnsi="Times New Roman" w:cs="Times New Roman"/>
          <w:color w:val="000000"/>
          <w:sz w:val="22"/>
          <w:szCs w:val="22"/>
        </w:rPr>
        <w:t xml:space="preserve"> at time </w:t>
      </w:r>
      <w:r>
        <w:rPr>
          <w:rFonts w:ascii="Times New Roman" w:eastAsia="Times New Roman" w:hAnsi="Times New Roman" w:cs="Times New Roman"/>
          <w:i/>
          <w:iCs/>
          <w:color w:val="000000"/>
          <w:sz w:val="22"/>
          <w:szCs w:val="22"/>
        </w:rPr>
        <w:t>t</w:t>
      </w:r>
    </w:p>
    <w:p w14:paraId="7CC43BDB" w14:textId="77777777" w:rsidR="00077ECC" w:rsidRDefault="00000000">
      <w:pPr>
        <w:numPr>
          <w:ilvl w:val="0"/>
          <w:numId w:val="8"/>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m:oMath>
        <m:r>
          <w:rPr>
            <w:rFonts w:ascii="Cambria Math" w:eastAsia="Cambria Math" w:hAnsi="Cambria Math" w:cs="Cambria Math"/>
            <w:color w:val="000000"/>
            <w:sz w:val="22"/>
            <w:szCs w:val="22"/>
          </w:rPr>
          <m:t>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1</m:t>
            </m:r>
          </m:e>
          <m:sub>
            <m:r>
              <w:rPr>
                <w:rFonts w:ascii="Cambria Math" w:eastAsia="Cambria Math" w:hAnsi="Cambria Math" w:cs="Cambria Math"/>
                <w:color w:val="000000"/>
                <w:sz w:val="22"/>
                <w:szCs w:val="22"/>
              </w:rPr>
              <m:t xml:space="preserve">i </m:t>
            </m:r>
          </m:sub>
        </m:sSub>
      </m:oMath>
      <w:r>
        <w:rPr>
          <w:rFonts w:ascii="Times New Roman" w:eastAsia="Times New Roman" w:hAnsi="Times New Roman" w:cs="Times New Roman"/>
          <w:color w:val="000000"/>
          <w:sz w:val="22"/>
          <w:szCs w:val="22"/>
        </w:rPr>
        <w:t>indicates assignment to the OSI-A intervention</w:t>
      </w:r>
    </w:p>
    <w:p w14:paraId="0F393872" w14:textId="77777777" w:rsidR="00077ECC" w:rsidRDefault="00000000">
      <w:pPr>
        <w:numPr>
          <w:ilvl w:val="0"/>
          <w:numId w:val="8"/>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m:oMath>
        <m:r>
          <w:rPr>
            <w:rFonts w:ascii="Cambria Math" w:eastAsia="Cambria Math" w:hAnsi="Cambria Math" w:cs="Cambria Math"/>
            <w:color w:val="000000"/>
            <w:sz w:val="22"/>
            <w:szCs w:val="22"/>
          </w:rPr>
          <m:t>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2</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oMath>
      <w:r>
        <w:rPr>
          <w:rFonts w:ascii="Times New Roman" w:eastAsia="Times New Roman" w:hAnsi="Times New Roman" w:cs="Times New Roman"/>
          <w:color w:val="000000"/>
          <w:sz w:val="22"/>
          <w:szCs w:val="22"/>
        </w:rPr>
        <w:t>indicates assignment to the OSI-AI intervention</w:t>
      </w:r>
    </w:p>
    <w:p w14:paraId="213738DE" w14:textId="77777777" w:rsidR="00077ECC" w:rsidRDefault="00000000">
      <w:pPr>
        <w:numPr>
          <w:ilvl w:val="0"/>
          <w:numId w:val="8"/>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m:oMath>
        <m:sSub>
          <m:sSubPr>
            <m:ctrlPr>
              <w:rPr>
                <w:rFonts w:ascii="Cambria Math" w:eastAsia="Cambria Math" w:hAnsi="Cambria Math" w:cs="Cambria Math"/>
                <w:color w:val="000000"/>
                <w:sz w:val="22"/>
                <w:szCs w:val="22"/>
              </w:rPr>
            </m:ctrlPr>
          </m:sSubPr>
          <m:e>
            <m:r>
              <w:rPr>
                <w:rFonts w:ascii="Cambria Math" w:hAnsi="Cambria Math"/>
              </w:rPr>
              <m:t>δ</m:t>
            </m:r>
          </m:e>
          <m:sub>
            <m:r>
              <w:rPr>
                <w:rFonts w:ascii="Cambria Math" w:eastAsia="Cambria Math" w:hAnsi="Cambria Math" w:cs="Cambria Math"/>
                <w:color w:val="000000"/>
                <w:sz w:val="22"/>
                <w:szCs w:val="22"/>
              </w:rPr>
              <m:t>t</m:t>
            </m:r>
          </m:sub>
        </m:sSub>
        <m:r>
          <w:rPr>
            <w:rFonts w:ascii="Cambria Math" w:eastAsia="Cambria Math" w:hAnsi="Cambria Math" w:cs="Cambria Math"/>
            <w:color w:val="000000"/>
            <w:sz w:val="22"/>
            <w:szCs w:val="22"/>
          </w:rPr>
          <m:t xml:space="preserve"> </m:t>
        </m:r>
      </m:oMath>
      <w:r>
        <w:rPr>
          <w:rFonts w:ascii="Times New Roman" w:eastAsia="Times New Roman" w:hAnsi="Times New Roman" w:cs="Times New Roman"/>
          <w:color w:val="000000"/>
          <w:sz w:val="22"/>
          <w:szCs w:val="22"/>
        </w:rPr>
        <w:t>are time fixed effects</w:t>
      </w:r>
    </w:p>
    <w:p w14:paraId="5E8D731D" w14:textId="77777777" w:rsidR="00077ECC" w:rsidRDefault="00000000">
      <w:pPr>
        <w:numPr>
          <w:ilvl w:val="0"/>
          <w:numId w:val="8"/>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Y</m:t>
            </m:r>
          </m:e>
          <m:sub>
            <m:r>
              <w:rPr>
                <w:rFonts w:ascii="Cambria Math" w:eastAsia="Cambria Math" w:hAnsi="Cambria Math" w:cs="Cambria Math"/>
                <w:color w:val="000000"/>
                <w:sz w:val="22"/>
                <w:szCs w:val="22"/>
              </w:rPr>
              <m:t>i0</m:t>
            </m:r>
          </m:sub>
        </m:sSub>
      </m:oMath>
      <w:r>
        <w:rPr>
          <w:rFonts w:ascii="Times New Roman" w:eastAsia="Times New Roman" w:hAnsi="Times New Roman" w:cs="Times New Roman"/>
          <w:color w:val="000000"/>
          <w:sz w:val="22"/>
          <w:szCs w:val="22"/>
        </w:rPr>
        <w:t xml:space="preserve"> is the baseline value of the outcome</w:t>
      </w:r>
    </w:p>
    <w:p w14:paraId="738610E6" w14:textId="77777777" w:rsidR="00077ECC" w:rsidRDefault="00000000">
      <w:pPr>
        <w:numPr>
          <w:ilvl w:val="0"/>
          <w:numId w:val="8"/>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S</m:t>
            </m:r>
          </m:e>
          <m:sub>
            <m:r>
              <w:rPr>
                <w:rFonts w:ascii="Cambria Math" w:eastAsia="Cambria Math" w:hAnsi="Cambria Math" w:cs="Cambria Math"/>
                <w:color w:val="000000"/>
                <w:sz w:val="22"/>
                <w:szCs w:val="22"/>
              </w:rPr>
              <m:t>i</m:t>
            </m:r>
          </m:sub>
        </m:sSub>
      </m:oMath>
      <w:r>
        <w:rPr>
          <w:rFonts w:ascii="Times New Roman" w:eastAsia="Times New Roman" w:hAnsi="Times New Roman" w:cs="Times New Roman"/>
          <w:color w:val="000000"/>
          <w:sz w:val="22"/>
          <w:szCs w:val="22"/>
        </w:rPr>
        <w:t xml:space="preserve">  represents stratification variables used during randomisation</w:t>
      </w:r>
    </w:p>
    <w:p w14:paraId="794340EF" w14:textId="77777777" w:rsidR="00077ECC" w:rsidRDefault="00000000">
      <w:pPr>
        <w:numPr>
          <w:ilvl w:val="0"/>
          <w:numId w:val="8"/>
        </w:numPr>
        <w:pBdr>
          <w:top w:val="nil"/>
          <w:left w:val="nil"/>
          <w:bottom w:val="nil"/>
          <w:right w:val="nil"/>
          <w:between w:val="nil"/>
        </w:pBdr>
        <w:spacing w:after="280" w:line="276" w:lineRule="auto"/>
        <w:rPr>
          <w:rFonts w:ascii="Times New Roman" w:eastAsia="Times New Roman" w:hAnsi="Times New Roman" w:cs="Times New Roman"/>
          <w:color w:val="000000"/>
          <w:sz w:val="22"/>
          <w:szCs w:val="22"/>
        </w:rPr>
      </w:pPr>
      <m:oMath>
        <m:sSub>
          <m:sSubPr>
            <m:ctrlPr>
              <w:rPr>
                <w:rFonts w:ascii="Cambria Math" w:eastAsia="Cambria Math" w:hAnsi="Cambria Math" w:cs="Cambria Math"/>
                <w:color w:val="000000"/>
                <w:sz w:val="22"/>
                <w:szCs w:val="22"/>
              </w:rPr>
            </m:ctrlPr>
          </m:sSubPr>
          <m:e>
            <m:r>
              <w:rPr>
                <w:rFonts w:ascii="Cambria Math" w:hAnsi="Cambria Math"/>
              </w:rPr>
              <m:t>ϵ</m:t>
            </m:r>
          </m:e>
          <m:sub>
            <m:r>
              <w:rPr>
                <w:rFonts w:ascii="Cambria Math" w:eastAsia="Cambria Math" w:hAnsi="Cambria Math" w:cs="Cambria Math"/>
                <w:color w:val="000000"/>
                <w:sz w:val="22"/>
                <w:szCs w:val="22"/>
              </w:rPr>
              <m:t>it</m:t>
            </m:r>
          </m:sub>
        </m:sSub>
        <m:r>
          <w:rPr>
            <w:rFonts w:ascii="Cambria Math" w:eastAsia="Cambria Math" w:hAnsi="Cambria Math" w:cs="Cambria Math"/>
            <w:color w:val="000000"/>
            <w:sz w:val="22"/>
            <w:szCs w:val="22"/>
          </w:rPr>
          <m:t xml:space="preserve"> </m:t>
        </m:r>
      </m:oMath>
      <w:r>
        <w:rPr>
          <w:rFonts w:ascii="Times New Roman" w:eastAsia="Times New Roman" w:hAnsi="Times New Roman" w:cs="Times New Roman"/>
          <w:color w:val="000000"/>
          <w:sz w:val="22"/>
          <w:szCs w:val="22"/>
        </w:rPr>
        <w:t>is an error term</w:t>
      </w:r>
    </w:p>
    <w:p w14:paraId="241F1AEB"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Standard errors will be clustered at the individual level to account for repeated observations over time.</w:t>
      </w:r>
    </w:p>
    <w:p w14:paraId="58587A38" w14:textId="77777777" w:rsidR="00077ECC" w:rsidRDefault="00000000">
      <w:pPr>
        <w:pStyle w:val="Ttulo1"/>
        <w:spacing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Longitudinal Analysis</w:t>
      </w:r>
    </w:p>
    <w:p w14:paraId="55558FCF"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For outcomes measured repeatedly over time (baseline, 14 weeks, and 24 weeks), mixed-effects models with random intercepts for individuals and fixed effects for treatment, time, and treatment-by-time interactions will be estimated. These models allow us to assess differential changes in outcomes across treatment arms over the study period.</w:t>
      </w:r>
    </w:p>
    <w:p w14:paraId="4E7ACD64"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bookmarkStart w:id="18" w:name="_heading=h.ynbx0twtqdzd" w:colFirst="0" w:colLast="0"/>
      <w:bookmarkEnd w:id="18"/>
      <w:r>
        <w:rPr>
          <w:rFonts w:ascii="Times New Roman" w:eastAsia="Times New Roman" w:hAnsi="Times New Roman" w:cs="Times New Roman"/>
          <w:sz w:val="22"/>
          <w:szCs w:val="22"/>
        </w:rPr>
        <w:t>For Quality-Adjusted Life Years (QALYs), treatment effects will be estimated using linear regression models controlling for baseline health-related quality of life. QALYs will be calculated using the area-under-the-curve approach based on repeated utility measurements over follow-up.</w:t>
      </w:r>
    </w:p>
    <w:p w14:paraId="58266352" w14:textId="77777777" w:rsidR="00077ECC" w:rsidRDefault="00077ECC">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bookmarkStart w:id="19" w:name="_heading=h.fo0la9hh1f74" w:colFirst="0" w:colLast="0"/>
      <w:bookmarkEnd w:id="19"/>
    </w:p>
    <w:p w14:paraId="53BD3381" w14:textId="77777777" w:rsidR="00077ECC" w:rsidRDefault="00000000">
      <w:pPr>
        <w:pStyle w:val="Ttulo2"/>
        <w:keepNext w:val="0"/>
        <w:keepLines w:val="0"/>
        <w:numPr>
          <w:ilvl w:val="0"/>
          <w:numId w:val="10"/>
        </w:numPr>
        <w:spacing w:before="360"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Economic Evaluation Framework</w:t>
      </w:r>
    </w:p>
    <w:p w14:paraId="1C6DB93A" w14:textId="77777777" w:rsidR="00077ECC" w:rsidRDefault="00000000">
      <w:pPr>
        <w:pStyle w:val="Ttulo3"/>
        <w:keepNext w:val="0"/>
        <w:keepLines w:val="0"/>
        <w:numPr>
          <w:ilvl w:val="1"/>
          <w:numId w:val="10"/>
        </w:numPr>
        <w:spacing w:before="280" w:line="276" w:lineRule="auto"/>
        <w:rPr>
          <w:rFonts w:ascii="Times New Roman" w:eastAsia="Times New Roman" w:hAnsi="Times New Roman" w:cs="Times New Roman"/>
          <w:b/>
          <w:bCs/>
          <w:color w:val="000000"/>
          <w:sz w:val="22"/>
          <w:szCs w:val="22"/>
        </w:rPr>
      </w:pPr>
      <w:bookmarkStart w:id="20" w:name="_heading=h.4w4jos4f95eo" w:colFirst="0" w:colLast="0"/>
      <w:bookmarkEnd w:id="20"/>
      <w:r>
        <w:rPr>
          <w:rFonts w:ascii="Times New Roman" w:eastAsia="Times New Roman" w:hAnsi="Times New Roman" w:cs="Times New Roman"/>
          <w:b/>
          <w:bCs/>
          <w:color w:val="000000"/>
          <w:sz w:val="22"/>
          <w:szCs w:val="22"/>
        </w:rPr>
        <w:lastRenderedPageBreak/>
        <w:t>Conceptual Framework (OSI Change Model)</w:t>
      </w:r>
    </w:p>
    <w:p w14:paraId="3867A5FC"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The economic evaluation is grounded in the OSI theory of change. The OSI-A programme aims to reduce child anxiety by strengthening parental confidence, increasing children’s sense of control and self-efficacy, and helping families respond more effectively to worry and uncertainty. These mechanisms are expected to improve children’s day-to-day functioning and reduce the extent to which anxiety interferes with family life.</w:t>
      </w:r>
    </w:p>
    <w:p w14:paraId="7B578C0F"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From an economic perspective, these improvements may translate into short-term gains in wellbeing that can be captured through measures of health-related quality of life. In addition, improved anxiety management may affect how families interact with health, education, and social service systems.</w:t>
      </w:r>
    </w:p>
    <w:p w14:paraId="68A521A5"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Because this is a feasibility trial with a limited follow-up period, the economic evaluation focuses on identifying early welfare gains and signals in service utilisation rather than estimating long-term economic returns or public cost savings.</w:t>
      </w:r>
    </w:p>
    <w:p w14:paraId="22089D12" w14:textId="77777777" w:rsidR="00077ECC" w:rsidRDefault="00000000">
      <w:pPr>
        <w:pStyle w:val="Ttulo2"/>
        <w:keepNext w:val="0"/>
        <w:keepLines w:val="0"/>
        <w:numPr>
          <w:ilvl w:val="1"/>
          <w:numId w:val="10"/>
        </w:numPr>
        <w:spacing w:before="360" w:line="276" w:lineRule="auto"/>
        <w:rPr>
          <w:rFonts w:ascii="Times New Roman" w:eastAsia="Times New Roman" w:hAnsi="Times New Roman" w:cs="Times New Roman"/>
          <w:b/>
          <w:bCs/>
          <w:color w:val="000000"/>
          <w:sz w:val="22"/>
          <w:szCs w:val="22"/>
        </w:rPr>
      </w:pPr>
      <w:bookmarkStart w:id="21" w:name="_heading=h.pgyqh9ef072l" w:colFirst="0" w:colLast="0"/>
      <w:bookmarkEnd w:id="21"/>
      <w:r>
        <w:rPr>
          <w:rFonts w:ascii="Times New Roman" w:eastAsia="Times New Roman" w:hAnsi="Times New Roman" w:cs="Times New Roman"/>
          <w:b/>
          <w:bCs/>
          <w:color w:val="000000"/>
          <w:sz w:val="22"/>
          <w:szCs w:val="22"/>
        </w:rPr>
        <w:t>Primary Economic Outcome</w:t>
      </w:r>
    </w:p>
    <w:p w14:paraId="3F7E851E"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 primary economic outcome is child health-related quality of life measured using the Child Health Utility 9D (CHU-9D) proxy instrument completed by the primary caregiver at baseline, 14 weeks, and 24 weeks.</w:t>
      </w:r>
    </w:p>
    <w:p w14:paraId="73C5B7F9"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CHU-9D responses will be converted into utility scores using a published valuation set. If a Chile-specific valuation set is unavailable, an appropriate international tariff will be used as the base case, with alternative tariffs explored in sensitivity analyses.</w:t>
      </w:r>
    </w:p>
    <w:p w14:paraId="032FB0C4"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Quality-adjusted life years (QALYs) over the 24-week follow-up period will be constructed using an area-under-the-curve (AUC) approach assuming linear changes in utility between measurement points.</w:t>
      </w:r>
    </w:p>
    <w:p w14:paraId="579CF27E"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 primary economic estimand corresponds to the incremental difference in mean QALYs between treatment arms over the follow-up period.</w:t>
      </w:r>
    </w:p>
    <w:p w14:paraId="3B0FBAD2" w14:textId="77777777" w:rsidR="00077ECC" w:rsidRDefault="00000000">
      <w:pPr>
        <w:pStyle w:val="Ttulo2"/>
        <w:keepNext w:val="0"/>
        <w:keepLines w:val="0"/>
        <w:numPr>
          <w:ilvl w:val="1"/>
          <w:numId w:val="10"/>
        </w:numPr>
        <w:spacing w:before="360"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Secondary Economic Outcomes (Exploratory)</w:t>
      </w:r>
    </w:p>
    <w:p w14:paraId="657EDC1C"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bookmarkStart w:id="22" w:name="_heading=h.mxtc21e55ck0" w:colFirst="0" w:colLast="0"/>
      <w:bookmarkEnd w:id="22"/>
      <w:r>
        <w:rPr>
          <w:rFonts w:ascii="Times New Roman" w:eastAsia="Times New Roman" w:hAnsi="Times New Roman" w:cs="Times New Roman"/>
          <w:color w:val="000000"/>
          <w:sz w:val="22"/>
          <w:szCs w:val="22"/>
        </w:rPr>
        <w:t>Consistent with the OSI change model, improvements in anxiety symptoms and daily functioning may also lead to changes in how families interact with public systems and in caregiver wellbeing and economic participation.</w:t>
      </w:r>
    </w:p>
    <w:p w14:paraId="4ECF057F"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The study will therefore explore a set of secondary economic outcomes, primarily derived from</w:t>
      </w:r>
      <w:r>
        <w:rPr>
          <w:rFonts w:ascii="Times New Roman" w:eastAsia="Times New Roman" w:hAnsi="Times New Roman" w:cs="Times New Roman"/>
          <w:sz w:val="22"/>
          <w:szCs w:val="22"/>
        </w:rPr>
        <w:t xml:space="preserve"> survey measures </w:t>
      </w:r>
      <w:r>
        <w:rPr>
          <w:rFonts w:ascii="Times New Roman" w:eastAsia="Times New Roman" w:hAnsi="Times New Roman" w:cs="Times New Roman"/>
          <w:color w:val="000000"/>
          <w:sz w:val="22"/>
          <w:szCs w:val="22"/>
        </w:rPr>
        <w:t>, including:</w:t>
      </w:r>
    </w:p>
    <w:p w14:paraId="7712C57B" w14:textId="77777777" w:rsidR="00077ECC" w:rsidRDefault="00000000">
      <w:pPr>
        <w:numPr>
          <w:ilvl w:val="0"/>
          <w:numId w:val="11"/>
        </w:numPr>
        <w:pBdr>
          <w:top w:val="nil"/>
          <w:left w:val="nil"/>
          <w:bottom w:val="nil"/>
          <w:right w:val="nil"/>
          <w:between w:val="nil"/>
        </w:pBdr>
        <w:spacing w:before="280"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Health service utilisation, such as outpatient visits, mental health consultations, and use of specialised child or adolescent services.</w:t>
      </w:r>
    </w:p>
    <w:p w14:paraId="262EF28D" w14:textId="77777777" w:rsidR="00077ECC" w:rsidRDefault="00000000">
      <w:pPr>
        <w:numPr>
          <w:ilvl w:val="0"/>
          <w:numId w:val="11"/>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Educational service interactions, including school attendance, absenteeism, and use of educational support services.</w:t>
      </w:r>
    </w:p>
    <w:p w14:paraId="721BD03B" w14:textId="77777777" w:rsidR="00077ECC" w:rsidRDefault="00000000">
      <w:pPr>
        <w:numPr>
          <w:ilvl w:val="0"/>
          <w:numId w:val="11"/>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Social service contacts, such as participation in family support or social assistance programmes.</w:t>
      </w:r>
    </w:p>
    <w:p w14:paraId="30104C70" w14:textId="77777777" w:rsidR="00077ECC" w:rsidRDefault="00000000">
      <w:pPr>
        <w:numPr>
          <w:ilvl w:val="0"/>
          <w:numId w:val="11"/>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Caregiver labour market participation</w:t>
      </w:r>
      <w:r>
        <w:rPr>
          <w:rFonts w:ascii="Times New Roman" w:eastAsia="Times New Roman" w:hAnsi="Times New Roman" w:cs="Times New Roman"/>
          <w:b/>
          <w:bCs/>
          <w:color w:val="000000"/>
          <w:sz w:val="22"/>
          <w:szCs w:val="22"/>
        </w:rPr>
        <w:t>,</w:t>
      </w:r>
      <w:r>
        <w:rPr>
          <w:rFonts w:ascii="Times New Roman" w:eastAsia="Times New Roman" w:hAnsi="Times New Roman" w:cs="Times New Roman"/>
          <w:color w:val="000000"/>
          <w:sz w:val="22"/>
          <w:szCs w:val="22"/>
        </w:rPr>
        <w:t xml:space="preserve"> including employment status and hours worked.</w:t>
      </w:r>
    </w:p>
    <w:p w14:paraId="7C5138D4" w14:textId="77777777" w:rsidR="00077ECC" w:rsidRDefault="00000000">
      <w:pPr>
        <w:numPr>
          <w:ilvl w:val="0"/>
          <w:numId w:val="11"/>
        </w:numPr>
        <w:pBdr>
          <w:top w:val="nil"/>
          <w:left w:val="nil"/>
          <w:bottom w:val="nil"/>
          <w:right w:val="nil"/>
          <w:between w:val="nil"/>
        </w:pBdr>
        <w:spacing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Parental stress and caregiver wellbeing measured using validated psychometric scales assessing parental stress and caregiving burden.</w:t>
      </w:r>
    </w:p>
    <w:p w14:paraId="52FE1C8B"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These outcomes are exploratory and are intended to assess feasibility, variability, and direction of change rather than to estimate definitive economic impacts.</w:t>
      </w:r>
    </w:p>
    <w:p w14:paraId="7999E054" w14:textId="77777777" w:rsidR="00077ECC" w:rsidRDefault="00000000">
      <w:pPr>
        <w:pStyle w:val="Ttulo2"/>
        <w:keepNext w:val="0"/>
        <w:keepLines w:val="0"/>
        <w:numPr>
          <w:ilvl w:val="1"/>
          <w:numId w:val="10"/>
        </w:numPr>
        <w:spacing w:before="360" w:line="276" w:lineRule="auto"/>
        <w:rPr>
          <w:rFonts w:ascii="Times New Roman" w:eastAsia="Times New Roman" w:hAnsi="Times New Roman" w:cs="Times New Roman"/>
          <w:b/>
          <w:bCs/>
          <w:sz w:val="22"/>
          <w:szCs w:val="22"/>
        </w:rPr>
      </w:pPr>
      <w:bookmarkStart w:id="23" w:name="_heading=h.6aam0cfquruh" w:colFirst="0" w:colLast="0"/>
      <w:bookmarkEnd w:id="23"/>
      <w:r>
        <w:rPr>
          <w:rFonts w:ascii="Times New Roman" w:eastAsia="Times New Roman" w:hAnsi="Times New Roman" w:cs="Times New Roman"/>
          <w:b/>
          <w:bCs/>
          <w:color w:val="000000"/>
          <w:sz w:val="22"/>
          <w:szCs w:val="22"/>
        </w:rPr>
        <w:t>Quality-Adjusted Life Years (QALYs)</w:t>
      </w:r>
    </w:p>
    <w:p w14:paraId="1F3FDC92"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Quality-Adjusted Life Years (QALYs) will be constructed as a summary measure of health-related quality of life over time, based on CHU-9D utility values collected at baseline, 14 weeks, and 24 weeks. QALYs over the 24-week follow-up period will be calculated using an area-under-the-curve (AUC) approach, assuming linear changes in utility between consecutive measurement points.</w:t>
      </w:r>
    </w:p>
    <w:p w14:paraId="6FFD8FCC"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In the context of this feasibility trial, QALYs are not intended to support definitive cost-effectiveness conclusions. Instead, they will be used to assess the feasibility, sensitivity, and variability of health utility measurement and to inform power calculations and analytic strategies for a future full-scale economic evaluation.</w:t>
      </w:r>
    </w:p>
    <w:p w14:paraId="6D827F3D" w14:textId="77777777" w:rsidR="00077ECC" w:rsidRDefault="00000000">
      <w:pPr>
        <w:pStyle w:val="Ttulo2"/>
        <w:keepNext w:val="0"/>
        <w:keepLines w:val="0"/>
        <w:numPr>
          <w:ilvl w:val="1"/>
          <w:numId w:val="10"/>
        </w:numPr>
        <w:spacing w:before="360" w:line="276" w:lineRule="auto"/>
        <w:rPr>
          <w:rFonts w:ascii="Times New Roman" w:eastAsia="Times New Roman" w:hAnsi="Times New Roman" w:cs="Times New Roman"/>
          <w:b/>
          <w:bCs/>
          <w:color w:val="000000"/>
          <w:sz w:val="22"/>
          <w:szCs w:val="22"/>
          <w:highlight w:val="yellow"/>
        </w:rPr>
      </w:pPr>
      <w:r>
        <w:rPr>
          <w:rFonts w:ascii="Times New Roman" w:eastAsia="Times New Roman" w:hAnsi="Times New Roman" w:cs="Times New Roman"/>
          <w:b/>
          <w:bCs/>
          <w:color w:val="000000"/>
          <w:sz w:val="22"/>
          <w:szCs w:val="22"/>
          <w:highlight w:val="yellow"/>
        </w:rPr>
        <w:t>Administrative Data Linkage</w:t>
      </w:r>
    </w:p>
    <w:p w14:paraId="42584A5C" w14:textId="77777777" w:rsidR="00077ECC" w:rsidRDefault="00000000">
      <w:pPr>
        <w:pBdr>
          <w:top w:val="nil"/>
          <w:left w:val="nil"/>
          <w:bottom w:val="nil"/>
          <w:right w:val="nil"/>
          <w:between w:val="nil"/>
        </w:pBdr>
        <w:spacing w:line="240" w:lineRule="auto"/>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 xml:space="preserve">Participants provided informed consent—approved by the relevant ethics committees—for the potential linkage of study data with administrative records from the health, education, and social services sectors. Subject to the availability of administrative data and successful data access procedures, linked records may be used for descriptive and economic analyses. </w:t>
      </w:r>
    </w:p>
    <w:p w14:paraId="5029875C" w14:textId="77777777" w:rsidR="00077ECC" w:rsidRDefault="00000000">
      <w:pPr>
        <w:pStyle w:val="Ttulo2"/>
        <w:keepNext w:val="0"/>
        <w:keepLines w:val="0"/>
        <w:numPr>
          <w:ilvl w:val="1"/>
          <w:numId w:val="10"/>
        </w:numPr>
        <w:spacing w:before="360" w:line="276" w:lineRule="auto"/>
        <w:rPr>
          <w:rFonts w:ascii="Times New Roman" w:eastAsia="Times New Roman" w:hAnsi="Times New Roman" w:cs="Times New Roman"/>
          <w:b/>
          <w:bCs/>
          <w:color w:val="000000"/>
          <w:sz w:val="22"/>
          <w:szCs w:val="22"/>
          <w:highlight w:val="yellow"/>
        </w:rPr>
      </w:pPr>
      <w:r>
        <w:rPr>
          <w:rFonts w:ascii="Times New Roman" w:eastAsia="Times New Roman" w:hAnsi="Times New Roman" w:cs="Times New Roman"/>
          <w:b/>
          <w:bCs/>
          <w:color w:val="000000"/>
          <w:sz w:val="22"/>
          <w:szCs w:val="22"/>
          <w:highlight w:val="yellow"/>
        </w:rPr>
        <w:t>Economic Analysis</w:t>
      </w:r>
    </w:p>
    <w:p w14:paraId="643AA964"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All economic analyses will follow an intention-to-treat framework. Economic outcomes will be analysed using regression-based models adjusting for pre-specified baseline characteristics, stratification variables to improve precision.</w:t>
      </w:r>
    </w:p>
    <w:p w14:paraId="39813A6B" w14:textId="77777777" w:rsidR="00077ECC" w:rsidRDefault="00000000">
      <w:pPr>
        <w:spacing w:before="240" w:after="24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Where intervention delivery cost data are available, incremental costs between trial arms will be estimated using analogous regression specifications. Exploratory incremental cost-effectiveness ratios (ICERs) will be computed where feasible. Uncertainty around economic estimates will be assessed using non-parametric bootstrap methods and represented using cost-effectiveness planes and acceptability curves.</w:t>
      </w:r>
    </w:p>
    <w:p w14:paraId="2DAAF396" w14:textId="77777777" w:rsidR="00077ECC" w:rsidRDefault="00000000">
      <w:p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All economic findings will be interpreted as indicative rather than definitive, consistent with the feasibility nature of the trial.</w:t>
      </w:r>
    </w:p>
    <w:p w14:paraId="124F9DBB" w14:textId="77777777" w:rsidR="00077ECC" w:rsidRDefault="00000000">
      <w:pPr>
        <w:pStyle w:val="Ttulo2"/>
        <w:keepNext w:val="0"/>
        <w:keepLines w:val="0"/>
        <w:numPr>
          <w:ilvl w:val="0"/>
          <w:numId w:val="10"/>
        </w:numPr>
        <w:spacing w:before="360" w:line="276" w:lineRule="auto"/>
        <w:rPr>
          <w:rFonts w:ascii="Times New Roman" w:eastAsia="Times New Roman" w:hAnsi="Times New Roman" w:cs="Times New Roman"/>
          <w:b/>
          <w:bCs/>
          <w:color w:val="000000"/>
          <w:sz w:val="22"/>
          <w:szCs w:val="22"/>
        </w:rPr>
      </w:pPr>
      <w:bookmarkStart w:id="24" w:name="_heading=h.ju078lo79tf6" w:colFirst="0" w:colLast="0"/>
      <w:bookmarkEnd w:id="24"/>
      <w:r>
        <w:rPr>
          <w:rFonts w:ascii="Times New Roman" w:eastAsia="Times New Roman" w:hAnsi="Times New Roman" w:cs="Times New Roman"/>
          <w:b/>
          <w:bCs/>
          <w:color w:val="000000"/>
          <w:sz w:val="22"/>
          <w:szCs w:val="22"/>
        </w:rPr>
        <w:t>Multiple Testing</w:t>
      </w:r>
    </w:p>
    <w:p w14:paraId="1362D96A"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Feasibility outcomes will be analysed descriptively and will not be subject to formal adjustment for multiple testing.</w:t>
      </w:r>
    </w:p>
    <w:p w14:paraId="523B801D"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For clinical and economic outcomes, multiple testing will be addressed using false discovery rate (FDR) control</w:t>
      </w:r>
      <w:r>
        <w:rPr>
          <w:rFonts w:ascii="Times New Roman" w:eastAsia="Times New Roman" w:hAnsi="Times New Roman" w:cs="Times New Roman"/>
          <w:b/>
          <w:bCs/>
          <w:color w:val="000000"/>
          <w:sz w:val="22"/>
          <w:szCs w:val="22"/>
        </w:rPr>
        <w:t xml:space="preserve"> </w:t>
      </w:r>
      <w:r>
        <w:rPr>
          <w:rFonts w:ascii="Times New Roman" w:eastAsia="Times New Roman" w:hAnsi="Times New Roman" w:cs="Times New Roman"/>
          <w:color w:val="000000"/>
          <w:sz w:val="22"/>
          <w:szCs w:val="22"/>
        </w:rPr>
        <w:t>applied within pre-specified outcome families. Outcome families include:</w:t>
      </w:r>
    </w:p>
    <w:p w14:paraId="4FAEB2C0" w14:textId="77777777" w:rsidR="00077ECC" w:rsidRDefault="00000000">
      <w:pPr>
        <w:numPr>
          <w:ilvl w:val="0"/>
          <w:numId w:val="12"/>
        </w:numPr>
        <w:pBdr>
          <w:top w:val="nil"/>
          <w:left w:val="nil"/>
          <w:bottom w:val="nil"/>
          <w:right w:val="nil"/>
          <w:between w:val="nil"/>
        </w:pBdr>
        <w:spacing w:before="280"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child clinical outcomes (e.g., anxiety symptoms and functional impairment),</w:t>
      </w:r>
    </w:p>
    <w:p w14:paraId="7C0C3DE6" w14:textId="77777777" w:rsidR="00077ECC" w:rsidRDefault="00000000">
      <w:pPr>
        <w:numPr>
          <w:ilvl w:val="0"/>
          <w:numId w:val="12"/>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economic outcomes (e.g., CHU-9D utilities and QALYs),</w:t>
      </w:r>
    </w:p>
    <w:p w14:paraId="7CAF8BB3" w14:textId="77777777" w:rsidR="00077ECC" w:rsidRDefault="00000000">
      <w:pPr>
        <w:numPr>
          <w:ilvl w:val="0"/>
          <w:numId w:val="12"/>
        </w:numPr>
        <w:pBdr>
          <w:top w:val="nil"/>
          <w:left w:val="nil"/>
          <w:bottom w:val="nil"/>
          <w:right w:val="nil"/>
          <w:between w:val="nil"/>
        </w:pBdr>
        <w:spacing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caregiver outcomes (e.g., parental stress and labour market participation).</w:t>
      </w:r>
    </w:p>
    <w:p w14:paraId="758F48A3"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Across all analyses, emphasis will be placed on effect sizes and confidence intervals, rather than statistical significance alone. Bayesian analyses may be explored as a complementary approach to characterise uncertainty and the magnitude of effects.</w:t>
      </w:r>
    </w:p>
    <w:p w14:paraId="14E283BD" w14:textId="77777777" w:rsidR="00077ECC" w:rsidRDefault="00000000">
      <w:pPr>
        <w:pStyle w:val="Ttulo2"/>
        <w:keepNext w:val="0"/>
        <w:keepLines w:val="0"/>
        <w:numPr>
          <w:ilvl w:val="0"/>
          <w:numId w:val="10"/>
        </w:numPr>
        <w:spacing w:before="360" w:line="276" w:lineRule="auto"/>
        <w:rPr>
          <w:rFonts w:ascii="Times New Roman" w:eastAsia="Times New Roman" w:hAnsi="Times New Roman" w:cs="Times New Roman"/>
          <w:b/>
          <w:bCs/>
          <w:color w:val="000000"/>
          <w:sz w:val="22"/>
          <w:szCs w:val="22"/>
          <w:highlight w:val="yellow"/>
        </w:rPr>
      </w:pPr>
      <w:bookmarkStart w:id="25" w:name="_heading=h.zdot6c70gapz" w:colFirst="0" w:colLast="0"/>
      <w:bookmarkEnd w:id="25"/>
      <w:r>
        <w:rPr>
          <w:rFonts w:ascii="Times New Roman" w:eastAsia="Times New Roman" w:hAnsi="Times New Roman" w:cs="Times New Roman"/>
          <w:b/>
          <w:bCs/>
          <w:color w:val="000000"/>
          <w:sz w:val="22"/>
          <w:szCs w:val="22"/>
          <w:highlight w:val="yellow"/>
        </w:rPr>
        <w:t>Missing Data and Attrition</w:t>
      </w:r>
    </w:p>
    <w:p w14:paraId="50E49A23"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Attrition rates will be compared across treatment arms and patterns of missingness will be examined. The principal analysis will rely on available outcome data under the ITT framework. </w:t>
      </w:r>
      <w:r>
        <w:rPr>
          <w:rFonts w:ascii="Times New Roman" w:eastAsia="Times New Roman" w:hAnsi="Times New Roman" w:cs="Times New Roman"/>
          <w:sz w:val="22"/>
          <w:szCs w:val="22"/>
        </w:rPr>
        <w:t>If attrition</w:t>
      </w:r>
      <w:r>
        <w:rPr>
          <w:rFonts w:ascii="Times New Roman" w:eastAsia="Times New Roman" w:hAnsi="Times New Roman" w:cs="Times New Roman"/>
          <w:color w:val="000000"/>
          <w:sz w:val="22"/>
          <w:szCs w:val="22"/>
        </w:rPr>
        <w:t xml:space="preserve"> differs substantially across treatment arms, sensitivity analyses will be conducted to assess the robustness of estimated treatment effects. Additional approaches to address missing data may be considered depending on the extent and nature of missingness observed.</w:t>
      </w:r>
    </w:p>
    <w:p w14:paraId="6CFA1E8F" w14:textId="77777777" w:rsidR="00077ECC" w:rsidRDefault="00000000">
      <w:pPr>
        <w:pStyle w:val="Ttulo2"/>
        <w:keepNext w:val="0"/>
        <w:keepLines w:val="0"/>
        <w:numPr>
          <w:ilvl w:val="0"/>
          <w:numId w:val="10"/>
        </w:numPr>
        <w:spacing w:before="360" w:line="276" w:lineRule="auto"/>
        <w:rPr>
          <w:rFonts w:ascii="Times New Roman" w:eastAsia="Times New Roman" w:hAnsi="Times New Roman" w:cs="Times New Roman"/>
          <w:b/>
          <w:bCs/>
          <w:color w:val="000000"/>
          <w:sz w:val="22"/>
          <w:szCs w:val="22"/>
        </w:rPr>
      </w:pPr>
      <w:bookmarkStart w:id="26" w:name="_heading=h.z0y3z7w7yfbi" w:colFirst="0" w:colLast="0"/>
      <w:bookmarkEnd w:id="26"/>
      <w:r>
        <w:rPr>
          <w:rFonts w:ascii="Times New Roman" w:eastAsia="Times New Roman" w:hAnsi="Times New Roman" w:cs="Times New Roman"/>
          <w:b/>
          <w:bCs/>
          <w:color w:val="000000"/>
          <w:sz w:val="22"/>
          <w:szCs w:val="22"/>
        </w:rPr>
        <w:t>Power and Sample Size Considerations</w:t>
      </w:r>
    </w:p>
    <w:p w14:paraId="527338BA"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Statistical power calculations were conducted using Monte Carlo simulations designed to reflect the main features of the planned trial, including the three-arm randomized design, repeated outcome measurements (baseline, 14 weeks, and 24 weeks), stratified randomization, and post-baseline attrition. For each scenario, longitudinal outcomes were simulated under alternative assumptions regarding within-individual correlation across waves, attrition rates, and standardized treatment effects. Power was defined as the proportion of simulated datasets in which the null hypothesis of no treatment effect between each active treatment arm and the control group at post-intervention (14 weeks) was rejected using a two-sided test at the 5% significance level.</w:t>
      </w:r>
    </w:p>
    <w:p w14:paraId="29541D40"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 planned sample size is N = 180 participants (approximately 60 per arm). The main calibration scenario assumes a within-individual correlation of ρ = 0.30 and an attrition rate of 35%, consistent with expectations for longitudinal behavioural intervention trials. Equal standardized treatment effects across both active treatment arms relative to the control group were assumed.</w:t>
      </w:r>
    </w:p>
    <w:p w14:paraId="1AF2E663"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Expected treatment effects were informed by meta-analytic evidence from Sharma et al. (2021) and by Creswell et al. (2025), which reports a standardized mean difference of g = 0.74 for parent-led CBT relative to waitlist controls.</w:t>
      </w:r>
    </w:p>
    <w:p w14:paraId="737D180A"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Under these assumptions:</w:t>
      </w:r>
    </w:p>
    <w:p w14:paraId="21101AB1" w14:textId="77777777" w:rsidR="00077ECC" w:rsidRDefault="00000000">
      <w:pPr>
        <w:numPr>
          <w:ilvl w:val="0"/>
          <w:numId w:val="1"/>
        </w:numPr>
        <w:pBdr>
          <w:top w:val="nil"/>
          <w:left w:val="nil"/>
          <w:bottom w:val="nil"/>
          <w:right w:val="nil"/>
          <w:between w:val="nil"/>
        </w:pBdr>
        <w:spacing w:before="280"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statistical power is approximately 0.59 for a moderate parent-reported effect size of g = 0.55;</w:t>
      </w:r>
    </w:p>
    <w:p w14:paraId="01DCB0E0" w14:textId="77777777" w:rsidR="00077ECC" w:rsidRDefault="00000000">
      <w:pPr>
        <w:numPr>
          <w:ilvl w:val="0"/>
          <w:numId w:val="1"/>
        </w:numPr>
        <w:pBdr>
          <w:top w:val="nil"/>
          <w:left w:val="nil"/>
          <w:bottom w:val="nil"/>
          <w:right w:val="nil"/>
          <w:between w:val="nil"/>
        </w:pBdr>
        <w:spacing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statistical power increases to approximately 0.82 under the optimistic benchmark of g = 0.74.</w:t>
      </w:r>
    </w:p>
    <w:p w14:paraId="0A7A3A2D"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These results indicate that the planned sample size provides moderate statistical power under realistic assumptions and adequate power only under optimistic effect size scenarios.</w:t>
      </w:r>
    </w:p>
    <w:p w14:paraId="0E1677B1"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Importantly, this study is designed as a feasibility randomized controlled trial. Primary outcomes therefore relate to feasibility parameters such as recruitment, retention, adherence, and completeness of outcome data. The study is not powered for definitive hypothesis testing of treatment effectiveness; </w:t>
      </w:r>
      <w:r>
        <w:rPr>
          <w:rFonts w:ascii="Times New Roman" w:eastAsia="Times New Roman" w:hAnsi="Times New Roman" w:cs="Times New Roman"/>
          <w:sz w:val="22"/>
          <w:szCs w:val="22"/>
        </w:rPr>
        <w:lastRenderedPageBreak/>
        <w:t>instead, effectiveness estimates will inform parameter selection and sample size calculations for a future definitive trial.</w:t>
      </w:r>
    </w:p>
    <w:p w14:paraId="0EFA7346" w14:textId="77777777" w:rsidR="00077ECC" w:rsidRDefault="00000000">
      <w:pPr>
        <w:pStyle w:val="Ttulo2"/>
        <w:keepNext w:val="0"/>
        <w:keepLines w:val="0"/>
        <w:numPr>
          <w:ilvl w:val="0"/>
          <w:numId w:val="10"/>
        </w:numPr>
        <w:pBdr>
          <w:top w:val="nil"/>
          <w:left w:val="nil"/>
          <w:bottom w:val="nil"/>
          <w:right w:val="nil"/>
          <w:between w:val="nil"/>
        </w:pBdr>
        <w:spacing w:before="360" w:line="276" w:lineRule="auto"/>
        <w:rPr>
          <w:rFonts w:ascii="Times New Roman" w:eastAsia="Times New Roman" w:hAnsi="Times New Roman" w:cs="Times New Roman"/>
          <w:b/>
          <w:bCs/>
          <w:color w:val="000000"/>
          <w:sz w:val="22"/>
          <w:szCs w:val="22"/>
        </w:rPr>
      </w:pPr>
      <w:bookmarkStart w:id="27" w:name="_heading=h.u0yptnxpi0oa" w:colFirst="0" w:colLast="0"/>
      <w:bookmarkEnd w:id="27"/>
      <w:r>
        <w:rPr>
          <w:rFonts w:ascii="Times New Roman" w:eastAsia="Times New Roman" w:hAnsi="Times New Roman" w:cs="Times New Roman"/>
          <w:b/>
          <w:bCs/>
          <w:color w:val="000000"/>
          <w:sz w:val="22"/>
          <w:szCs w:val="22"/>
        </w:rPr>
        <w:t>Heterogeneity and Mediation (Exploratory)</w:t>
      </w:r>
    </w:p>
    <w:p w14:paraId="3924EE94" w14:textId="77777777" w:rsidR="00077ECC" w:rsidRDefault="00000000">
      <w:pPr>
        <w:spacing w:before="280" w:after="280" w:line="276" w:lineRule="auto"/>
        <w:rPr>
          <w:rFonts w:ascii="Times New Roman" w:eastAsia="Times New Roman" w:hAnsi="Times New Roman" w:cs="Times New Roman"/>
          <w:sz w:val="22"/>
          <w:szCs w:val="22"/>
        </w:rPr>
      </w:pPr>
      <w:bookmarkStart w:id="28" w:name="_heading=h.sudxu231uf18" w:colFirst="0" w:colLast="0"/>
      <w:bookmarkEnd w:id="28"/>
      <w:r>
        <w:rPr>
          <w:rFonts w:ascii="Times New Roman" w:eastAsia="Times New Roman" w:hAnsi="Times New Roman" w:cs="Times New Roman"/>
          <w:sz w:val="22"/>
          <w:szCs w:val="22"/>
        </w:rPr>
        <w:t>Exploratory heterogeneity analyses will examine whether treatment effects vary across selected baseline characteristics, including:</w:t>
      </w:r>
    </w:p>
    <w:p w14:paraId="58E1710E" w14:textId="77777777" w:rsidR="00077ECC" w:rsidRDefault="00000000">
      <w:pPr>
        <w:numPr>
          <w:ilvl w:val="0"/>
          <w:numId w:val="13"/>
        </w:numPr>
        <w:spacing w:before="280"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parent and child demographic factors,</w:t>
      </w:r>
    </w:p>
    <w:p w14:paraId="5BBAFA9B" w14:textId="77777777" w:rsidR="00077ECC" w:rsidRDefault="00000000">
      <w:pPr>
        <w:numPr>
          <w:ilvl w:val="0"/>
          <w:numId w:val="13"/>
        </w:numPr>
        <w:spacing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baseline child anxiety severity,</w:t>
      </w:r>
    </w:p>
    <w:p w14:paraId="2F2CE1F4" w14:textId="77777777" w:rsidR="00077ECC" w:rsidRDefault="00000000">
      <w:pPr>
        <w:numPr>
          <w:ilvl w:val="0"/>
          <w:numId w:val="13"/>
        </w:numPr>
        <w:spacing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baseline caregiver burden.</w:t>
      </w:r>
    </w:p>
    <w:p w14:paraId="67E518B7"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These analyses are exploratory and hypothesis-generating, and the study is not powered to detect subgroup differences.</w:t>
      </w:r>
    </w:p>
    <w:p w14:paraId="5AF224D5" w14:textId="77777777" w:rsidR="00077ECC" w:rsidRDefault="00000000">
      <w:pP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Exploratory mediation analyses may also examine whether changes in intermediate variables—such as parental confidence or caregiving burden—are associated with improvements in child outcomes. These analyses will be interpreted cautiously and will not be used to support definitive causal claims.</w:t>
      </w:r>
    </w:p>
    <w:p w14:paraId="167BDEFE" w14:textId="77777777" w:rsidR="00077ECC" w:rsidRDefault="00000000">
      <w:pPr>
        <w:pStyle w:val="Ttulo1"/>
        <w:numPr>
          <w:ilvl w:val="0"/>
          <w:numId w:val="10"/>
        </w:numPr>
        <w:spacing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Qualitative Analysis</w:t>
      </w:r>
    </w:p>
    <w:p w14:paraId="2926610F"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Semi-structured interviews with caregivers and therapists will be analysed using reflexive thematic analysis. Transcripts will be coded iteratively to identify themes related to feasibility, acceptability, and implementation of the intervention.</w:t>
      </w:r>
    </w:p>
    <w:p w14:paraId="40664B6D"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Data from focus groups and other qualitative activities will be analysed using similar thematic coding approaches, with codes organised into higher-level themes.</w:t>
      </w:r>
    </w:p>
    <w:p w14:paraId="2F68594F"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Qualitative findings will be used to contextualise and interpret quantitative results and to inform the design and implementation of future trials. These analyses are intended to complement the quantitative evaluation rather than to test formal hypotheses.</w:t>
      </w:r>
    </w:p>
    <w:p w14:paraId="5136F4D4" w14:textId="77777777" w:rsidR="00077ECC" w:rsidRDefault="00000000">
      <w:pPr>
        <w:pStyle w:val="Ttulo1"/>
        <w:numPr>
          <w:ilvl w:val="0"/>
          <w:numId w:val="10"/>
        </w:numPr>
        <w:spacing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Reproducibility and Governance</w:t>
      </w:r>
    </w:p>
    <w:p w14:paraId="445B4DA5"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To ensure transparency and reproducibility:</w:t>
      </w:r>
    </w:p>
    <w:p w14:paraId="7DBE8A9B" w14:textId="77777777" w:rsidR="00077ECC" w:rsidRDefault="00000000">
      <w:pPr>
        <w:numPr>
          <w:ilvl w:val="0"/>
          <w:numId w:val="14"/>
        </w:numPr>
        <w:pBdr>
          <w:top w:val="nil"/>
          <w:left w:val="nil"/>
          <w:bottom w:val="nil"/>
          <w:right w:val="nil"/>
          <w:between w:val="nil"/>
        </w:pBdr>
        <w:spacing w:before="280"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Statistical analyses will be conducted using Stata, R, and Python.</w:t>
      </w:r>
    </w:p>
    <w:p w14:paraId="11D84A15" w14:textId="77777777" w:rsidR="00077ECC" w:rsidRDefault="00000000">
      <w:pPr>
        <w:numPr>
          <w:ilvl w:val="0"/>
          <w:numId w:val="14"/>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All analysis scripts will be maintained under version control using Git.</w:t>
      </w:r>
    </w:p>
    <w:p w14:paraId="319EBF27" w14:textId="77777777" w:rsidR="00077ECC" w:rsidRDefault="00000000">
      <w:pPr>
        <w:numPr>
          <w:ilvl w:val="0"/>
          <w:numId w:val="14"/>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Analyses will be performed using anonymised datasets stored on secure servers.</w:t>
      </w:r>
    </w:p>
    <w:p w14:paraId="3218057F" w14:textId="77777777" w:rsidR="00077ECC" w:rsidRDefault="00000000">
      <w:pPr>
        <w:numPr>
          <w:ilvl w:val="0"/>
          <w:numId w:val="14"/>
        </w:numPr>
        <w:pBdr>
          <w:top w:val="nil"/>
          <w:left w:val="nil"/>
          <w:bottom w:val="nil"/>
          <w:right w:val="nil"/>
          <w:between w:val="nil"/>
        </w:pBdr>
        <w:spacing w:after="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Reproducible workflows and documentation will be maintained to enable full replication of the analysis.</w:t>
      </w:r>
    </w:p>
    <w:p w14:paraId="5E97BA2B" w14:textId="77777777" w:rsidR="00077ECC" w:rsidRDefault="00000000">
      <w:pPr>
        <w:numPr>
          <w:ilvl w:val="0"/>
          <w:numId w:val="14"/>
        </w:numPr>
        <w:pBdr>
          <w:top w:val="nil"/>
          <w:left w:val="nil"/>
          <w:bottom w:val="nil"/>
          <w:right w:val="nil"/>
          <w:between w:val="nil"/>
        </w:pBdr>
        <w:spacing w:after="280" w:line="276"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Interim analyses will be limited to feasibility monitoring and will not involve formal hypothesis testing.</w:t>
      </w:r>
    </w:p>
    <w:p w14:paraId="7DCDE613" w14:textId="77777777" w:rsidR="00077ECC" w:rsidRDefault="00000000">
      <w:pPr>
        <w:pStyle w:val="Ttulo1"/>
        <w:numPr>
          <w:ilvl w:val="0"/>
          <w:numId w:val="10"/>
        </w:numPr>
        <w:spacing w:line="276"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lastRenderedPageBreak/>
        <w:t>Consistency with Trial Registration</w:t>
      </w:r>
    </w:p>
    <w:p w14:paraId="5F005AAA" w14:textId="77777777" w:rsidR="00077ECC" w:rsidRDefault="00000000">
      <w:pPr>
        <w:pBdr>
          <w:top w:val="nil"/>
          <w:left w:val="nil"/>
          <w:bottom w:val="nil"/>
          <w:right w:val="nil"/>
          <w:between w:val="nil"/>
        </w:pBdr>
        <w:spacing w:before="280" w:after="280" w:line="276" w:lineRule="auto"/>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This statistical analysis plan is aligned with the outcomes, estimands, measurement timing, and analytical framework described in the AEA RCT Registry and ISRCTN trial registrations. Any substantive deviations from the registered protocol will be documented and transparently reported.</w:t>
      </w:r>
    </w:p>
    <w:sectPr w:rsidR="00077EC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D453DBA-9BC2-A943-883A-A06B42ED982D}"/>
    <w:embedBold r:id="rId2" w:fontKey="{F5C1924F-41E0-6646-BCC4-3A42895CD506}"/>
    <w:embedItalic r:id="rId3" w:fontKey="{1A404A99-B741-0845-92E3-C5C3F5607A65}"/>
  </w:font>
  <w:font w:name="Noto Sans Symbols">
    <w:altName w:val="Calibri"/>
    <w:panose1 w:val="020B0604020202020204"/>
    <w:charset w:val="00"/>
    <w:family w:val="auto"/>
    <w:pitch w:val="default"/>
    <w:embedRegular r:id="rId4" w:fontKey="{74932115-5603-5142-AB57-EED18EB5EB70}"/>
  </w:font>
  <w:font w:name="Courier New">
    <w:panose1 w:val="02070309020205020404"/>
    <w:charset w:val="00"/>
    <w:family w:val="modern"/>
    <w:pitch w:val="fixed"/>
    <w:sig w:usb0="E0002AFF" w:usb1="C0007843" w:usb2="00000009" w:usb3="00000000" w:csb0="000001FF" w:csb1="00000000"/>
    <w:embedRegular r:id="rId5" w:fontKey="{58626E24-3190-9940-8925-83940D9A54CB}"/>
  </w:font>
  <w:font w:name="Calibri">
    <w:panose1 w:val="020F0502020204030204"/>
    <w:charset w:val="00"/>
    <w:family w:val="swiss"/>
    <w:pitch w:val="variable"/>
    <w:sig w:usb0="E4002EFF" w:usb1="C200247B" w:usb2="00000009" w:usb3="00000000" w:csb0="000001FF" w:csb1="00000000"/>
    <w:embedRegular r:id="rId6" w:fontKey="{C735F8F0-5A0C-314B-9031-156AE2737B95}"/>
    <w:embedItalic r:id="rId7" w:fontKey="{EABCD34D-0D6A-F445-B50F-7BA94E9DD461}"/>
  </w:font>
  <w:font w:name="Gungsuh">
    <w:panose1 w:val="02030600000101010101"/>
    <w:charset w:val="81"/>
    <w:family w:val="roman"/>
    <w:pitch w:val="variable"/>
    <w:sig w:usb0="B00002AF" w:usb1="69D77CFB" w:usb2="00000030" w:usb3="00000000" w:csb0="0008009F" w:csb1="00000000"/>
    <w:embedRegular r:id="rId8" w:subsetted="1" w:fontKey="{9D5F7E8C-50FC-4D49-BF05-EC4B172164B3}"/>
  </w:font>
  <w:font w:name="Cambria Math">
    <w:panose1 w:val="02040503050406030204"/>
    <w:charset w:val="00"/>
    <w:family w:val="roman"/>
    <w:pitch w:val="variable"/>
    <w:sig w:usb0="E00002FF" w:usb1="420024FF" w:usb2="00000000" w:usb3="00000000" w:csb0="0000019F" w:csb1="00000000"/>
    <w:embedRegular r:id="rId9" w:fontKey="{F4DAEC7D-6127-5F47-9AEF-324864F67AA0}"/>
    <w:embedItalic r:id="rId10" w:fontKey="{AC589379-980F-6443-B3BE-13FCE35A3332}"/>
  </w:font>
  <w:font w:name="Cambria">
    <w:panose1 w:val="02040503050406030204"/>
    <w:charset w:val="00"/>
    <w:family w:val="roman"/>
    <w:pitch w:val="variable"/>
    <w:sig w:usb0="E00002FF" w:usb1="400004FF" w:usb2="00000000" w:usb3="00000000" w:csb0="0000019F" w:csb1="00000000"/>
    <w:embedRegular r:id="rId11" w:fontKey="{3D18098A-4FAE-F64D-87F6-F1B6868A531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547C5"/>
    <w:multiLevelType w:val="multilevel"/>
    <w:tmpl w:val="34D88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3F1458"/>
    <w:multiLevelType w:val="multilevel"/>
    <w:tmpl w:val="6CE030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506C1115"/>
    <w:multiLevelType w:val="multilevel"/>
    <w:tmpl w:val="0E1C97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4FB60B1"/>
    <w:multiLevelType w:val="multilevel"/>
    <w:tmpl w:val="5914DD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98B5F8A"/>
    <w:multiLevelType w:val="multilevel"/>
    <w:tmpl w:val="03C28B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1CF0FB8"/>
    <w:multiLevelType w:val="multilevel"/>
    <w:tmpl w:val="65F24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6C27B39"/>
    <w:multiLevelType w:val="multilevel"/>
    <w:tmpl w:val="20409C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E9D484F"/>
    <w:multiLevelType w:val="multilevel"/>
    <w:tmpl w:val="98F0BEF8"/>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8" w15:restartNumberingAfterBreak="0">
    <w:nsid w:val="71911F40"/>
    <w:multiLevelType w:val="multilevel"/>
    <w:tmpl w:val="421C8E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196483B"/>
    <w:multiLevelType w:val="multilevel"/>
    <w:tmpl w:val="9350F7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2DF278A"/>
    <w:multiLevelType w:val="multilevel"/>
    <w:tmpl w:val="11B23D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74B503F2"/>
    <w:multiLevelType w:val="multilevel"/>
    <w:tmpl w:val="2620EF94"/>
    <w:lvl w:ilvl="0">
      <w:start w:val="8"/>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2" w15:restartNumberingAfterBreak="0">
    <w:nsid w:val="78A36141"/>
    <w:multiLevelType w:val="multilevel"/>
    <w:tmpl w:val="6974FD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9784975"/>
    <w:multiLevelType w:val="multilevel"/>
    <w:tmpl w:val="AA5C31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74951337">
    <w:abstractNumId w:val="5"/>
  </w:num>
  <w:num w:numId="2" w16cid:durableId="1253659305">
    <w:abstractNumId w:val="6"/>
  </w:num>
  <w:num w:numId="3" w16cid:durableId="1581058591">
    <w:abstractNumId w:val="13"/>
  </w:num>
  <w:num w:numId="4" w16cid:durableId="1734890079">
    <w:abstractNumId w:val="10"/>
  </w:num>
  <w:num w:numId="5" w16cid:durableId="568884875">
    <w:abstractNumId w:val="2"/>
  </w:num>
  <w:num w:numId="6" w16cid:durableId="904923493">
    <w:abstractNumId w:val="0"/>
  </w:num>
  <w:num w:numId="7" w16cid:durableId="1384258852">
    <w:abstractNumId w:val="1"/>
  </w:num>
  <w:num w:numId="8" w16cid:durableId="2087026493">
    <w:abstractNumId w:val="3"/>
  </w:num>
  <w:num w:numId="9" w16cid:durableId="312220817">
    <w:abstractNumId w:val="7"/>
  </w:num>
  <w:num w:numId="10" w16cid:durableId="925385313">
    <w:abstractNumId w:val="11"/>
  </w:num>
  <w:num w:numId="11" w16cid:durableId="1868444611">
    <w:abstractNumId w:val="12"/>
  </w:num>
  <w:num w:numId="12" w16cid:durableId="1815022105">
    <w:abstractNumId w:val="8"/>
  </w:num>
  <w:num w:numId="13" w16cid:durableId="1227692559">
    <w:abstractNumId w:val="9"/>
  </w:num>
  <w:num w:numId="14" w16cid:durableId="19490013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ECC"/>
    <w:rsid w:val="00077ECC"/>
    <w:rsid w:val="001E549B"/>
    <w:rsid w:val="00404B86"/>
    <w:rsid w:val="00444BB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ecimalSymbol w:val="."/>
  <w:listSeparator w:val=";"/>
  <w14:docId w14:val="090501B2"/>
  <w15:docId w15:val="{10B35F62-AEBC-CC43-9C99-8CC502C96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s-ES_tradnl"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color w:val="2F5496"/>
      <w:sz w:val="40"/>
      <w:szCs w:val="40"/>
    </w:rPr>
  </w:style>
  <w:style w:type="paragraph" w:styleId="Ttulo2">
    <w:name w:val="heading 2"/>
    <w:basedOn w:val="Normal"/>
    <w:next w:val="Normal"/>
    <w:uiPriority w:val="9"/>
    <w:unhideWhenUsed/>
    <w:qFormat/>
    <w:pPr>
      <w:keepNext/>
      <w:keepLines/>
      <w:spacing w:before="160" w:after="80"/>
      <w:outlineLvl w:val="1"/>
    </w:pPr>
    <w:rPr>
      <w:color w:val="2F5496"/>
      <w:sz w:val="32"/>
      <w:szCs w:val="32"/>
    </w:rPr>
  </w:style>
  <w:style w:type="paragraph" w:styleId="Ttulo3">
    <w:name w:val="heading 3"/>
    <w:basedOn w:val="Normal"/>
    <w:next w:val="Normal"/>
    <w:uiPriority w:val="9"/>
    <w:unhideWhenUsed/>
    <w:qFormat/>
    <w:pPr>
      <w:keepNext/>
      <w:keepLines/>
      <w:spacing w:before="160" w:after="80"/>
      <w:outlineLvl w:val="2"/>
    </w:pPr>
    <w:rPr>
      <w:color w:val="2F5496"/>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2F5496"/>
    </w:rPr>
  </w:style>
  <w:style w:type="paragraph" w:styleId="Ttulo5">
    <w:name w:val="heading 5"/>
    <w:basedOn w:val="Normal"/>
    <w:next w:val="Normal"/>
    <w:uiPriority w:val="9"/>
    <w:semiHidden/>
    <w:unhideWhenUsed/>
    <w:qFormat/>
    <w:pPr>
      <w:keepNext/>
      <w:keepLines/>
      <w:spacing w:before="80" w:after="40"/>
      <w:outlineLvl w:val="4"/>
    </w:pPr>
    <w:rPr>
      <w:color w:val="2F5496"/>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I8OkwDc9ZUEdDbioUdVzww+Xg==">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Iu0DCgtBQUFCNmxZM21zbxKVAwoLQUFBQjZsWTNtc28SC0FBQUI2bFkzbXNvGg0KCXRleHQvaHRtbBIAIg4KCnRleHQvcGxhaW4SACpXCh5ZYWRpcmFhaCBFc3RlZmFueSBJcGFycmFndWlycmUaNS8vc3NsLmdzdGF0aWMuY29tL2RvY3MvY29tbW9uL2JsdWVfc2lsaG91ZXR0ZTk2LTAucG5nMODz9MDjMzjg8/TA4zNKSAokYXBwbGljYXRpb24vdm5kLmdvb2dsZS1hcHBzLmRvY3MubWRzGiDC19rkARoSGAoUCg4sIGhvdXJzIHdvcmtlZBABGAAQAXJZCh5ZYWRpcmFhaCBFc3RlZmFueSBJcGFycmFndWlycmUaNwo1Ly9zc2wuZ3N0YXRpYy5jb20vZG9jcy9jb21tb24vYmx1ZV9zaWxob3VldHRlOTYtMC5wbmd4AIIBNnN1Z2dlc3RJZEltcG9ydDcwYmZhYWY0LWVmYzMtNGFjMS05NWQ1LTkzMzU2NmJiYmYyZF8xMYgBAZoBBggAEAAYALABALgBAcgBABjg8/TA4zMg4PP0wOMzMABCNnN1Z2dlc3RJZEltcG9ydDcwYmZhYWY0LWVmYzMtNGFjMS05NWQ1LTkzMzU2NmJiYmYyZF8xMSLwAwoLQUFBQjZsWTNtc2MSmQMKC0FBQUI2bFkzbXNjEgtBQUFCNmxZM21zYxoNCgl0ZXh0L2h0bWwSACIOCgp0ZXh0L3BsYWluEgAqVwoeWWFkaXJhYWggRXN0ZWZhbnkgSXBhcnJhZ3VpcnJlGjUvL3NzbC5nc3RhdGljLmNvbS9kb2NzL2NvbW1vbi9ibHVlX3NpbGhvdWV0dGU5Ni0wLnBuZzDg8/TA4zM44PP0wOMzSk0KJGFwcGxpY2F0aW9uL3ZuZC5nb29nbGUtYXBwcy5kb2NzLm1kcxolwtfa5AEfCh0KDAoGU3VydmV5EAEYABILCgVBZG1pbhABGAAYAXJZCh5ZYWRpcmFhaCBFc3RlZmFueSBJcGFycmFndWlycmUaNwo1Ly9zc2wuZ3N0YXRpYy5jb20vZG9jcy9jb21tb24vYmx1ZV9zaWxob3VldHRlOTYtMC5wbmd4AIIBNXN1Z2dlc3RJZEltcG9ydDcwYmZhYWY0LWVmYzMtNGFjMS05NWQ1LTkzMzU2NmJiYmYyZF85iAEBmgEGCAAQABgAsAEAuAEByAEAGODz9MDjMyDg8/TA4zMwAEI1c3VnZ2VzdElkSW1wb3J0NzBiZmFhZjQtZWZjMy00YWMxLTk1ZDUtOTMzNTY2YmJiZjJkXzkihwQKC0FBQUI2bFkzbXJ3Eq8DCgtBQUFCNmxZM21ydxILQUFBQjZsWTNtcncaDQoJdGV4dC9odG1sEgAiDgoKdGV4dC9wbGFpbhIAKlcKHllhZGlyYWFoIEVzdGVmYW55IElwYXJyYWd1aXJyZRo1Ly9zc2wuZ3N0YXRpYy5jb20vZG9jcy9jb21tb24vYmx1ZV9zaWxob3VldHRlOTYtMC5wbmcwoLzFweMzOKC8xcHjM0piCiRhcHBsaWNhdGlvbi92bmQuZ29vZ2xlLWFwcHMuZG9jcy5tZHMaOsLX2uQBNCISCFYIVwhYCFoIWwhcCFUIWRABIh4ICgiKAQgMCA0IDgiLAQiMAQgPCJ8BCHUIEQgSEAFyWQoeWWFkaXJhYWggRXN0ZWZhbnkgSXBhcnJhZ3VpcnJlGjcKNS8vc3NsLmdzdGF0aWMuY29tL2RvY3MvY29tbW9uL2JsdWVfc2lsaG91ZXR0ZTk2LTAucG5neACCATZzdWdnZXN0SWRJbXBvcnQ3MGJmYWFmNC1lZmMzLTRhYzEtOTVkNS05MzM1NjZiYmJmMmRfNTCIAQGaAQYIABAAGACwAQC4AQHIAQAYoLzFweMzIKC8xcHjMzAAQjZzdWdnZXN0SWRJbXBvcnQ3MGJmYWFmNC1lZmMzLTRhYzEtOTVkNS05MzM1NjZiYmJmMmRfNTAi+QMKC0FBQUI2bFkzbXNVEqIDCgtBQUFCNmxZM21zVRILQUFBQjZsWTNtc1UaDQoJdGV4dC9odG1sEgAiDgoKdGV4dC9wbGFpbhIAKlcKHllhZGlyYWFoIEVzdGVmYW55IElwYXJyYWd1aXJyZRo1Ly9zc2wuZ3N0YXRpYy5jb20vZG9jcy9jb21tb24vYmx1ZV9zaWxob3VldHRlOTYtMC5wbmcwgJ/xwOMzOICf8cDjM0pWCiRhcHBsaWNhdGlvbi92bmQuZ29vZ2xlLWFwcHMuZG9jcy5tZHMaLsLX2uQBKAomCgwKBlN1cnZleRABGAASFAoOQWRtaW4gLyBzdXJ2ZXkQARgAGAFyWQoeWWFkaXJhYWggRXN0ZWZhbnkgSXBhcnJhZ3VpcnJlGjcKNS8vc3NsLmdzdGF0aWMuY29tL2RvY3MvY29tbW9uL2JsdWVfc2lsaG91ZXR0ZTk2LTAucG5neACCATVzdWdnZXN0SWRJbXBvcnQ3MGJmYWFmNC1lZmMzLTRhYzEtOTVkNS05MzM1NjZiYmJmMmRfM4gBAZoBBggAEAAYALABALgBAcgBABiAn/HA4zMggJ/xwOMzMABCNXN1Z2dlc3RJZEltcG9ydDcwYmZhYWY0LWVmYzMtNGFjMS05NWQ1LTkzMzU2NmJiYmYyZF8zIt8DCgtBQUFCNmxZM21zTRKHAwoLQUFBQjZsWTNtc00SC0FBQUI2bFkzbXNNGg0KCXRleHQvaHRtbBIAIg4KCnRleHQvcGxhaW4SACpXCh5ZYWRpcmFhaCBFc3RlZmFueSBJcGFycmFndWlycmUaNS8vc3NsLmdzdGF0aWMuY29tL2RvY3MvY29tbW9uL2JsdWVfc2lsaG91ZXR0ZTk2LTAucG5nMOCZksHjMzjgmZLB4zNKOgokYXBwbGljYXRpb24vdm5kLmdvb2dsZS1hcHBzLmRvY3MubWRzGhLC19rkAQwiBghXCFgQASICEAFyWQoeWWFkaXJhYWggRXN0ZWZhbnkgSXBhcnJhZ3VpcnJlGjcKNS8vc3NsLmdzdGF0aWMuY29tL2RvY3MvY29tbW9uL2JsdWVfc2lsaG91ZXR0ZTk2LTAucG5neACCATZzdWdnZXN0SWRJbXBvcnQ3MGJmYWFmNC1lZmMzLTRhYzEtOTVkNS05MzM1NjZiYmJmMmRfMjCIAQGaAQYIABAAGACwAQC4AQHIAQAY4JmSweMzIOCZksHjMzAAQjZzdWdnZXN0SWRJbXBvcnQ3MGJmYWFmNC1lZmMzLTRhYzEtOTVkNS05MzM1NjZiYmJmMmRfMjAimgIKC0FBQUI2d1NFNWRFEuQBCgtBQUFCNndTRTVkRRILQUFBQjZ3U0U1ZEUaDQoJdGV4dC9odG1sEgAiDgoKdGV4dC9wbGFpbhIAKhsiFTEwMTkzMzYxNTY5OTEzODQ4NTQ5NCgAOAAw94Pu4uMzOMOx7uLjM0pBCiRhcHBsaWNhdGlvbi92bmQuZ29vZ2xlLWFwcHMuZG9jcy5tZHMaGcLX2uQBExoRCg0KByhaYXJpdCkQARgAEAFaDDhxdGU3NDZpeWlkc3ICIAB4AIIBFHN1Z2dlc3QueG5xaWFrbmdqbjdpmgEGCAAQABgAsAEAuAEAyAEAGPeD7uLjMyDDse7i4zMwAEIUc3VnZ2VzdC54bnFpYWtuZ2puN2kiggQKC0FBQUI2bFkzbXM0EqsDCgtBQUFCNmxZM21zNBILQUFBQjZsWTNtczQaDQoJdGV4dC9odG1sEgAiDgoKdGV4dC9wbGFpbhIAKlcKHllhZGlyYWFoIEVzdGVmYW55IElwYXJyYWd1aXJyZRo1Ly9zc2wuZ3N0YXRpYy5jb20vZG9jcy9jb21tb24vYmx1ZV9zaWxob3VldHRlOTYtMC5wbmcwwPXpwOMzOMD16cDjM0pfCiRhcHBsaWNhdGlvbi92bmQuZ29vZ2xlLWFwcHMuZG9jcy5tZHMaN8LX2uQBMRIvCisKJSwgdXNlIG9mIGVkdWNhdGlvbmFsIHN1cHBvcnQgc2VydmljZXMQARgAEAFyWQoeWWFkaXJhYWggRXN0ZWZhbnkgSXBhcnJhZ3VpcnJlGjcKNS8vc3NsLmdzdGF0aWMuY29tL2RvY3MvY29tbW9uL2JsdWVfc2lsaG91ZXR0ZTk2LTAucG5neACCATVzdWdnZXN0SWRJbXBvcnQ3MGJmYWFmNC1lZmMzLTRhYzEtOTVkNS05MzM1NjZiYmJmMmRfNogBAZoBBggAEAAYALABALgBAcgBABjA9enA4zMgwPXpwOMzMABCNXN1Z2dlc3RJZEltcG9ydDcwYmZhYWY0LWVmYzMtNGFjMS05NWQ1LTkzMzU2NmJiYmYyZF82ItsDCgtBQUFCNmxZM21xZxKDAwoLQUFBQjZsWTNtcWcSC0FBQUI2bFkzbXFnGg0KCXRleHQvaHRtbBIAIg4KCnRleHQvcGxhaW4SACpXCh5ZYWRpcmFhaCBFc3RlZmFueSBJcGFycmFndWlycmUaNS8vc3NsLmdzdGF0aWMuY29tL2RvY3MvY29tbW9uL2JsdWVfc2lsaG91ZXR0ZTk2LTAucG5nMKC8xcHjMzigvMXB4zNKNgokYXBwbGljYXRpb24vdm5kLmdvb2dsZS1hcHBzLmRvY3MubWRzGg7C19rkAQgiBggDCAQQAXJZCh5ZYWRpcmFhaCBFc3RlZmFueSBJcGFycmFndWlycmUaNwo1Ly9zc2wuZ3N0YXRpYy5jb20vZG9jcy9jb21tb24vYmx1ZV9zaWxob3VldHRlOTYtMC5wbmd4AIIBNnN1Z2dlc3RJZEltcG9ydDcwYmZhYWY0LWVmYzMtNGFjMS05NWQ1LTkzMzU2NmJiYmYyZF81NogBAZoBBggAEAAYALABALgBAcgBABigvMXB4zMgoLzFweMzMABCNnN1Z2dlc3RJZEltcG9ydDcwYmZhYWY0LWVmYzMtNGFjMS05NWQ1LTkzMzU2NmJiYmYyZF81NiKUAgoLQUFBQjZ3U0JuY2cS3gEKC0FBQUI2d1NCbmNnEgtBQUFCNndTQm5jZxoNCgl0ZXh0L2h0bWwSACIOCgp0ZXh0L3BsYWluEgAqGyIVMTAxOTMzNjE1Njk5MTM4NDg1NDk0KAA4ADD6o5Pi4zM4l6uT4uMzSjsKJGFwcGxpY2F0aW9uL3ZuZC5nb29nbGUtYXBwcy5kb2NzLm1kcxoTwtfa5AENGgsKBwoBLRABGAAQAloMc3ljMThqMW0ya3dpcgIgAHgAggEUc3VnZ2VzdC5mMzRndDZ5bjJ6bDCaAQYIABAAGACwAQC4AQDIAQAY+qOT4uMzIJerk+LjMzAAQhRzdWdnZXN0LmYzNGd0NnluMnpsMCLbAwoLQUFBQjZsWTNtcjgSgwMKC0FBQUI2bFkzbXI4EgtBQUFCNmxZM21yOBoNCgl0ZXh0L2h0bWwSACIOCgp0ZXh0L3BsYWluEgAqVwoeWWFkaXJhYWggRXN0ZWZhbnkgSXBhcnJhZ3VpcnJlGjUvL3NzbC5nc3RhdGljLmNvbS9kb2NzL2NvbW1vbi9ibHVlX3NpbGhvdWV0dGU5Ni0wLnBuZzCgvMXB4zM4oLzFweMzSjYKJGFwcGxpY2F0aW9uL3ZuZC5nb29nbGUtYXBwcy5kb2NzLm1kcxoOwtfa5AEIIgYIAwgFEAFyWQoeWWFkaXJhYWggRXN0ZWZhbnkgSXBhcnJhZ3VpcnJlGjcKNS8vc3NsLmdzdGF0aWMuY29tL2RvY3MvY29tbW9uL2JsdWVfc2lsaG91ZXR0ZTk2LTAucG5neACCATZzdWdnZXN0SWRJbXBvcnQ3MGJmYWFmNC1lZmMzLTRhYzEtOTVkNS05MzM1NjZiYmJmMmRfNDmIAQGaAQYIABAAGACwAQC4AQHIAQAYoLzFweMzIKC8xcHjMzAAQjZzdWdnZXN0SWRJbXBvcnQ3MGJmYWFmNC1lZmMzLTRhYzEtOTVkNS05MzM1NjZiYmJmMmRfNDki6wMKC0FBQUI2bFkzbXBzEpQDCgtBQUFCNmxZM21wcxILQUFBQjZsWTNtcHMaDQoJdGV4dC9odG1sEgAiDgoKdGV4dC9wbGFpbhIAKlcKHllhZGlyYWFoIEVzdGVmYW55IElwYXJyYWd1aXJyZRo1Ly9zc2wuZ3N0YXRpYy5jb20vZG9jcy9jb21tb24vYmx1ZV9zaWxob3VldHRlOTYtMC5wbmcwwPXpwOMzOMD16cDjM0pICiRhcHBsaWNhdGlvbi92bmQuZ29vZ2xlLWFwcHMuZG9jcy5tZHMaIMLX2uQBGhoYChQKDihpZiBhdmFpbGFibGUpEAEYABABclkKHllhZGlyYWFoIEVzdGVmYW55IElwYXJyYWd1aXJyZRo3CjUvL3NzbC5nc3RhdGljLmNvbS9kb2NzL2NvbW1vbi9ibHVlX3NpbGhvdWV0dGU5Ni0wLnBuZ3gAggE1c3VnZ2VzdElkSW1wb3J0NzBiZmFhZjQtZWZjMy00YWMxLTk1ZDUtOTMzNTY2YmJiZjJkXzWIAQGaAQYIABAAGACwAQC4AQHIAQAYwPXpwOMzIMD16cDjMzAAQjVzdWdnZXN0SWRJbXBvcnQ3MGJmYWFmNC1lZmMzLTRhYzEtOTVkNS05MzM1NjZiYmJmMmRfNSLrAwoLQUFBQjZsWTNtcjASlAMKC0FBQUI2bFkzbXIwEgtBQUFCNmxZM21yMBoNCgl0ZXh0L2h0bWwSACIOCgp0ZXh0L3BsYWluEgAqVwoeWWFkaXJhYWggRXN0ZWZhbnkgSXBhcnJhZ3VpcnJlGjUvL3NzbC5nc3RhdGljLmNvbS9kb2NzL2NvbW1vbi9ibHVlX3NpbGhvdWV0dGU5Ni0wLnBuZzDA9enA4zM4wPXpwOMzSkgKJGFwcGxpY2F0aW9uL3ZuZC5nb29nbGUtYXBwcy5kb2NzLm1kcxogwtfa5AEaGhgKFAoOKGlmIGF2YWlsYWJsZSkQARgAEAFyWQoeWWFkaXJhYWggRXN0ZWZhbnkgSXBhcnJhZ3VpcnJlGjcKNS8vc3NsLmdzdGF0aWMuY29tL2RvY3MvY29tbW9uL2JsdWVfc2lsaG91ZXR0ZTk2LTAucG5neACCATVzdWdnZXN0SWRJbXBvcnQ3MGJmYWFmNC1lZmMzLTRhYzEtOTVkNS05MzM1NjZiYmJmMmRfN4gBAZoBBggAEAAYALABALgBAcgBABjA9enA4zMgwPXpwOMzMABCNXN1Z2dlc3RJZEltcG9ydDcwYmZhYWY0LWVmYzMtNGFjMS05NWQ1LTkzMzU2NmJiYmYyZF83Mg5oLmZpaXA2ODNlbnhyYzIOaC5rNjlrMTNsazR1NTgyDmguc3NybG9yZGp4NDY5Mg5oLnV1bnlqNzhpYnJveTIOaC5ybzNucG11NzBldmoyDmguZmw1a3E3ZjVyN2RoMg5oLmpsenF2YXVybGxhNDIOaC5sM2RhcHo0cmU4cXoyDmguNG44OG40c2Zna3d0Mg5oLjNjMDlhaTR4MWljOTIOaC5tNmxsazE1ZWcxNnAyDWgua3ZzNmtvN24wZGYyDmguOWFqOXR0OG52bThrMg5oLnVkZnYzczFrYXYyajIOaC40dm4xcjloZnp4Ym0yDmguY3E3bHlqZm5reTJ0Mg5oLnNrYmE0OWdjNG1uNTIOaC53dXN3d2ZiMjd6M3QyDmgueW5ieDB0d3RxZHpkMg5oLmZvMGxhOWhoMWY3NDIOaC40dzRqb3M0Zjk1ZW8yDmgucGd5cWg5ZWYwNzJsMg5oLm14dGMyMWU1NWNrMDIOaC42YWFtMGNmcXVydWgyDmguanUwNzhsbzc5dGY2Mg5oLnpkb3Q2YzcwZ2FwejIOaC56MHkzejd3N3lmYmkyDmgudTB5cHRueHBpMG9hMg5oLnN1ZHh1MjMxdWYxODgAalgKNnN1Z2dlc3RJZEltcG9ydDcwYmZhYWY0LWVmYzMtNGFjMS05NWQ1LTkzMzU2NmJiYmYyZF8xMhIeWWFkaXJhYWggRXN0ZWZhbnkgSXBhcnJhZ3VpcnJlai0KFHN1Z2dlc3QuaWwzemI4Z2hrMzRoEhVZYWRpcmFhaCBJcGFycmFndWlycmVqWAo2c3VnZ2VzdElkSW1wb3J0NzBiZmFhZjQtZWZjMy00YWMxLTk1ZDUtOTMzNTY2YmJiZjJkXzExEh5ZYWRpcmFhaCBFc3RlZmFueSBJcGFycmFndWlycmVqWAo2c3VnZ2VzdElkSW1wb3J0NzBiZmFhZjQtZWZjMy00YWMxLTk1ZDUtOTMzNTY2YmJiZjJkXzIxEh5ZYWRpcmFhaCBFc3RlZmFueSBJcGFycmFndWlycmVqLQoUc3VnZ2VzdC5nMmRwc3U1Z201ZmwSFVlhZGlyYWFoIElwYXJyYWd1aXJyZWpXCjVzdWdnZXN0SWRJbXBvcnQ3MGJmYWFmNC1lZmMzLTRhYzEtOTVkNS05MzM1NjZiYmJmMmRfORIeWWFkaXJhYWggRXN0ZWZhbnkgSXBhcnJhZ3VpcnJlai0KFHN1Z2dlc3QuODZrc2lpdHFrOTVnEhVZYWRpcmFhaCBJcGFycmFndWlycmVqWAo2c3VnZ2VzdElkSW1wb3J0NzBiZmFhZjQtZWZjMy00YWMxLTk1ZDUtOTMzNTY2YmJiZjJkXzMzEh5ZYWRpcmFhaCBFc3RlZmFueSBJcGFycmFndWlycmVqWAo2c3VnZ2VzdElkSW1wb3J0NzBiZmFhZjQtZWZjMy00YWMxLTk1ZDUtOTMzNTY2YmJiZjJkXzUwEh5ZYWRpcmFhaCBFc3RlZmFueSBJcGFycmFndWlycmVqLQoUc3VnZ2VzdC5waGw0ZXNveTIya3USFVlhZGlyYWFoIElwYXJyYWd1aXJyZWpXCjVzdWdnZXN0SWRJbXBvcnQ3MGJmYWFmNC1lZmMzLTRhYzEtOTVkNS05MzM1NjZiYmJmMmRfMxIeWWFkaXJhYWggRXN0ZWZhbnkgSXBhcnJhZ3VpcnJlalgKNnN1Z2dlc3RJZEltcG9ydDcwYmZhYWY0LWVmYzMtNGFjMS05NWQ1LTkzMzU2NmJiYmYyZF8zORIeWWFkaXJhYWggRXN0ZWZhbnkgSXBhcnJhZ3VpcnJlalgKNnN1Z2dlc3RJZEltcG9ydDcwYmZhYWY0LWVmYzMtNGFjMS05NWQ1LTkzMzU2NmJiYmYyZF8xNBIeWWFkaXJhYWggRXN0ZWZhbnkgSXBhcnJhZ3VpcnJlai0KFHN1Z2dlc3QuZ3lsMjdpcnFvbHlrEhVZYWRpcmFhaCBJcGFycmFndWlycmVqWAo2c3VnZ2VzdElkSW1wb3J0NzBiZmFhZjQtZWZjMy00YWMxLTk1ZDUtOTMzNTY2YmJiZjJkXzI2Eh5ZYWRpcmFhaCBFc3RlZmFueSBJcGFycmFndWlycmVqLQoUc3VnZ2VzdC4yMmxpbWhpNGV4MGQSFVlhZGlyYWFoIElwYXJyYWd1aXJyZWpYCjZzdWdnZXN0SWRJbXBvcnQ3MGJmYWFmNC1lZmMzLTRhYzEtOTVkNS05MzM1NjZiYmJmMmRfMjASHllhZGlyYWFoIEVzdGVmYW55IElwYXJyYWd1aXJyZWotChRzdWdnZXN0LmVtM2M2amVlMTQzbxIVWWFkaXJhYWggSXBhcnJhZ3VpcnJlalgKNnN1Z2dlc3RJZEltcG9ydDcwYmZhYWY0LWVmYzMtNGFjMS05NWQ1LTkzMzU2NmJiYmYyZF84ORIeWWFkaXJhYWggRXN0ZWZhbnkgSXBhcnJhZ3VpcnJlalgKNnN1Z2dlc3RJZEltcG9ydDcwYmZhYWY0LWVmYzMtNGFjMS05NWQ1LTkzMzU2NmJiYmYyZF8zMRIeWWFkaXJhYWggRXN0ZWZhbnkgSXBhcnJhZ3VpcnJlai0KFHN1Z2dlc3QueG5xaWFrbmdqbjdpEhVZYWRpcmFhaCBJcGFycmFndWlycmVqWAo2c3VnZ2VzdElkSW1wb3J0NzBiZmFhZjQtZWZjMy00YWMxLTk1ZDUtOTMzNTY2YmJiZjJkXzcwEh5ZYWRpcmFhaCBFc3RlZmFueSBJcGFycmFndWlycmVqLQoUc3VnZ2VzdC4xbDQybTc2Ym5wazYSFVlhZGlyYWFoIElwYXJyYWd1aXJyZWotChRzdWdnZXN0Ljk3YWRqbDVodXBvYRIVWWFkaXJhYWggSXBhcnJhZ3VpcnJlalgKNnN1Z2dlc3RJZEltcG9ydDcwYmZhYWY0LWVmYzMtNGFjMS05NWQ1LTkzMzU2NmJiYmYyZF83NRIeWWFkaXJhYWggRXN0ZWZhbnkgSXBhcnJhZ3VpcnJlalgKNnN1Z2dlc3RJZEltcG9ydDcwYmZhYWY0LWVmYzMtNGFjMS05NWQ1LTkzMzU2NmJiYmYyZF81MhIeWWFkaXJhYWggRXN0ZWZhbnkgSXBhcnJhZ3VpcnJlai0KFHN1Z2dlc3QuM2x2N3NzbGV4enVpEhVZYWRpcmFhaCBJcGFycmFndWlycmVqLQoUc3VnZ2VzdC5ucDhidnRzbDAzenASFVlhZGlyYWFoIElwYXJyYWd1aXJyZWpXCjVzdWdnZXN0SWRJbXBvcnQ3MGJmYWFmNC1lZmMzLTRhYzEtOTVkNS05MzM1NjZiYmJmMmRfMRIeWWFkaXJhYWggRXN0ZWZhbnkgSXBhcnJhZ3VpcnJlai0KFHN1Z2dlc3QudnNpYW9laGg3eDVvEhVZYWRpcmFhaCBJcGFycmFndWlycmVqVwo1c3VnZ2VzdElkSW1wb3J0NzBiZmFhZjQtZWZjMy00YWMxLTk1ZDUtOTMzNTY2YmJiZjJkXzYSHllhZGlyYWFoIEVzdGVmYW55IElwYXJyYWd1aXJyZWotChRzdWdnZXN0LmFyd2UycXJlNmszbRIVWWFkaXJhYWggSXBhcnJhZ3VpcnJlalgKNnN1Z2dlc3RJZEltcG9ydDcwYmZhYWY0LWVmYzMtNGFjMS05NWQ1LTkzMzU2NmJiYmYyZF84NxIeWWFkaXJhYWggRXN0ZWZhbnkgSXBhcnJhZ3VpcnJlai0KFHN1Z2dlc3QuamNuejI0bDZ5Y2VzEhVZYWRpcmFhaCBJcGFycmFndWlycmVqLQoUc3VnZ2VzdC5wMmRnOG40dHBuNjYSFVlhZGlyYWFoIElwYXJyYWd1aXJyZWpYCjZzdWdnZXN0SWRJbXBvcnQ3MGJmYWFmNC1lZmMzLTRhYzEtOTVkNS05MzM1NjZiYmJmMmRfMzISHllhZGlyYWFoIEVzdGVmYW55IElwYXJyYWd1aXJyZWosChNzdWdnZXN0Ljd3cHhjZDhxbjN5EhVZYWRpcmFhaCBJcGFycmFndWlycmVqWAo2c3VnZ2VzdElkSW1wb3J0NzBiZmFhZjQtZWZjMy00YWMxLTk1ZDUtOTMzNTY2YmJiZjJkXzUxEh5ZYWRpcmFhaCBFc3RlZmFueSBJcGFycmFndWlycmVqWAo2c3VnZ2VzdElkSW1wb3J0NzBiZmFhZjQtZWZjMy00YWMxLTk1ZDUtOTMzNTY2YmJiZjJkXzU2Eh5ZYWRpcmFhaCBFc3RlZmFueSBJcGFycmFndWlycmVqWAo2c3VnZ2VzdElkSW1wb3J0NzBiZmFhZjQtZWZjMy00YWMxLTk1ZDUtOTMzNTY2YmJiZjJkXzcyEh5ZYWRpcmFhaCBFc3RlZmFueSBJcGFycmFndWlycmVqLAoTc3VnZ2VzdC5xdHh6amdkNThjdBIVWWFkaXJhYWggSXBhcnJhZ3VpcnJlalgKNnN1Z2dlc3RJZEltcG9ydDcwYmZhYWY0LWVmYzMtNGFjMS05NWQ1LTkzMzU2NmJiYmYyZF8yOBIeWWFkaXJhYWggRXN0ZWZhbnkgSXBhcnJhZ3VpcnJlai0KFHN1Z2dlc3Quaml5aTQ4bnY2M3VxEhVZYWRpcmFhaCBJcGFycmFndWlycmVqWAo2c3VnZ2VzdElkSW1wb3J0NzBiZmFhZjQtZWZjMy00YWMxLTk1ZDUtOTMzNTY2YmJiZjJkXzI5Eh5ZYWRpcmFhaCBFc3RlZmFueSBJcGFycmFndWlycmVqLQoUc3VnZ2VzdC5mMzRndDZ5bjJ6bDASFVlhZGlyYWFoIElwYXJyYWd1aXJyZWpYCjZzdWdnZXN0SWRJbXBvcnQ3MGJmYWFmNC1lZmMzLTRhYzEtOTVkNS05MzM1NjZiYmJmMmRfMTYSHllhZGlyYWFoIEVzdGVmYW55IElwYXJyYWd1aXJyZWpYCjZzdWdnZXN0SWRJbXBvcnQ3MGJmYWFmNC1lZmMzLTRhYzEtOTVkNS05MzM1NjZiYmJmMmRfMzgSHllhZGlyYWFoIEVzdGVmYW55IElwYXJyYWd1aXJyZWpYCjZzdWdnZXN0SWRJbXBvcnQ3MGJmYWFmNC1lZmMzLTRhYzEtOTVkNS05MzM1NjZiYmJmMmRfNDkSHllhZGlyYWFoIEVzdGVmYW55IElwYXJyYWd1aXJyZWotChRzdWdnZXN0LjcxeXppdXNhMHRnMxIVWWFkaXJhYWggSXBhcnJhZ3VpcnJlalgKNnN1Z2dlc3RJZEltcG9ydDcwYmZhYWY0LWVmYzMtNGFjMS05NWQ1LTkzMzU2NmJiYmYyZF84NBIeWWFkaXJhYWggRXN0ZWZhbnkgSXBhcnJhZ3VpcnJlalcKNXN1Z2dlc3RJZEltcG9ydDcwYmZhYWY0LWVmYzMtNGFjMS05NWQ1LTkzMzU2NmJiYmYyZF81Eh5ZYWRpcmFhaCBFc3RlZmFueSBJcGFycmFndWlycmVqLQoUc3VnZ2VzdC4zY21tNzl3czBsbnASFVlhZGlyYWFoIElwYXJyYWd1aXJyZWotChRzdWdnZXN0Ljh1a2R1dnE0b3FkYhIVWWFkaXJhYWggSXBhcnJhZ3VpcnJlalgKNnN1Z2dlc3RJZEltcG9ydDcwYmZhYWY0LWVmYzMtNGFjMS05NWQ1LTkzMzU2NmJiYmYyZF80MRIeWWFkaXJhYWggRXN0ZWZhbnkgSXBhcnJhZ3VpcnJlalgKNnN1Z2dlc3RJZEltcG9ydDcwYmZhYWY0LWVmYzMtNGFjMS05NWQ1LTkzMzU2NmJiYmYyZF83NhIeWWFkaXJhYWggRXN0ZWZhbnkgSXBhcnJhZ3VpcnJlai0KFHN1Z2dlc3QuYjZvaG15cWtpcjYyEhVZYWRpcmFhaCBJcGFycmFndWlycmVqLQoUc3VnZ2VzdC5xaW00czduMGhkZXESFVlhZGlyYWFoIElwYXJyYWd1aXJyZWpYCjZzdWdnZXN0SWRJbXBvcnQ3MGJmYWFmNC1lZmMzLTRhYzEtOTVkNS05MzM1NjZiYmJmMmRfNjMSHllhZGlyYWFoIEVzdGVmYW55IElwYXJyYWd1aXJyZWotChRzdWdnZXN0LnA2YmluZG9hZW8wZBIVWWFkaXJhYWggSXBhcnJhZ3VpcnJlalcKNXN1Z2dlc3RJZEltcG9ydDcwYmZhYWY0LWVmYzMtNGFjMS05NWQ1LTkzMzU2NmJiYmYyZF83Eh5ZYWRpcmFhaCBFc3RlZmFueSBJcGFycmFndWlycmVqWAo2c3VnZ2VzdElkSW1wb3J0NzBiZmFhZjQtZWZjMy00YWMxLTk1ZDUtOTMzNTY2YmJiZjJkXzQzEh5ZYWRpcmFhaCBFc3RlZmFueSBJcGFycmFndWlycmVqWAo2c3VnZ2VzdElkSW1wb3J0NzBiZmFhZjQtZWZjMy00YWMxLTk1ZDUtOTMzNTY2YmJiZjJkXzYyEh5ZYWRpcmFhaCBFc3RlZmFueSBJcGFycmFndWlycmVqLQoUc3VnZ2VzdC50aWl2bGZrdGF1ajcSFVlhZGlyYWFoIElwYXJyYWd1aXJyZWotChRzdWdnZXN0LmdpZzNqZHV1bXNxahIVWWFkaXJhYWggSXBhcnJhZ3VpcnJlalUKNnN1Z2dlc3RJZEltcG9ydDcwYmZhYWY0LWVmYzMtNGFjMS05NWQ1LTkzMzU2NmJiYmYyZF8yNxIbQ2xhdWRpYSBQYXogTWFydGluZXogQWx2ZWFyalgKNnN1Z2dlc3RJZEltcG9ydDcwYmZhYWY0LWVmYzMtNGFjMS05NWQ1LTkzMzU2NmJiYmYyZF80NBIeWWFkaXJhYWggRXN0ZWZhbnkgSXBhcnJhZ3VpcnJlai0KFHN1Z2dlc3QuNG05anUyajVmMjFqEhVZYWRpcmFhaCBJcGFycmFndWlycmVqLQoUc3VnZ2VzdC5pdHkxMXdidGVqaWoSFVlhZGlyYWFoIElwYXJyYWd1aXJyZWpYCjZzdWdnZXN0SWRJbXBvcnQ3MGJmYWFmNC1lZmMzLTRhYzEtOTVkNS05MzM1NjZiYmJmMmRfNDISHllhZGlyYWFoIEVzdGVmYW55IElwYXJyYWd1aXJyZWotChRzdWdnZXN0LmppYzczM2dpbWQ4chIVWWFkaXJhYWggSXBhcnJhZ3VpcnJlai0KFHN1Z2dlc3Quc3Q1cG04NmtmemJoEhVZYWRpcmFhaCBJcGFycmFndWlycmVqLQoUc3VnZ2VzdC5zeGhraWR5azczdGISFVlhZGlyYWFoIElwYXJyYWd1aXJyZWpYCjZzdWdnZXN0SWRJbXBvcnQ3MGJmYWFmNC1lZmMzLTRhYzEtOTVkNS05MzM1NjZiYmJmMmRfNjASHllhZGlyYWFoIEVzdGVmYW55IElwYXJyYWd1aXJyZWpYCjZzdWdnZXN0SWRJbXBvcnQ3MGJmYWFmNC1lZmMzLTRhYzEtOTVkNS05MzM1NjZiYmJmMmRfMTkSHllhZGlyYWFoIEVzdGVmYW55IElwYXJyYWd1aXJyZWotChRzdWdnZXN0LjF4ZngyOTJldmRiahIVWWFkaXJhYWggSXBhcnJhZ3VpcnJlai0KFHN1Z2dlc3QuYmd1amt5Y3hqdjB2EhVZYWRpcmFhaCBJcGFycmFndWlycmVqLQoUc3VnZ2VzdC51cXBrbDV6ZjQ5dDMSFVlhZGlyYWFoIElwYXJyYWd1aXJyZWotChRzdWdnZXN0Lnhzd2c4eXo1ZzFrYhIVWWFkaXJhYWggSXBhcnJhZ3VpcnJlciExdmtaU2FVN2hFcHk5ZzRGbFRFVVlnUnB2Zkh4ZGpuN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3954</Words>
  <Characters>21751</Characters>
  <Application>Microsoft Office Word</Application>
  <DocSecurity>0</DocSecurity>
  <Lines>181</Lines>
  <Paragraphs>51</Paragraphs>
  <ScaleCrop>false</ScaleCrop>
  <Company/>
  <LinksUpToDate>false</LinksUpToDate>
  <CharactersWithSpaces>25654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Yadiraah Estefany Iparraguirre</cp:lastModifiedBy>
  <cp:revision>5</cp:revision>
  <dcterms:created xsi:type="dcterms:W3CDTF">2026-06-11T16:09:00Z</dcterms:created>
  <dcterms:modified xsi:type="dcterms:W3CDTF">2026-06-11T16:09:00Z</dcterms:modified>
</cp:coreProperties>
</file>