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9.png" ContentType="image/png"/>
  <Override PartName="/word/media/rId28.png" ContentType="image/png"/>
  <Override PartName="/word/media/rId23.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Designing plant-based defaults to maximize uptake while minimizing reactance: A registered report</w:t>
      </w:r>
    </w:p>
    <w:p>
      <w:pPr>
        <w:pStyle w:val="Date"/>
      </w:pPr>
      <w:r>
        <w:t xml:space="preserve">2026-07-02</w:t>
      </w:r>
    </w:p>
    <w:p>
      <w:pPr>
        <w:pStyle w:val="AbstractTitle"/>
      </w:pPr>
      <w:r>
        <w:t xml:space="preserve">Abstract</w:t>
      </w:r>
    </w:p>
    <w:p>
      <w:pPr>
        <w:pStyle w:val="Abstract"/>
      </w:pPr>
      <w:r>
        <w:t xml:space="preserve">Plant-based defaults are among the most promising tools for reducing meat consumption at catered events, but the practitioners who implement them must choose a concrete form: which option is pre-selected, how opting out works, and what message, if any, accompanies the default. These design choices have not been compared head-to-head. We will conduct a five-arm randomized experiment (N = 3,750 US adults on Prolific) in which participants imagine a catered event and choose between a tofu bánh mì and a chicken bánh mì under one of five presentations: a neutral menu, a pre-selected plant-based option, a pre-checked opt-out checkbox, and a pre-selected option accompanied by either an inclusivity or an environmental message. Our two families of hypotheses concern uptake (each format must increase plant-based selection over control by a pre-registered minimum: 10 to 30 percentage points depending on arm) and reactance (dissatisfaction with the chosen meal must fall below pre-registered ceilings agreed upon with our practice partner, Greener by Default). [RESULTS TO BE FILLED IN AT STAGE 2.] Our findings will directly inform the sign-up forms that institutional food-service clients use to serve millions of meals. [TO BE FILLED IN: final implications sentence.]</w:t>
      </w:r>
    </w:p>
    <w:bookmarkStart w:id="9" w:name="introduction"/>
    <w:p>
      <w:pPr>
        <w:pStyle w:val="Heading1"/>
      </w:pPr>
      <w:r>
        <w:t xml:space="preserve">Introduction</w:t>
      </w:r>
    </w:p>
    <w:p>
      <w:pPr>
        <w:pStyle w:val="FirstParagraph"/>
      </w:pPr>
      <w:r>
        <w:t xml:space="preserve">Global consumption of meat and animal products carries large environmental, health, and animal welfare externalities</w:t>
      </w:r>
      <w:r>
        <w:t xml:space="preserve"> </w:t>
      </w:r>
      <w:r>
        <w:t xml:space="preserve">(Poore and Nemecek 2018;</w:t>
      </w:r>
      <w:r>
        <w:t xml:space="preserve"> </w:t>
      </w:r>
      <w:r>
        <w:t xml:space="preserve">Willett et al.</w:t>
      </w:r>
      <w:r>
        <w:t xml:space="preserve"> </w:t>
      </w:r>
      <w:r>
        <w:t xml:space="preserve">2019)</w:t>
      </w:r>
      <w:r>
        <w:t xml:space="preserve">, and interventions that try to persuade individuals to change their diets have produced small effects on average</w:t>
      </w:r>
      <w:r>
        <w:t xml:space="preserve"> </w:t>
      </w:r>
      <w:r>
        <w:t xml:space="preserve">(Green et al. 2026)</w:t>
      </w:r>
      <w:r>
        <w:t xml:space="preserve">. In response, researchers and advocates have increasingly turned to the</w:t>
      </w:r>
      <w:r>
        <w:t xml:space="preserve"> </w:t>
      </w:r>
      <w:r>
        <w:t xml:space="preserve">“microenvironments”</w:t>
      </w:r>
      <w:r>
        <w:t xml:space="preserve"> </w:t>
      </w:r>
      <w:r>
        <w:t xml:space="preserve">in which food is chosen, restructuring menus, portions, and presentation rather than minds</w:t>
      </w:r>
      <w:r>
        <w:t xml:space="preserve"> </w:t>
      </w:r>
      <w:r>
        <w:t xml:space="preserve">(Bianchi et al. 2018; Hope et al. 2026)</w:t>
      </w:r>
      <w:r>
        <w:t xml:space="preserve">. Among these strategies, plant-based defaults, where the plant-based meal is what you get unless you ask otherwise, have shown some of the largest effects in the field: vegetarian defaults at catered lunches and university events have raised plant-based uptake by dozens of percentage points</w:t>
      </w:r>
      <w:r>
        <w:t xml:space="preserve"> </w:t>
      </w:r>
      <w:r>
        <w:t xml:space="preserve">(Hansen et al. 2021; Boronowsky et al. 2022; Andersson and Nelander 2021; Ginn and Sparkman 2024; Meier et al. 2022)</w:t>
      </w:r>
      <w:r>
        <w:t xml:space="preserve">. This is consistent with a broader literature in which defaults are among the most reliable tools in the choice architecture toolkit</w:t>
      </w:r>
      <w:r>
        <w:t xml:space="preserve"> </w:t>
      </w:r>
      <w:r>
        <w:t xml:space="preserve">(Johnson and Goldstein 2003; Jachimowicz et al. 2019; Thaler and Sunstein 2008)</w:t>
      </w:r>
      <w:r>
        <w:t xml:space="preserve">, though estimates of nudge effectiveness in general are contested</w:t>
      </w:r>
      <w:r>
        <w:t xml:space="preserve"> </w:t>
      </w:r>
      <w:r>
        <w:t xml:space="preserve">(Mertens et al. 2022; Maier et al. 2022)</w:t>
      </w:r>
      <w:r>
        <w:t xml:space="preserve">.</w:t>
      </w:r>
    </w:p>
    <w:p>
      <w:pPr>
        <w:pStyle w:val="BodyText"/>
      </w:pPr>
      <w:r>
        <w:t xml:space="preserve">For the practitioners who actually implement plant-based defaults, however,</w:t>
      </w:r>
      <w:r>
        <w:t xml:space="preserve"> </w:t>
      </w:r>
      <w:r>
        <w:t xml:space="preserve">“use a default”</w:t>
      </w:r>
      <w:r>
        <w:t xml:space="preserve"> </w:t>
      </w:r>
      <w:r>
        <w:t xml:space="preserve">is incomplete advice, because a default is not a singular thing. A catering sign-up form must take a concrete shape, and its designers face choices on at least two dimensions. The first is mechanics: is the plant-based meal pre-selected among visible alternatives, or is opting out a separate action, like unchecking a box? Greener by Default (GBD), a nonprofit that advises institutional food-service clients on plant-forward catering</w:t>
      </w:r>
      <w:r>
        <w:t xml:space="preserve"> </w:t>
      </w:r>
      <w:r>
        <w:t xml:space="preserve">(Pollicino et al. 2024; Chang et al. 2023)</w:t>
      </w:r>
      <w:r>
        <w:t xml:space="preserve">, has cycled through several of these formats in practice, from disclosure statements to opt-out checkboxes to pre-checked boxes, guided by intuition and client feedback rather than experimental evidence. [TO BE FILLED IN: 1-2 sentences on GBD’s scale and client base, from Ken.] To our knowledge, no study has compared these formats head-to-head while holding the meal itself constant.</w:t>
      </w:r>
    </w:p>
    <w:p>
      <w:pPr>
        <w:pStyle w:val="BodyText"/>
      </w:pPr>
      <w:r>
        <w:t xml:space="preserve">The second dimension is accompaniment. The classic nudge operates silently, altering choice architecture without engaging deliberation</w:t>
      </w:r>
      <w:r>
        <w:t xml:space="preserve"> </w:t>
      </w:r>
      <w:r>
        <w:t xml:space="preserve">(Thaler and Sunstein 2008)</w:t>
      </w:r>
      <w:r>
        <w:t xml:space="preserve">, but real-world defaults increasingly arrive bundled with a stated reason, a hybrid form that behavioral public policy now theorizes as</w:t>
      </w:r>
      <w:r>
        <w:t xml:space="preserve"> </w:t>
      </w:r>
      <w:r>
        <w:t xml:space="preserve">“nudge+”</w:t>
      </w:r>
      <w:r>
        <w:t xml:space="preserve">: a nudge delivered with an element of reflection blended in or made proximate</w:t>
      </w:r>
      <w:r>
        <w:t xml:space="preserve"> </w:t>
      </w:r>
      <w:r>
        <w:t xml:space="preserve">(Banerjee and John 2024)</w:t>
      </w:r>
      <w:r>
        <w:t xml:space="preserve">. The evidence on these hybrids is promising. In a large online experiment on meal orders, a green default preceded by a reflective pledge outperformed every other intervention tested, and defaults paired with a transparent information disclosure did no worse than silent defaults</w:t>
      </w:r>
      <w:r>
        <w:t xml:space="preserve"> </w:t>
      </w:r>
      <w:r>
        <w:t xml:space="preserve">(Banerjee et al. 2023b)</w:t>
      </w:r>
      <w:r>
        <w:t xml:space="preserve">. Our framed arms are justified defaults in this spirit: the pre-selection is disclosed and explained at the moment of choice. Whether a justification adds uptake beyond a bare default, and which justification travels best, are open questions. Environmental framings are common but implicitly judge the diner who wants meat; inclusivity framings present the plant-based default as the meal that accommodates the most people. Preliminary evidence from the University of Exeter’s DefaultVeg program favors the latter: 84% of participants agreed with inclusivity-framed vegetarian catering versus 72% for environmental framing [NATALIA: confirm final numbers and sign off before this appears in print; citation to be added when the abstract is public].</w:t>
      </w:r>
    </w:p>
    <w:p>
      <w:pPr>
        <w:pStyle w:val="BodyText"/>
      </w:pPr>
      <w:r>
        <w:t xml:space="preserve">The countervailing force is reactance, and it binds twice. It binds psychologically: prompts that feel prescriptive can backfire</w:t>
      </w:r>
      <w:r>
        <w:t xml:space="preserve"> </w:t>
      </w:r>
      <w:r>
        <w:t xml:space="preserve">(Brehm 1966)</w:t>
      </w:r>
      <w:r>
        <w:t xml:space="preserve">. In a recent preregistered experiment, an action-planning prompt reduced willingness to cut meat consumption, an effect that ran through psychological reactance</w:t>
      </w:r>
      <w:r>
        <w:t xml:space="preserve"> </w:t>
      </w:r>
      <w:r>
        <w:t xml:space="preserve">(Graça et al. 2026)</w:t>
      </w:r>
      <w:r>
        <w:t xml:space="preserve">, and in another, nudging people who had just pledged to eat sustainably provoked short-term backfire among precisely the already-motivated</w:t>
      </w:r>
      <w:r>
        <w:t xml:space="preserve"> </w:t>
      </w:r>
      <w:r>
        <w:t xml:space="preserve">(Banerjee et al. 2023a)</w:t>
      </w:r>
      <w:r>
        <w:t xml:space="preserve">. And it binds practically: a default that maximizes plant-based selections but generates complaints will not survive contact with a client’s inbox. Yet the outcomes implementers weigh most heavily are the ones the literature reports least; a recent scoping review of institutional dining interventions found that diner experience, the acceptability indicator foodservice stakeholders rank as most important, is among the least frequently reported</w:t>
      </w:r>
      <w:r>
        <w:t xml:space="preserve"> </w:t>
      </w:r>
      <w:r>
        <w:t xml:space="preserve">(Chang et al. 2026)</w:t>
      </w:r>
      <w:r>
        <w:t xml:space="preserve">. We therefore treat reactance as a co-primary outcome rather than an afterthought, and we pre-register explicit dissatisfaction ceilings, set in consultation with GBD, that a format must stay under to be recommended for practice. This decision standard mirrors how the evidence will actually be used: GBD will recommend the format that produces the largest uptake gain among those that diners tolerate.</w:t>
      </w:r>
    </w:p>
    <w:p>
      <w:pPr>
        <w:pStyle w:val="BodyText"/>
      </w:pPr>
      <w:r>
        <w:t xml:space="preserve">We will test five presentations of the same choice, a tofu bánh mì versus a chicken bánh mì at a hypothetical catered event, in a five-arm randomized experiment on Prolific (N = 3,750). Against a control menu with neither option pre-selected, two arms vary the mechanics of the default, a pre-selected plant-based option (T1) and a pre-checked opt-out checkbox (T2), and two arms vary its accompaniment, pairing T1’s format with an inclusivity message (T3) or an environmental message (T4). The design thus spans the space between the classic silent nudge (T1, T2) and the justified, nudge+-style default (T3, T4), with uptake and reactance as co-primary outcomes. Our hypotheses, detailed below, specify minimum uptake gains (10 to 30 percentage points, by arm) and maximum dissatisfaction rates (20% to 30%, by arm). An online hypothetical-choice design is the right first step: it randomizes cleanly, costs little, and hypothetical food choices have replicated canonical patterns from real-world settings</w:t>
      </w:r>
      <w:r>
        <w:t xml:space="preserve"> </w:t>
      </w:r>
      <w:r>
        <w:t xml:space="preserve">(Hope et al. 2026)</w:t>
      </w:r>
      <w:r>
        <w:t xml:space="preserve">. A field experiment with GBD clients is the intended follow-up if the survey identifies a clear winner. [TO BE FILLED IN: closing paragraph positioning the contribution for Behavioural Public Policy.]</w:t>
      </w:r>
    </w:p>
    <w:bookmarkEnd w:id="9"/>
    <w:bookmarkStart w:id="17" w:name="method"/>
    <w:p>
      <w:pPr>
        <w:pStyle w:val="Heading1"/>
      </w:pPr>
      <w:r>
        <w:t xml:space="preserve">Method</w:t>
      </w:r>
    </w:p>
    <w:bookmarkStart w:id="10" w:name="design"/>
    <w:p>
      <w:pPr>
        <w:pStyle w:val="Heading2"/>
      </w:pPr>
      <w:r>
        <w:t xml:space="preserve">Design</w:t>
      </w:r>
    </w:p>
    <w:p>
      <w:pPr>
        <w:pStyle w:val="FirstParagraph"/>
      </w:pPr>
      <w:r>
        <w:t xml:space="preserve">The study will be a five-arm, between-subjects randomized experiment. All participants will imagine attending an event with a free catered lunch and will choose between two meals, identical across arms except for presentation: a Tofu Bánh Mì and a Chicken Bánh Mì, each listed with the same supporting ingredients (baguette, pickled daikon, carrots, cucumber, jalapeño, cilantro, sriracha sauce). The arms are:</w:t>
      </w:r>
    </w:p>
    <w:tbl>
      <w:tblPr>
        <w:tblStyle w:val="Table"/>
        <w:tblW w:type="pct" w:w="5000"/>
        <w:tblLayout w:type="fixed"/>
        <w:tblLook w:firstRow="1" w:lastRow="0" w:firstColumn="0" w:lastColumn="0" w:noHBand="0" w:noVBand="0" w:val="0020"/>
      </w:tblPr>
      <w:tblGrid>
        <w:gridCol w:w="1584"/>
        <w:gridCol w:w="6336"/>
      </w:tblGrid>
      <w:tr>
        <w:trPr>
          <w:tblHeader w:val="on"/>
        </w:trPr>
        <w:tc>
          <w:tcPr/>
          <w:p>
            <w:pPr>
              <w:pStyle w:val="Compact"/>
              <w:jc w:val="left"/>
            </w:pPr>
            <w:r>
              <w:t xml:space="preserve">Arm</w:t>
            </w:r>
          </w:p>
        </w:tc>
        <w:tc>
          <w:tcPr/>
          <w:p>
            <w:pPr>
              <w:pStyle w:val="Compact"/>
              <w:jc w:val="left"/>
            </w:pPr>
            <w:r>
              <w:t xml:space="preserve">Presentation</w:t>
            </w:r>
          </w:p>
        </w:tc>
      </w:tr>
      <w:tr>
        <w:tc>
          <w:tcPr/>
          <w:p>
            <w:pPr>
              <w:pStyle w:val="Compact"/>
              <w:jc w:val="left"/>
            </w:pPr>
            <w:r>
              <w:t xml:space="preserve">Control</w:t>
            </w:r>
          </w:p>
        </w:tc>
        <w:tc>
          <w:tcPr/>
          <w:p>
            <w:pPr>
              <w:pStyle w:val="Compact"/>
              <w:jc w:val="left"/>
            </w:pPr>
            <w:r>
              <w:t xml:space="preserve">Both options shown; neither pre-selected</w:t>
            </w:r>
          </w:p>
        </w:tc>
      </w:tr>
      <w:tr>
        <w:tc>
          <w:tcPr/>
          <w:p>
            <w:pPr>
              <w:pStyle w:val="Compact"/>
              <w:jc w:val="left"/>
            </w:pPr>
            <w:r>
              <w:t xml:space="preserve">T1</w:t>
            </w:r>
          </w:p>
        </w:tc>
        <w:tc>
          <w:tcPr/>
          <w:p>
            <w:pPr>
              <w:pStyle w:val="Compact"/>
              <w:jc w:val="left"/>
            </w:pPr>
            <w:r>
              <w:t xml:space="preserve">Both options shown; Tofu Bánh Mì pre-selected</w:t>
            </w:r>
          </w:p>
        </w:tc>
      </w:tr>
      <w:tr>
        <w:tc>
          <w:tcPr/>
          <w:p>
            <w:pPr>
              <w:pStyle w:val="Compact"/>
              <w:jc w:val="left"/>
            </w:pPr>
            <w:r>
              <w:t xml:space="preserve">T2</w:t>
            </w:r>
          </w:p>
        </w:tc>
        <w:tc>
          <w:tcPr/>
          <w:p>
            <w:pPr>
              <w:pStyle w:val="Compact"/>
              <w:jc w:val="left"/>
            </w:pPr>
            <w:r>
              <w:t xml:space="preserve">Single pre-checked checkbox for the Tofu Bánh Mì; unchecking it yields the Chicken Bánh Mì</w:t>
            </w:r>
          </w:p>
        </w:tc>
      </w:tr>
      <w:tr>
        <w:tc>
          <w:tcPr/>
          <w:p>
            <w:pPr>
              <w:pStyle w:val="Compact"/>
              <w:jc w:val="left"/>
            </w:pPr>
            <w:r>
              <w:t xml:space="preserve">T3</w:t>
            </w:r>
          </w:p>
        </w:tc>
        <w:tc>
          <w:tcPr/>
          <w:p>
            <w:pPr>
              <w:pStyle w:val="Compact"/>
              <w:jc w:val="left"/>
            </w:pPr>
            <w:r>
              <w:t xml:space="preserve">Tofu Bánh Mì pre-selected, with inclusivity message</w:t>
            </w:r>
          </w:p>
        </w:tc>
      </w:tr>
      <w:tr>
        <w:tc>
          <w:tcPr/>
          <w:p>
            <w:pPr>
              <w:pStyle w:val="Compact"/>
              <w:jc w:val="left"/>
            </w:pPr>
            <w:r>
              <w:t xml:space="preserve">T4</w:t>
            </w:r>
          </w:p>
        </w:tc>
        <w:tc>
          <w:tcPr/>
          <w:p>
            <w:pPr>
              <w:pStyle w:val="Compact"/>
              <w:jc w:val="left"/>
            </w:pPr>
            <w:r>
              <w:t xml:space="preserve">Tofu Bánh Mì pre-selected, with environmental message</w:t>
            </w:r>
          </w:p>
        </w:tc>
      </w:tr>
    </w:tbl>
    <w:p>
      <w:pPr>
        <w:pStyle w:val="BodyText"/>
      </w:pPr>
      <w:r>
        <w:t xml:space="preserve">T3 and T4 build on T1’s response format (two visible options, tofu pre-selected), not T2’s single checkbox; the framing message is the only difference between T1 and each framed arm. The T3 message reads:</w:t>
      </w:r>
      <w:r>
        <w:t xml:space="preserve"> </w:t>
      </w:r>
      <w:r>
        <w:t xml:space="preserve">“We have found this to be the most inclusive option that meets the most diners’ needs, including religious groups and people with allergies.”</w:t>
      </w:r>
      <w:r>
        <w:t xml:space="preserve"> </w:t>
      </w:r>
      <w:r>
        <w:t xml:space="preserve">The T4 message reads:</w:t>
      </w:r>
      <w:r>
        <w:t xml:space="preserve"> </w:t>
      </w:r>
      <w:r>
        <w:t xml:space="preserve">“We have found this to be the most sustainable option, with significantly lower greenhouse gas emissions than meat-based meals.”</w:t>
      </w:r>
    </w:p>
    <w:bookmarkEnd w:id="10"/>
    <w:bookmarkStart w:id="11" w:name="participants"/>
    <w:p>
      <w:pPr>
        <w:pStyle w:val="Heading2"/>
      </w:pPr>
      <w:r>
        <w:t xml:space="preserve">Participants</w:t>
      </w:r>
    </w:p>
    <w:p>
      <w:pPr>
        <w:pStyle w:val="FirstParagraph"/>
      </w:pPr>
      <w:r>
        <w:t xml:space="preserve">We will recruit 3,750 US adults (750 per arm) via Prolific, compensated $0.90 for a survey lasting approximately 1–2 minutes. [TO BE FILLED IN: Prolific screening criteria beyond US residence and English fluency, if any; data collection window.] [TO BE FILLED IN: Stanford IRB approval or exemption status, protocol number, and date.] All participants will provide informed consent. The study will be pre-registered at [TO BE FILLED IN: OSF / AsPredicted link]; this document constitutes the Stage 1 protocol.</w:t>
      </w:r>
    </w:p>
    <w:bookmarkEnd w:id="11"/>
    <w:bookmarkStart w:id="12" w:name="procedure"/>
    <w:p>
      <w:pPr>
        <w:pStyle w:val="Heading2"/>
      </w:pPr>
      <w:r>
        <w:t xml:space="preserve">Procedure</w:t>
      </w:r>
    </w:p>
    <w:p>
      <w:pPr>
        <w:pStyle w:val="FirstParagraph"/>
      </w:pPr>
      <w:r>
        <w:t xml:space="preserve">Participants will complete, in order: (1) consent; (2) pre-treatment items (age, gender, education, state of residence, and an optional free-text item on dietary restrictions or allergies); (3) an instructed-response attention check (</w:t>
      </w:r>
      <w:r>
        <w:t xml:space="preserve">“Please select</w:t>
      </w:r>
      <w:r>
        <w:t xml:space="preserve"> </w:t>
      </w:r>
      <w:r>
        <w:t xml:space="preserve">‘strongly disagree’</w:t>
      </w:r>
      <w:r>
        <w:t xml:space="preserve">”</w:t>
      </w:r>
      <w:r>
        <w:t xml:space="preserve">); (4) random assignment to one of the five arms, followed by the scenario prompt (</w:t>
      </w:r>
      <w:r>
        <w:t xml:space="preserve">“We now ask you to imagine that you’re going to an event with a free, catered lunch. The caterers want to know how many of each meal they should provide”</w:t>
      </w:r>
      <w:r>
        <w:t xml:space="preserve">) and the meal choice; and (5) endline items: a manipulation check (which meal they ordered), satisfaction with the chosen meal, satisfaction with the available choices, satisfaction with how the choices were presented, a descriptive-norms estimate (what percentage of participants they believe chose the same meal), and an open comment box. Randomization will be executed by the survey platform’s randomizer, from which condition assignment is recorded directly.</w:t>
      </w:r>
    </w:p>
    <w:bookmarkEnd w:id="12"/>
    <w:bookmarkStart w:id="13" w:name="measures"/>
    <w:p>
      <w:pPr>
        <w:pStyle w:val="Heading2"/>
      </w:pPr>
      <w:r>
        <w:t xml:space="preserve">Measures</w:t>
      </w:r>
    </w:p>
    <w:p>
      <w:pPr>
        <w:pStyle w:val="FirstParagraph"/>
      </w:pPr>
      <w:r>
        <w:t xml:space="preserve">Our primary behavioral outcome is</w:t>
      </w:r>
      <w:r>
        <w:t xml:space="preserve"> </w:t>
      </w:r>
      <w:r>
        <w:rPr>
          <w:rStyle w:val="VerbatimChar"/>
        </w:rPr>
        <w:t xml:space="preserve">chose_veg</w:t>
      </w:r>
      <w:r>
        <w:t xml:space="preserve">: an indicator for selecting the Tofu Bánh Mì, coalesced across the per-arm choice items. In T2, an unchecked box is a chicken choice, not a missing response. Our primary reactance outcome is</w:t>
      </w:r>
      <w:r>
        <w:t xml:space="preserve"> </w:t>
      </w:r>
      <w:r>
        <w:rPr>
          <w:rStyle w:val="VerbatimChar"/>
        </w:rPr>
        <w:t xml:space="preserve">dissat_chosen</w:t>
      </w:r>
      <w:r>
        <w:t xml:space="preserve">: an indicator for rating satisfaction with the chosen meal in the bottom two boxes (</w:t>
      </w:r>
      <w:r>
        <w:t xml:space="preserve">“somewhat”</w:t>
      </w:r>
      <w:r>
        <w:t xml:space="preserve"> </w:t>
      </w:r>
      <w:r>
        <w:t xml:space="preserve">or</w:t>
      </w:r>
      <w:r>
        <w:t xml:space="preserve"> </w:t>
      </w:r>
      <w:r>
        <w:t xml:space="preserve">“extremely”</w:t>
      </w:r>
      <w:r>
        <w:t xml:space="preserve"> </w:t>
      </w:r>
      <w:r>
        <w:t xml:space="preserve">dissatisfied) of a five-point scale. Secondary outcomes are the parallel dissatisfaction indicators for available choices and presentation, the manipulation check, and the descriptive-norms estimate. The dietary free-text item will be regex-coded into categories (vegan, vegetarian, allergy-only, etc.) for exploratory description only. A full codebook mapping each analysis variable to its survey item accompanies the analysis code.</w:t>
      </w:r>
    </w:p>
    <w:bookmarkEnd w:id="13"/>
    <w:bookmarkStart w:id="14" w:name="sample-size-and-power"/>
    <w:p>
      <w:pPr>
        <w:pStyle w:val="Heading2"/>
      </w:pPr>
      <w:r>
        <w:t xml:space="preserve">Sample size and power</w:t>
      </w:r>
    </w:p>
    <w:p>
      <w:pPr>
        <w:pStyle w:val="FirstParagraph"/>
      </w:pPr>
      <w:r>
        <w:t xml:space="preserve">With approximately 712 analytic participants per arm (after ~5% attention-check exclusions) and alpha = .01 two-tailed, and assuming 20% plant-based uptake in control, we will have 96.4% power to detect T1’s 10 percentage point threshold, and effectively 100% power for the 20 and 30 point thresholds of T2, T3, and T4. For H2, simulation gives 93% power to conclude that dissatisfaction falls below the 20% ceiling when the true rate is 15% (T1, T3, T4), and 100% power for T2’s 30% ceiling when the true rate is 22%. [TO BE FILLED IN: brief justification of the 20% baseline uptake assumption, from GBD client data.]</w:t>
      </w:r>
    </w:p>
    <w:bookmarkEnd w:id="14"/>
    <w:bookmarkStart w:id="15" w:name="hypotheses-and-analysis-plan"/>
    <w:p>
      <w:pPr>
        <w:pStyle w:val="Heading2"/>
      </w:pPr>
      <w:r>
        <w:t xml:space="preserve">Hypotheses and analysis plan</w:t>
      </w:r>
    </w:p>
    <w:p>
      <w:pPr>
        <w:pStyle w:val="FirstParagraph"/>
      </w:pPr>
      <w:r>
        <w:rPr>
          <w:b/>
          <w:bCs/>
        </w:rPr>
        <w:t xml:space="preserve">H1 (uptake).</w:t>
      </w:r>
      <w:r>
        <w:t xml:space="preserve"> </w:t>
      </w:r>
      <w:r>
        <w:t xml:space="preserve">Each treatment will increase plant-based selection relative to control by at least a pre-registered minimum: 10 percentage points for T1, 20 for T2, and 30 for T3 and T4. Each arm is evaluated independently: H1 is supported for an arm if its OLS coefficient is significant at p &lt; .01 and meets or exceeds its threshold. These thresholds are the smallest effects we would consider meaningful evidence of each format’s success, set in consultation with GBD. [TO BE FILLED IN: one sentence on how the specific thresholds were chosen.]</w:t>
      </w:r>
    </w:p>
    <w:p>
      <w:pPr>
        <w:pStyle w:val="BodyText"/>
      </w:pPr>
      <w:r>
        <w:rPr>
          <w:b/>
          <w:bCs/>
        </w:rPr>
        <w:t xml:space="preserve">H2 (reactance).</w:t>
      </w:r>
      <w:r>
        <w:t xml:space="preserve"> </w:t>
      </w:r>
      <w:r>
        <w:t xml:space="preserve">The defaults will not generate unacceptable dissatisfaction. For each treatment arm, H2 is supported if the dissatisfaction rate on the chosen-meal item and the upper bound of its 95% Wilson confidence interval both fall below the arm’s ceiling: 20% for T1, T3, and T4; 30% for T2. Control has no registered ceiling and is reported descriptively. As an exploratory expectation, we anticipate reactance ordered Control &lt; T1 &lt; T3/T4 &lt; T2, and within the framed arms, environmental (T4) ≥ inclusivity (T3).</w:t>
      </w:r>
    </w:p>
    <w:p>
      <w:pPr>
        <w:pStyle w:val="BodyText"/>
      </w:pPr>
      <w:r>
        <w:t xml:space="preserve">We will estimate H1 with linear probability models with HC2 robust standard errors</w:t>
      </w:r>
      <w:r>
        <w:t xml:space="preserve"> </w:t>
      </w:r>
      <w:r>
        <w:t xml:space="preserve">(Gomila 2021; Blair et al. 2024)</w:t>
      </w:r>
      <w:r>
        <w:t xml:space="preserve">, control as the reference category, unadjusted as the primary specification and covariate-adjusted (age, gender, education) as a pre-specified robustness check. H2 uses Wilson confidence intervals for the per-arm dissatisfaction proportions. Alpha = .01 throughout; treatment effects are accordingly reported with 99% confidence intervals, while H2 uses 95% Wilson intervals because the registered ceiling criterion is defined on the 95% upper bound. The sole exclusion is failure of the attention check, applied before any analysis. Secondary and exploratory analyses (cross-condition contrasts, descriptive norms, dietary-identity coding, heterogeneous treatment effects by age, gender, and education) are specified in the accompanying pre-analysis plan and will be labeled as exploratory wherever reported. For any issue this plan does not address, we will follow standard operating procedures for experimental analysis</w:t>
      </w:r>
      <w:r>
        <w:t xml:space="preserve"> </w:t>
      </w:r>
      <w:r>
        <w:t xml:space="preserve">(Lin et al. 2016)</w:t>
      </w:r>
      <w:r>
        <w:t xml:space="preserve">. All analyses will be conducted in R</w:t>
      </w:r>
      <w:r>
        <w:t xml:space="preserve"> </w:t>
      </w:r>
      <w:r>
        <w:t xml:space="preserve">(R Core Team 2026)</w:t>
      </w:r>
      <w:r>
        <w:t xml:space="preserve"> </w:t>
      </w:r>
      <w:r>
        <w:t xml:space="preserve">and rendered with R Markdown</w:t>
      </w:r>
      <w:r>
        <w:t xml:space="preserve"> </w:t>
      </w:r>
      <w:r>
        <w:t xml:space="preserve">(Xie et al. 2018)</w:t>
      </w:r>
      <w:r>
        <w:t xml:space="preserve">; the full pipeline has been executed end-to-end on simulated data (below), so the code that produces every number in this paper exists and runs before any data are collected.</w:t>
      </w:r>
    </w:p>
    <w:bookmarkEnd w:id="15"/>
    <w:bookmarkStart w:id="16" w:name="design-table"/>
    <w:p>
      <w:pPr>
        <w:pStyle w:val="Heading2"/>
      </w:pPr>
      <w:r>
        <w:t xml:space="preserve">Design table</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Question</w:t>
            </w:r>
          </w:p>
        </w:tc>
        <w:tc>
          <w:tcPr/>
          <w:p>
            <w:pPr>
              <w:pStyle w:val="Compact"/>
              <w:jc w:val="left"/>
            </w:pPr>
            <w:r>
              <w:t xml:space="preserve">Hypothesis</w:t>
            </w:r>
          </w:p>
        </w:tc>
        <w:tc>
          <w:tcPr/>
          <w:p>
            <w:pPr>
              <w:pStyle w:val="Compact"/>
              <w:jc w:val="left"/>
            </w:pPr>
            <w:r>
              <w:t xml:space="preserve">Sampling plan</w:t>
            </w:r>
          </w:p>
        </w:tc>
        <w:tc>
          <w:tcPr/>
          <w:p>
            <w:pPr>
              <w:pStyle w:val="Compact"/>
              <w:jc w:val="left"/>
            </w:pPr>
            <w:r>
              <w:t xml:space="preserve">Analysis plan</w:t>
            </w:r>
          </w:p>
        </w:tc>
        <w:tc>
          <w:tcPr/>
          <w:p>
            <w:pPr>
              <w:pStyle w:val="Compact"/>
              <w:jc w:val="left"/>
            </w:pPr>
            <w:r>
              <w:t xml:space="preserve">Interpretation given outcomes</w:t>
            </w:r>
          </w:p>
        </w:tc>
      </w:tr>
      <w:tr>
        <w:tc>
          <w:tcPr/>
          <w:p>
            <w:pPr>
              <w:pStyle w:val="Compact"/>
              <w:jc w:val="left"/>
            </w:pPr>
            <w:r>
              <w:t xml:space="preserve">Does each default format raise plant-based uptake enough to matter for practice?</w:t>
            </w:r>
          </w:p>
        </w:tc>
        <w:tc>
          <w:tcPr/>
          <w:p>
            <w:pPr>
              <w:pStyle w:val="Compact"/>
              <w:jc w:val="left"/>
            </w:pPr>
            <w:r>
              <w:t xml:space="preserve">H1: uptake gains ≥ 10 pp (T1), 20 pp (T2), 30 pp (T3, T4) at p &lt; .01</w:t>
            </w:r>
          </w:p>
        </w:tc>
        <w:tc>
          <w:tcPr/>
          <w:p>
            <w:pPr>
              <w:pStyle w:val="Compact"/>
              <w:jc w:val="left"/>
            </w:pPr>
            <w:r>
              <w:t xml:space="preserve">750/arm on Prolific; ~712/arm analytic; 96%+ power at each threshold</w:t>
            </w:r>
          </w:p>
        </w:tc>
        <w:tc>
          <w:tcPr/>
          <w:p>
            <w:pPr>
              <w:pStyle w:val="Compact"/>
              <w:jc w:val="left"/>
            </w:pPr>
            <w:r>
              <w:t xml:space="preserve">LPM, HC2 SEs, control reference, unadjusted primary</w:t>
            </w:r>
          </w:p>
        </w:tc>
        <w:tc>
          <w:tcPr/>
          <w:p>
            <w:pPr>
              <w:pStyle w:val="Compact"/>
              <w:jc w:val="left"/>
            </w:pPr>
            <w:r>
              <w:t xml:space="preserve">Pass: format recommended to GBD clients (pending H2). Fail with significant positive effect: format works but below practical threshold. Null: format not recommended</w:t>
            </w:r>
          </w:p>
        </w:tc>
      </w:tr>
      <w:tr>
        <w:tc>
          <w:tcPr/>
          <w:p>
            <w:pPr>
              <w:pStyle w:val="Compact"/>
              <w:jc w:val="left"/>
            </w:pPr>
            <w:r>
              <w:t xml:space="preserve">Do the formats stay under acceptable dissatisfaction?</w:t>
            </w:r>
          </w:p>
        </w:tc>
        <w:tc>
          <w:tcPr/>
          <w:p>
            <w:pPr>
              <w:pStyle w:val="Compact"/>
              <w:jc w:val="left"/>
            </w:pPr>
            <w:r>
              <w:t xml:space="preserve">H2: dissatisfaction &lt; 20% (T1, T3, T4) or &lt; 30% (T2), point estimate and Wilson upper bound</w:t>
            </w:r>
          </w:p>
        </w:tc>
        <w:tc>
          <w:tcPr/>
          <w:p>
            <w:pPr>
              <w:pStyle w:val="Compact"/>
              <w:jc w:val="left"/>
            </w:pPr>
            <w:r>
              <w:t xml:space="preserve">Same sample</w:t>
            </w:r>
          </w:p>
        </w:tc>
        <w:tc>
          <w:tcPr/>
          <w:p>
            <w:pPr>
              <w:pStyle w:val="Compact"/>
              <w:jc w:val="left"/>
            </w:pPr>
            <w:r>
              <w:t xml:space="preserve">Wilson 95% CIs on per-arm dissatisfaction proportions</w:t>
            </w:r>
          </w:p>
        </w:tc>
        <w:tc>
          <w:tcPr/>
          <w:p>
            <w:pPr>
              <w:pStyle w:val="Compact"/>
              <w:jc w:val="left"/>
            </w:pPr>
            <w:r>
              <w:t xml:space="preserve">Pass: format tolerable. Fail: format not recommended regardless of uptake</w:t>
            </w:r>
          </w:p>
        </w:tc>
      </w:tr>
      <w:tr>
        <w:tc>
          <w:tcPr/>
          <w:p>
            <w:pPr>
              <w:pStyle w:val="Compact"/>
              <w:jc w:val="left"/>
            </w:pPr>
            <w:r>
              <w:t xml:space="preserve">Does framing add uptake beyond a bare default?</w:t>
            </w:r>
          </w:p>
        </w:tc>
        <w:tc>
          <w:tcPr/>
          <w:p>
            <w:pPr>
              <w:pStyle w:val="Compact"/>
              <w:jc w:val="left"/>
            </w:pPr>
            <w:r>
              <w:t xml:space="preserve">Exploratory (T3/T4 vs. T1 contrasts)</w:t>
            </w:r>
          </w:p>
        </w:tc>
        <w:tc>
          <w:tcPr/>
          <w:p>
            <w:pPr>
              <w:pStyle w:val="Compact"/>
              <w:jc w:val="left"/>
            </w:pPr>
            <w:r>
              <w:t xml:space="preserve">Same sample</w:t>
            </w:r>
          </w:p>
        </w:tc>
        <w:tc>
          <w:tcPr/>
          <w:p>
            <w:pPr>
              <w:pStyle w:val="Compact"/>
              <w:jc w:val="left"/>
            </w:pPr>
            <w:r>
              <w:t xml:space="preserve">Cross-condition LPM contrasts</w:t>
            </w:r>
          </w:p>
        </w:tc>
        <w:tc>
          <w:tcPr/>
          <w:p>
            <w:pPr>
              <w:pStyle w:val="Compact"/>
              <w:jc w:val="left"/>
            </w:pPr>
            <w:r>
              <w:t xml:space="preserve">Informs whether messages are worth the added implementation cost</w:t>
            </w:r>
          </w:p>
        </w:tc>
      </w:tr>
    </w:tbl>
    <w:bookmarkEnd w:id="16"/>
    <w:bookmarkEnd w:id="17"/>
    <w:bookmarkStart w:id="32" w:name="results"/>
    <w:p>
      <w:pPr>
        <w:pStyle w:val="Heading1"/>
      </w:pPr>
      <w:r>
        <w:t xml:space="preserve">Results</w:t>
      </w:r>
    </w:p>
    <w:p>
      <w:pPr>
        <w:pStyle w:val="FirstParagraph"/>
      </w:pPr>
      <w:r>
        <w:rPr>
          <w:b/>
          <w:bCs/>
        </w:rPr>
        <w:t xml:space="preserve">Note (Stage 1).</w:t>
      </w:r>
      <w:r>
        <w:t xml:space="preserve"> </w:t>
      </w:r>
      <w:r>
        <w:t xml:space="preserve">Every number in this section is generated from simulated data in which the true effects sit modestly above the pre-registered thresholds (</w:t>
      </w:r>
      <w:r>
        <w:rPr>
          <w:rStyle w:val="VerbatimChar"/>
        </w:rPr>
        <w:t xml:space="preserve">scripts-and-functions/simulate-data.R</w:t>
      </w:r>
      <w:r>
        <w:t xml:space="preserve">). The section is written as final prose so that, at Stage 2, replacing the simulation with the real data regenerates the paper; the words will then be revised to match whatever the numbers say.</w:t>
      </w:r>
    </w:p>
    <w:bookmarkStart w:id="18" w:name="sample-and-balance"/>
    <w:p>
      <w:pPr>
        <w:pStyle w:val="Heading2"/>
      </w:pPr>
      <w:r>
        <w:t xml:space="preserve">Sample and balance</w:t>
      </w:r>
    </w:p>
    <w:p>
      <w:pPr>
        <w:pStyle w:val="FirstParagraph"/>
      </w:pPr>
      <w:r>
        <w:t xml:space="preserve">Of 3,750 recruited participants, 180 (4.8%) failed the attention check, leaving 3,570 for analysis (711 to 717 per arm). Randomization produced balanced groups: mean age ranged from 37.3 to 38.6 years across arms, and mean education from 3.88 to 3.96 on the six-point scale. [TO BE FILLED IN: full balance table in supplement.]</w:t>
      </w:r>
    </w:p>
    <w:bookmarkEnd w:id="18"/>
    <w:bookmarkStart w:id="22" w:name="h1-plant-based-uptake"/>
    <w:p>
      <w:pPr>
        <w:pStyle w:val="Heading2"/>
      </w:pPr>
      <w:r>
        <w:t xml:space="preserve">H1: Plant-based uptake</w:t>
      </w:r>
    </w:p>
    <w:p>
      <w:pPr>
        <w:pStyle w:val="BlockText"/>
      </w:pPr>
      <w:r>
        <w:t xml:space="preserve">Each treatment increases plant-based selection relative to control by at least its pre-registered minimum: 10 pp (T1), 20 pp (T2), 30 pp (T3 and T4), at p &lt; .01.</w:t>
      </w:r>
    </w:p>
    <w:p>
      <w:pPr>
        <w:pStyle w:val="FirstParagraph"/>
      </w:pPr>
      <w:r>
        <w:t xml:space="preserve">Every default format cleared its uptake threshold (Table 1; Figure 1). In the control menu, 19.6% of participants selected the tofu bánh mì. Pre-selecting it (T1) raised uptake to 31.8%, a gain of 12.2 pp (99% CI: [6.3, 18.1]; p &lt; .001) against the 10-point threshold. The opt-out checkbox (T2) raised uptake to 44.5%, a gain of 24.9 pp (99% CI: [18.8, 31.0]; p &lt; .001) against the 20-point threshold. The framed defaults produced the largest gains: 54.7% of participants kept the plant-based meal under the inclusivity message (T3; 35.1 pp (99% CI: [29.0, 41.3]; p &lt; .001)) and 52.5% under the environmental message (T4; 32.9 pp (99% CI: [26.8, 39.1]; p &lt; .001)), each against a 30-point threshold.</w:t>
      </w:r>
    </w:p>
    <w:p>
      <w:pPr>
        <w:pStyle w:val="BodyText"/>
      </w:pPr>
      <w:r>
        <w:t xml:space="preserve">These estimates are robust to covariate adjustment: adding age, gender, and education moved no treatment coefficient by more than 0.32 pp.</w:t>
      </w:r>
    </w:p>
    <w:p>
      <w:pPr>
        <w:pStyle w:val="TableCaption"/>
      </w:pPr>
      <w:r>
        <w:t xml:space="preserve">Table 1. Plant-based uptake by arm vs. pre-registered thresholds (LPM, HC2 SEs, control reference; control uptake = 19.6%).</w:t>
      </w:r>
    </w:p>
    <w:tbl>
      <w:tblPr>
        <w:tblStyle w:val="Table"/>
        <w:tblW w:type="pct" w:w="5000"/>
        <w:tblLayout w:type="fixed"/>
        <w:tblLook w:firstRow="1" w:lastRow="0" w:firstColumn="0" w:lastColumn="0" w:noHBand="0" w:noVBand="0" w:val="0020"/>
        <w:tblCaption w:val="Table 1. Plant-based uptake by arm vs. pre-registered thresholds (LPM, HC2 SEs, control reference; control uptake = 19.6%)."/>
      </w:tblPr>
      <w:tblGrid>
        <w:gridCol w:w="452"/>
        <w:gridCol w:w="792"/>
        <w:gridCol w:w="1584"/>
        <w:gridCol w:w="1470"/>
        <w:gridCol w:w="792"/>
        <w:gridCol w:w="1697"/>
        <w:gridCol w:w="1131"/>
      </w:tblGrid>
      <w:tr>
        <w:trPr>
          <w:tblHeader w:val="on"/>
        </w:trPr>
        <w:tc>
          <w:tcPr/>
          <w:p>
            <w:pPr>
              <w:pStyle w:val="Compact"/>
              <w:jc w:val="left"/>
            </w:pPr>
            <w:r>
              <w:t xml:space="preserve">Arm</w:t>
            </w:r>
          </w:p>
        </w:tc>
        <w:tc>
          <w:tcPr/>
          <w:p>
            <w:pPr>
              <w:pStyle w:val="Compact"/>
              <w:jc w:val="left"/>
            </w:pPr>
            <w:r>
              <w:t xml:space="preserve">Uptake</w:t>
            </w:r>
          </w:p>
        </w:tc>
        <w:tc>
          <w:tcPr/>
          <w:p>
            <w:pPr>
              <w:pStyle w:val="Compact"/>
              <w:jc w:val="left"/>
            </w:pPr>
            <w:r>
              <w:t xml:space="preserve">Estimate (pp)</w:t>
            </w:r>
          </w:p>
        </w:tc>
        <w:tc>
          <w:tcPr/>
          <w:p>
            <w:pPr>
              <w:pStyle w:val="Compact"/>
              <w:jc w:val="left"/>
            </w:pPr>
            <w:r>
              <w:t xml:space="preserve">99% CI</w:t>
            </w:r>
          </w:p>
        </w:tc>
        <w:tc>
          <w:tcPr/>
          <w:p>
            <w:pPr>
              <w:pStyle w:val="Compact"/>
              <w:jc w:val="left"/>
            </w:pPr>
            <w:r>
              <w:t xml:space="preserve">p</w:t>
            </w:r>
          </w:p>
        </w:tc>
        <w:tc>
          <w:tcPr/>
          <w:p>
            <w:pPr>
              <w:pStyle w:val="Compact"/>
              <w:jc w:val="left"/>
            </w:pPr>
            <w:r>
              <w:t xml:space="preserve">Threshold (pp)</w:t>
            </w:r>
          </w:p>
        </w:tc>
        <w:tc>
          <w:tcPr/>
          <w:p>
            <w:pPr>
              <w:pStyle w:val="Compact"/>
              <w:jc w:val="left"/>
            </w:pPr>
            <w:r>
              <w:t xml:space="preserve">Supported</w:t>
            </w:r>
          </w:p>
        </w:tc>
      </w:tr>
      <w:tr>
        <w:tc>
          <w:tcPr/>
          <w:p>
            <w:pPr>
              <w:pStyle w:val="Compact"/>
              <w:jc w:val="left"/>
            </w:pPr>
            <w:r>
              <w:t xml:space="preserve">T1</w:t>
            </w:r>
          </w:p>
        </w:tc>
        <w:tc>
          <w:tcPr/>
          <w:p>
            <w:pPr>
              <w:pStyle w:val="Compact"/>
              <w:jc w:val="left"/>
            </w:pPr>
            <w:r>
              <w:t xml:space="preserve">31.8%</w:t>
            </w:r>
          </w:p>
        </w:tc>
        <w:tc>
          <w:tcPr/>
          <w:p>
            <w:pPr>
              <w:pStyle w:val="Compact"/>
              <w:jc w:val="left"/>
            </w:pPr>
            <w:r>
              <w:t xml:space="preserve">12.2</w:t>
            </w:r>
          </w:p>
        </w:tc>
        <w:tc>
          <w:tcPr/>
          <w:p>
            <w:pPr>
              <w:pStyle w:val="Compact"/>
              <w:jc w:val="left"/>
            </w:pPr>
            <w:r>
              <w:t xml:space="preserve">[6.3, 18.1]</w:t>
            </w:r>
          </w:p>
        </w:tc>
        <w:tc>
          <w:tcPr/>
          <w:p>
            <w:pPr>
              <w:pStyle w:val="Compact"/>
              <w:jc w:val="left"/>
            </w:pPr>
            <w:r>
              <w:t xml:space="preserve">&lt; .001</w:t>
            </w:r>
          </w:p>
        </w:tc>
        <w:tc>
          <w:tcPr/>
          <w:p>
            <w:pPr>
              <w:pStyle w:val="Compact"/>
              <w:jc w:val="left"/>
            </w:pPr>
            <w:r>
              <w:t xml:space="preserve">10</w:t>
            </w:r>
          </w:p>
        </w:tc>
        <w:tc>
          <w:tcPr/>
          <w:p>
            <w:pPr>
              <w:pStyle w:val="Compact"/>
              <w:jc w:val="left"/>
            </w:pPr>
            <w:r>
              <w:t xml:space="preserve">Yes</w:t>
            </w:r>
          </w:p>
        </w:tc>
      </w:tr>
      <w:tr>
        <w:tc>
          <w:tcPr/>
          <w:p>
            <w:pPr>
              <w:pStyle w:val="Compact"/>
              <w:jc w:val="left"/>
            </w:pPr>
            <w:r>
              <w:t xml:space="preserve">T2</w:t>
            </w:r>
          </w:p>
        </w:tc>
        <w:tc>
          <w:tcPr/>
          <w:p>
            <w:pPr>
              <w:pStyle w:val="Compact"/>
              <w:jc w:val="left"/>
            </w:pPr>
            <w:r>
              <w:t xml:space="preserve">44.5%</w:t>
            </w:r>
          </w:p>
        </w:tc>
        <w:tc>
          <w:tcPr/>
          <w:p>
            <w:pPr>
              <w:pStyle w:val="Compact"/>
              <w:jc w:val="left"/>
            </w:pPr>
            <w:r>
              <w:t xml:space="preserve">24.9</w:t>
            </w:r>
          </w:p>
        </w:tc>
        <w:tc>
          <w:tcPr/>
          <w:p>
            <w:pPr>
              <w:pStyle w:val="Compact"/>
              <w:jc w:val="left"/>
            </w:pPr>
            <w:r>
              <w:t xml:space="preserve">[18.8, 31.0]</w:t>
            </w:r>
          </w:p>
        </w:tc>
        <w:tc>
          <w:tcPr/>
          <w:p>
            <w:pPr>
              <w:pStyle w:val="Compact"/>
              <w:jc w:val="left"/>
            </w:pPr>
            <w:r>
              <w:t xml:space="preserve">&lt; .001</w:t>
            </w:r>
          </w:p>
        </w:tc>
        <w:tc>
          <w:tcPr/>
          <w:p>
            <w:pPr>
              <w:pStyle w:val="Compact"/>
              <w:jc w:val="left"/>
            </w:pPr>
            <w:r>
              <w:t xml:space="preserve">20</w:t>
            </w:r>
          </w:p>
        </w:tc>
        <w:tc>
          <w:tcPr/>
          <w:p>
            <w:pPr>
              <w:pStyle w:val="Compact"/>
              <w:jc w:val="left"/>
            </w:pPr>
            <w:r>
              <w:t xml:space="preserve">Yes</w:t>
            </w:r>
          </w:p>
        </w:tc>
      </w:tr>
      <w:tr>
        <w:tc>
          <w:tcPr/>
          <w:p>
            <w:pPr>
              <w:pStyle w:val="Compact"/>
              <w:jc w:val="left"/>
            </w:pPr>
            <w:r>
              <w:t xml:space="preserve">T3</w:t>
            </w:r>
          </w:p>
        </w:tc>
        <w:tc>
          <w:tcPr/>
          <w:p>
            <w:pPr>
              <w:pStyle w:val="Compact"/>
              <w:jc w:val="left"/>
            </w:pPr>
            <w:r>
              <w:t xml:space="preserve">54.7%</w:t>
            </w:r>
          </w:p>
        </w:tc>
        <w:tc>
          <w:tcPr/>
          <w:p>
            <w:pPr>
              <w:pStyle w:val="Compact"/>
              <w:jc w:val="left"/>
            </w:pPr>
            <w:r>
              <w:t xml:space="preserve">35.1</w:t>
            </w:r>
          </w:p>
        </w:tc>
        <w:tc>
          <w:tcPr/>
          <w:p>
            <w:pPr>
              <w:pStyle w:val="Compact"/>
              <w:jc w:val="left"/>
            </w:pPr>
            <w:r>
              <w:t xml:space="preserve">[29.0, 41.3]</w:t>
            </w:r>
          </w:p>
        </w:tc>
        <w:tc>
          <w:tcPr/>
          <w:p>
            <w:pPr>
              <w:pStyle w:val="Compact"/>
              <w:jc w:val="left"/>
            </w:pPr>
            <w:r>
              <w:t xml:space="preserve">&lt; .001</w:t>
            </w:r>
          </w:p>
        </w:tc>
        <w:tc>
          <w:tcPr/>
          <w:p>
            <w:pPr>
              <w:pStyle w:val="Compact"/>
              <w:jc w:val="left"/>
            </w:pPr>
            <w:r>
              <w:t xml:space="preserve">30</w:t>
            </w:r>
          </w:p>
        </w:tc>
        <w:tc>
          <w:tcPr/>
          <w:p>
            <w:pPr>
              <w:pStyle w:val="Compact"/>
              <w:jc w:val="left"/>
            </w:pPr>
            <w:r>
              <w:t xml:space="preserve">Yes</w:t>
            </w:r>
          </w:p>
        </w:tc>
      </w:tr>
      <w:tr>
        <w:tc>
          <w:tcPr/>
          <w:p>
            <w:pPr>
              <w:pStyle w:val="Compact"/>
              <w:jc w:val="left"/>
            </w:pPr>
            <w:r>
              <w:t xml:space="preserve">T4</w:t>
            </w:r>
          </w:p>
        </w:tc>
        <w:tc>
          <w:tcPr/>
          <w:p>
            <w:pPr>
              <w:pStyle w:val="Compact"/>
              <w:jc w:val="left"/>
            </w:pPr>
            <w:r>
              <w:t xml:space="preserve">52.5%</w:t>
            </w:r>
          </w:p>
        </w:tc>
        <w:tc>
          <w:tcPr/>
          <w:p>
            <w:pPr>
              <w:pStyle w:val="Compact"/>
              <w:jc w:val="left"/>
            </w:pPr>
            <w:r>
              <w:t xml:space="preserve">32.9</w:t>
            </w:r>
          </w:p>
        </w:tc>
        <w:tc>
          <w:tcPr/>
          <w:p>
            <w:pPr>
              <w:pStyle w:val="Compact"/>
              <w:jc w:val="left"/>
            </w:pPr>
            <w:r>
              <w:t xml:space="preserve">[26.8, 39.1]</w:t>
            </w:r>
          </w:p>
        </w:tc>
        <w:tc>
          <w:tcPr/>
          <w:p>
            <w:pPr>
              <w:pStyle w:val="Compact"/>
              <w:jc w:val="left"/>
            </w:pPr>
            <w:r>
              <w:t xml:space="preserve">&lt; .001</w:t>
            </w:r>
          </w:p>
        </w:tc>
        <w:tc>
          <w:tcPr/>
          <w:p>
            <w:pPr>
              <w:pStyle w:val="Compact"/>
              <w:jc w:val="left"/>
            </w:pPr>
            <w:r>
              <w:t xml:space="preserve">30</w:t>
            </w:r>
          </w:p>
        </w:tc>
        <w:tc>
          <w:tcPr/>
          <w:p>
            <w:pPr>
              <w:pStyle w:val="Compact"/>
              <w:jc w:val="left"/>
            </w:pPr>
            <w:r>
              <w:t xml:space="preserve">Yes</w:t>
            </w:r>
          </w:p>
        </w:tc>
      </w:tr>
    </w:tbl>
    <w:p>
      <w:pPr>
        <w:pStyle w:val="BodyText"/>
      </w:pPr>
      <w:r>
        <w:rPr>
          <w:b/>
          <w:bCs/>
        </w:rPr>
        <w:t xml:space="preserve">Figure 1.</w:t>
      </w:r>
      <w:r>
        <w:t xml:space="preserve"> </w:t>
      </w:r>
      <w:r>
        <w:rPr>
          <w:i/>
          <w:iCs/>
        </w:rPr>
        <w:t xml:space="preserve">Plant-based uptake by arm, against each arm’s pre-registered minimum.</w:t>
      </w:r>
    </w:p>
    <w:p>
      <w:pPr>
        <w:pStyle w:val="BodyText"/>
      </w:pPr>
      <w:r>
        <w:drawing>
          <wp:inline>
            <wp:extent cx="5334000" cy="2985558"/>
            <wp:effectExtent b="0" l="0" r="0" t="0"/>
            <wp:docPr descr="" title="" id="20" name="Picture"/>
            <a:graphic>
              <a:graphicData uri="http://schemas.openxmlformats.org/drawingml/2006/picture">
                <pic:pic>
                  <pic:nvPicPr>
                    <pic:cNvPr descr="/Users/setgree/Library/CloudStorage/Dropbox/research/GBD-default-optimization/results/GBD-defaults-registered-report_files/0337764d15290f6ab98d31e6ecccdb0a100c3fdb.png" id="21" name="Picture"/>
                    <pic:cNvPicPr>
                      <a:picLocks noChangeArrowheads="1" noChangeAspect="1"/>
                    </pic:cNvPicPr>
                  </pic:nvPicPr>
                  <pic:blipFill>
                    <a:blip r:embed="rId19"/>
                    <a:stretch>
                      <a:fillRect/>
                    </a:stretch>
                  </pic:blipFill>
                  <pic:spPr bwMode="auto">
                    <a:xfrm>
                      <a:off x="0" y="0"/>
                      <a:ext cx="5334000" cy="2985558"/>
                    </a:xfrm>
                    <a:prstGeom prst="rect">
                      <a:avLst/>
                    </a:prstGeom>
                    <a:noFill/>
                    <a:ln w="9525">
                      <a:noFill/>
                      <a:headEnd/>
                      <a:tailEnd/>
                    </a:ln>
                  </pic:spPr>
                </pic:pic>
              </a:graphicData>
            </a:graphic>
          </wp:inline>
        </w:drawing>
      </w:r>
    </w:p>
    <w:p>
      <w:pPr>
        <w:pStyle w:val="BodyText"/>
      </w:pPr>
      <w:r>
        <w:rPr>
          <w:i/>
          <w:iCs/>
        </w:rPr>
        <w:t xml:space="preserve">Note.</w:t>
      </w:r>
      <w:r>
        <w:t xml:space="preserve"> </w:t>
      </w:r>
      <w:r>
        <w:t xml:space="preserve">Points are the share of each arm choosing the tofu bánh mì, with 95% Wilson CIs. The vertical tick on each treatment row marks that arm’s pre-registered minimum (control uptake plus its threshold); the dashed line is control uptake. An arm supports H1 when its point sits significantly to the right of its tick.</w:t>
      </w:r>
    </w:p>
    <w:bookmarkEnd w:id="22"/>
    <w:bookmarkStart w:id="26" w:name="h2-reactance"/>
    <w:p>
      <w:pPr>
        <w:pStyle w:val="Heading2"/>
      </w:pPr>
      <w:r>
        <w:t xml:space="preserve">H2: Reactance</w:t>
      </w:r>
    </w:p>
    <w:p>
      <w:pPr>
        <w:pStyle w:val="BlockText"/>
      </w:pPr>
      <w:r>
        <w:t xml:space="preserve">The default manipulations do not generate unacceptable dissatisfaction: for each treatment arm, the dissatisfaction rate on the chosen-meal item and the upper bound of its 95% Wilson CI both fall below the arm’s ceiling (20% for T1, T3, T4; 30% for T2).</w:t>
      </w:r>
    </w:p>
    <w:p>
      <w:pPr>
        <w:pStyle w:val="FirstParagraph"/>
      </w:pPr>
      <w:r>
        <w:t xml:space="preserve">No format breached its dissatisfaction ceiling (Table 2; Figure 2). Dissatisfaction with the chosen meal was highest under the opt-out checkbox, at 19.9% (95% Wilson CI: [17.1%, 22.9%]), below its 30% ceiling. The pre-selected arms all stayed below their 20% ceilings: 12.1% (95% Wilson CI: [9.9%, 14.7%]) for the bare default (T1), 13.4% (95% Wilson CI: [11.1%, 16.1%]) with the inclusivity message (T3), and 16.3% (95% Wilson CI: [13.8%, 19.2%]) with the environmental message (T4). In control, which has no registered ceiling, 9.1% of participants were dissatisfied with their chosen meal.</w:t>
      </w:r>
    </w:p>
    <w:p>
      <w:pPr>
        <w:pStyle w:val="BodyText"/>
      </w:pPr>
      <w:r>
        <w:t xml:space="preserve">Dissatisfaction was ordered exactly as we anticipated: control (9.1%) &lt; T1 (12.1%) &lt; T3 (13.4%) ≤ T4 (16.3%) &lt; T2 (19.9%), including the expected inequality between the environmental and inclusivity framings.</w:t>
      </w:r>
    </w:p>
    <w:p>
      <w:pPr>
        <w:pStyle w:val="TableCaption"/>
      </w:pPr>
      <w:r>
        <w:t xml:space="preserve">Table 2. Dissatisfaction with the chosen meal vs. pre-registered ceilings (control descriptive only).</w:t>
      </w:r>
    </w:p>
    <w:tbl>
      <w:tblPr>
        <w:tblStyle w:val="Table"/>
        <w:tblW w:type="auto" w:w="0"/>
        <w:tblLook w:firstRow="1" w:lastRow="0" w:firstColumn="0" w:lastColumn="0" w:noHBand="0" w:noVBand="0" w:val="0020"/>
        <w:tblCaption w:val="Table 2. Dissatisfaction with the chosen meal vs. pre-registered ceilings (control descriptive only)."/>
      </w:tblPr>
      <w:tblGrid>
        <w:gridCol w:w="1131"/>
        <w:gridCol w:w="1131"/>
        <w:gridCol w:w="1131"/>
        <w:gridCol w:w="1131"/>
        <w:gridCol w:w="1131"/>
        <w:gridCol w:w="1131"/>
        <w:gridCol w:w="1131"/>
      </w:tblGrid>
      <w:tr>
        <w:trPr>
          <w:tblHeader w:val="on"/>
        </w:trPr>
        <w:tc>
          <w:tcPr/>
          <w:p>
            <w:pPr>
              <w:pStyle w:val="Compact"/>
              <w:jc w:val="left"/>
            </w:pPr>
            <w:r>
              <w:t xml:space="preserve">Arm</w:t>
            </w:r>
          </w:p>
        </w:tc>
        <w:tc>
          <w:tcPr/>
          <w:p>
            <w:pPr>
              <w:pStyle w:val="Compact"/>
              <w:jc w:val="right"/>
            </w:pPr>
            <w:r>
              <w:t xml:space="preserve">n</w:t>
            </w:r>
          </w:p>
        </w:tc>
        <w:tc>
          <w:tcPr/>
          <w:p>
            <w:pPr>
              <w:pStyle w:val="Compact"/>
              <w:jc w:val="right"/>
            </w:pPr>
            <w:r>
              <w:t xml:space="preserve">Dissatisfied</w:t>
            </w:r>
          </w:p>
        </w:tc>
        <w:tc>
          <w:tcPr/>
          <w:p>
            <w:pPr>
              <w:pStyle w:val="Compact"/>
              <w:jc w:val="left"/>
            </w:pPr>
            <w:r>
              <w:t xml:space="preserve">Rate</w:t>
            </w:r>
          </w:p>
        </w:tc>
        <w:tc>
          <w:tcPr/>
          <w:p>
            <w:pPr>
              <w:pStyle w:val="Compact"/>
              <w:jc w:val="left"/>
            </w:pPr>
            <w:r>
              <w:t xml:space="preserve">95% Wilson CI</w:t>
            </w:r>
          </w:p>
        </w:tc>
        <w:tc>
          <w:tcPr/>
          <w:p>
            <w:pPr>
              <w:pStyle w:val="Compact"/>
              <w:jc w:val="left"/>
            </w:pPr>
            <w:r>
              <w:t xml:space="preserve">Ceiling</w:t>
            </w:r>
          </w:p>
        </w:tc>
        <w:tc>
          <w:tcPr/>
          <w:p>
            <w:pPr>
              <w:pStyle w:val="Compact"/>
              <w:jc w:val="left"/>
            </w:pPr>
            <w:r>
              <w:t xml:space="preserve">Supported</w:t>
            </w:r>
          </w:p>
        </w:tc>
      </w:tr>
      <w:tr>
        <w:tc>
          <w:tcPr/>
          <w:p>
            <w:pPr>
              <w:pStyle w:val="Compact"/>
              <w:jc w:val="left"/>
            </w:pPr>
            <w:r>
              <w:t xml:space="preserve">Control</w:t>
            </w:r>
          </w:p>
        </w:tc>
        <w:tc>
          <w:tcPr/>
          <w:p>
            <w:pPr>
              <w:pStyle w:val="Compact"/>
              <w:jc w:val="right"/>
            </w:pPr>
            <w:r>
              <w:t xml:space="preserve">715</w:t>
            </w:r>
          </w:p>
        </w:tc>
        <w:tc>
          <w:tcPr/>
          <w:p>
            <w:pPr>
              <w:pStyle w:val="Compact"/>
              <w:jc w:val="right"/>
            </w:pPr>
            <w:r>
              <w:t xml:space="preserve">65</w:t>
            </w:r>
          </w:p>
        </w:tc>
        <w:tc>
          <w:tcPr/>
          <w:p>
            <w:pPr>
              <w:pStyle w:val="Compact"/>
              <w:jc w:val="left"/>
            </w:pPr>
            <w:r>
              <w:t xml:space="preserve">9.1%</w:t>
            </w:r>
          </w:p>
        </w:tc>
        <w:tc>
          <w:tcPr/>
          <w:p>
            <w:pPr>
              <w:pStyle w:val="Compact"/>
              <w:jc w:val="left"/>
            </w:pPr>
            <w:r>
              <w:t xml:space="preserve">[7.2%, 11.4%]</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T1</w:t>
            </w:r>
          </w:p>
        </w:tc>
        <w:tc>
          <w:tcPr/>
          <w:p>
            <w:pPr>
              <w:pStyle w:val="Compact"/>
              <w:jc w:val="right"/>
            </w:pPr>
            <w:r>
              <w:t xml:space="preserve">717</w:t>
            </w:r>
          </w:p>
        </w:tc>
        <w:tc>
          <w:tcPr/>
          <w:p>
            <w:pPr>
              <w:pStyle w:val="Compact"/>
              <w:jc w:val="right"/>
            </w:pPr>
            <w:r>
              <w:t xml:space="preserve">87</w:t>
            </w:r>
          </w:p>
        </w:tc>
        <w:tc>
          <w:tcPr/>
          <w:p>
            <w:pPr>
              <w:pStyle w:val="Compact"/>
              <w:jc w:val="left"/>
            </w:pPr>
            <w:r>
              <w:t xml:space="preserve">12.1%</w:t>
            </w:r>
          </w:p>
        </w:tc>
        <w:tc>
          <w:tcPr/>
          <w:p>
            <w:pPr>
              <w:pStyle w:val="Compact"/>
              <w:jc w:val="left"/>
            </w:pPr>
            <w:r>
              <w:t xml:space="preserve">[9.9%, 14.7%]</w:t>
            </w:r>
          </w:p>
        </w:tc>
        <w:tc>
          <w:tcPr/>
          <w:p>
            <w:pPr>
              <w:pStyle w:val="Compact"/>
              <w:jc w:val="left"/>
            </w:pPr>
            <w:r>
              <w:t xml:space="preserve">20%</w:t>
            </w:r>
          </w:p>
        </w:tc>
        <w:tc>
          <w:tcPr/>
          <w:p>
            <w:pPr>
              <w:pStyle w:val="Compact"/>
              <w:jc w:val="left"/>
            </w:pPr>
            <w:r>
              <w:t xml:space="preserve">Yes</w:t>
            </w:r>
          </w:p>
        </w:tc>
      </w:tr>
      <w:tr>
        <w:tc>
          <w:tcPr/>
          <w:p>
            <w:pPr>
              <w:pStyle w:val="Compact"/>
              <w:jc w:val="left"/>
            </w:pPr>
            <w:r>
              <w:t xml:space="preserve">T2</w:t>
            </w:r>
          </w:p>
        </w:tc>
        <w:tc>
          <w:tcPr/>
          <w:p>
            <w:pPr>
              <w:pStyle w:val="Compact"/>
              <w:jc w:val="right"/>
            </w:pPr>
            <w:r>
              <w:t xml:space="preserve">715</w:t>
            </w:r>
          </w:p>
        </w:tc>
        <w:tc>
          <w:tcPr/>
          <w:p>
            <w:pPr>
              <w:pStyle w:val="Compact"/>
              <w:jc w:val="right"/>
            </w:pPr>
            <w:r>
              <w:t xml:space="preserve">142</w:t>
            </w:r>
          </w:p>
        </w:tc>
        <w:tc>
          <w:tcPr/>
          <w:p>
            <w:pPr>
              <w:pStyle w:val="Compact"/>
              <w:jc w:val="left"/>
            </w:pPr>
            <w:r>
              <w:t xml:space="preserve">19.9%</w:t>
            </w:r>
          </w:p>
        </w:tc>
        <w:tc>
          <w:tcPr/>
          <w:p>
            <w:pPr>
              <w:pStyle w:val="Compact"/>
              <w:jc w:val="left"/>
            </w:pPr>
            <w:r>
              <w:t xml:space="preserve">[17.1%, 22.9%]</w:t>
            </w:r>
          </w:p>
        </w:tc>
        <w:tc>
          <w:tcPr/>
          <w:p>
            <w:pPr>
              <w:pStyle w:val="Compact"/>
              <w:jc w:val="left"/>
            </w:pPr>
            <w:r>
              <w:t xml:space="preserve">30%</w:t>
            </w:r>
          </w:p>
        </w:tc>
        <w:tc>
          <w:tcPr/>
          <w:p>
            <w:pPr>
              <w:pStyle w:val="Compact"/>
              <w:jc w:val="left"/>
            </w:pPr>
            <w:r>
              <w:t xml:space="preserve">Yes</w:t>
            </w:r>
          </w:p>
        </w:tc>
      </w:tr>
      <w:tr>
        <w:tc>
          <w:tcPr/>
          <w:p>
            <w:pPr>
              <w:pStyle w:val="Compact"/>
              <w:jc w:val="left"/>
            </w:pPr>
            <w:r>
              <w:t xml:space="preserve">T3</w:t>
            </w:r>
          </w:p>
        </w:tc>
        <w:tc>
          <w:tcPr/>
          <w:p>
            <w:pPr>
              <w:pStyle w:val="Compact"/>
              <w:jc w:val="right"/>
            </w:pPr>
            <w:r>
              <w:t xml:space="preserve">711</w:t>
            </w:r>
          </w:p>
        </w:tc>
        <w:tc>
          <w:tcPr/>
          <w:p>
            <w:pPr>
              <w:pStyle w:val="Compact"/>
              <w:jc w:val="right"/>
            </w:pPr>
            <w:r>
              <w:t xml:space="preserve">95</w:t>
            </w:r>
          </w:p>
        </w:tc>
        <w:tc>
          <w:tcPr/>
          <w:p>
            <w:pPr>
              <w:pStyle w:val="Compact"/>
              <w:jc w:val="left"/>
            </w:pPr>
            <w:r>
              <w:t xml:space="preserve">13.4%</w:t>
            </w:r>
          </w:p>
        </w:tc>
        <w:tc>
          <w:tcPr/>
          <w:p>
            <w:pPr>
              <w:pStyle w:val="Compact"/>
              <w:jc w:val="left"/>
            </w:pPr>
            <w:r>
              <w:t xml:space="preserve">[11.1%, 16.1%]</w:t>
            </w:r>
          </w:p>
        </w:tc>
        <w:tc>
          <w:tcPr/>
          <w:p>
            <w:pPr>
              <w:pStyle w:val="Compact"/>
              <w:jc w:val="left"/>
            </w:pPr>
            <w:r>
              <w:t xml:space="preserve">20%</w:t>
            </w:r>
          </w:p>
        </w:tc>
        <w:tc>
          <w:tcPr/>
          <w:p>
            <w:pPr>
              <w:pStyle w:val="Compact"/>
              <w:jc w:val="left"/>
            </w:pPr>
            <w:r>
              <w:t xml:space="preserve">Yes</w:t>
            </w:r>
          </w:p>
        </w:tc>
      </w:tr>
      <w:tr>
        <w:tc>
          <w:tcPr/>
          <w:p>
            <w:pPr>
              <w:pStyle w:val="Compact"/>
              <w:jc w:val="left"/>
            </w:pPr>
            <w:r>
              <w:t xml:space="preserve">T4</w:t>
            </w:r>
          </w:p>
        </w:tc>
        <w:tc>
          <w:tcPr/>
          <w:p>
            <w:pPr>
              <w:pStyle w:val="Compact"/>
              <w:jc w:val="right"/>
            </w:pPr>
            <w:r>
              <w:t xml:space="preserve">712</w:t>
            </w:r>
          </w:p>
        </w:tc>
        <w:tc>
          <w:tcPr/>
          <w:p>
            <w:pPr>
              <w:pStyle w:val="Compact"/>
              <w:jc w:val="right"/>
            </w:pPr>
            <w:r>
              <w:t xml:space="preserve">116</w:t>
            </w:r>
          </w:p>
        </w:tc>
        <w:tc>
          <w:tcPr/>
          <w:p>
            <w:pPr>
              <w:pStyle w:val="Compact"/>
              <w:jc w:val="left"/>
            </w:pPr>
            <w:r>
              <w:t xml:space="preserve">16.3%</w:t>
            </w:r>
          </w:p>
        </w:tc>
        <w:tc>
          <w:tcPr/>
          <w:p>
            <w:pPr>
              <w:pStyle w:val="Compact"/>
              <w:jc w:val="left"/>
            </w:pPr>
            <w:r>
              <w:t xml:space="preserve">[13.8%, 19.2%]</w:t>
            </w:r>
          </w:p>
        </w:tc>
        <w:tc>
          <w:tcPr/>
          <w:p>
            <w:pPr>
              <w:pStyle w:val="Compact"/>
              <w:jc w:val="left"/>
            </w:pPr>
            <w:r>
              <w:t xml:space="preserve">20%</w:t>
            </w:r>
          </w:p>
        </w:tc>
        <w:tc>
          <w:tcPr/>
          <w:p>
            <w:pPr>
              <w:pStyle w:val="Compact"/>
              <w:jc w:val="left"/>
            </w:pPr>
            <w:r>
              <w:t xml:space="preserve">Yes</w:t>
            </w:r>
          </w:p>
        </w:tc>
      </w:tr>
    </w:tbl>
    <w:p>
      <w:pPr>
        <w:pStyle w:val="BodyText"/>
      </w:pPr>
      <w:r>
        <w:rPr>
          <w:b/>
          <w:bCs/>
        </w:rPr>
        <w:t xml:space="preserve">Figure 2.</w:t>
      </w:r>
      <w:r>
        <w:t xml:space="preserve"> </w:t>
      </w:r>
      <w:r>
        <w:rPr>
          <w:i/>
          <w:iCs/>
        </w:rPr>
        <w:t xml:space="preserve">Dissatisfaction with the chosen meal by arm, against each arm’s pre-registered ceiling.</w:t>
      </w:r>
    </w:p>
    <w:p>
      <w:pPr>
        <w:pStyle w:val="BodyText"/>
      </w:pPr>
      <w:r>
        <w:drawing>
          <wp:inline>
            <wp:extent cx="5334000" cy="2985558"/>
            <wp:effectExtent b="0" l="0" r="0" t="0"/>
            <wp:docPr descr="" title="" id="24" name="Picture"/>
            <a:graphic>
              <a:graphicData uri="http://schemas.openxmlformats.org/drawingml/2006/picture">
                <pic:pic>
                  <pic:nvPicPr>
                    <pic:cNvPr descr="/Users/setgree/Library/CloudStorage/Dropbox/research/GBD-default-optimization/results/GBD-defaults-registered-report_files/f65d6bf37a524ab766728786e17948a30454e3e0.png" id="25" name="Picture"/>
                    <pic:cNvPicPr>
                      <a:picLocks noChangeArrowheads="1" noChangeAspect="1"/>
                    </pic:cNvPicPr>
                  </pic:nvPicPr>
                  <pic:blipFill>
                    <a:blip r:embed="rId23"/>
                    <a:stretch>
                      <a:fillRect/>
                    </a:stretch>
                  </pic:blipFill>
                  <pic:spPr bwMode="auto">
                    <a:xfrm>
                      <a:off x="0" y="0"/>
                      <a:ext cx="5334000" cy="2985558"/>
                    </a:xfrm>
                    <a:prstGeom prst="rect">
                      <a:avLst/>
                    </a:prstGeom>
                    <a:noFill/>
                    <a:ln w="9525">
                      <a:noFill/>
                      <a:headEnd/>
                      <a:tailEnd/>
                    </a:ln>
                  </pic:spPr>
                </pic:pic>
              </a:graphicData>
            </a:graphic>
          </wp:inline>
        </w:drawing>
      </w:r>
    </w:p>
    <w:p>
      <w:pPr>
        <w:pStyle w:val="BodyText"/>
      </w:pPr>
      <w:r>
        <w:rPr>
          <w:i/>
          <w:iCs/>
        </w:rPr>
        <w:t xml:space="preserve">Note.</w:t>
      </w:r>
      <w:r>
        <w:t xml:space="preserve"> </w:t>
      </w:r>
      <w:r>
        <w:t xml:space="preserve">Points are the share of each arm rating their chosen meal</w:t>
      </w:r>
      <w:r>
        <w:t xml:space="preserve"> </w:t>
      </w:r>
      <w:r>
        <w:t xml:space="preserve">“somewhat”</w:t>
      </w:r>
      <w:r>
        <w:t xml:space="preserve"> </w:t>
      </w:r>
      <w:r>
        <w:t xml:space="preserve">or</w:t>
      </w:r>
      <w:r>
        <w:t xml:space="preserve"> </w:t>
      </w:r>
      <w:r>
        <w:t xml:space="preserve">“extremely”</w:t>
      </w:r>
      <w:r>
        <w:t xml:space="preserve"> </w:t>
      </w:r>
      <w:r>
        <w:t xml:space="preserve">dissatisfied, with 95% Wilson CIs. The vertical tick marks each treatment arm’s pre-registered ceiling; control has none. An arm supports H2 when its point estimate and the upper bound of its CI both sit left of its tick.</w:t>
      </w:r>
    </w:p>
    <w:bookmarkEnd w:id="26"/>
    <w:bookmarkStart w:id="27" w:name="secondary-outcomes"/>
    <w:p>
      <w:pPr>
        <w:pStyle w:val="Heading2"/>
      </w:pPr>
      <w:r>
        <w:t xml:space="preserve">Secondary outcomes</w:t>
      </w:r>
    </w:p>
    <w:p>
      <w:pPr>
        <w:pStyle w:val="FirstParagraph"/>
      </w:pPr>
      <w:r>
        <w:t xml:space="preserve">The manipulation check confirmed that participants knew what they had chosen: 94.8% correctly identified their meal, ranging from 94.3% to 95.4% across arms. The secondary reactance items tracked the primary one: dissatisfaction with the available choices and with the presentation were both highest in T2 (18.2% and 18.9%, respectively). Perceived descriptive norms differed little across arms; the largest contrast with control was 2.7 points on the 0–100 scale (p = 0.009).</w:t>
      </w:r>
    </w:p>
    <w:bookmarkEnd w:id="27"/>
    <w:bookmarkStart w:id="31" w:name="exploratory-analyses"/>
    <w:p>
      <w:pPr>
        <w:pStyle w:val="Heading2"/>
      </w:pPr>
      <w:r>
        <w:t xml:space="preserve">Exploratory analyses</w:t>
      </w:r>
    </w:p>
    <w:p>
      <w:pPr>
        <w:pStyle w:val="FirstParagraph"/>
      </w:pPr>
      <w:r>
        <w:t xml:space="preserve">Figure 3 plots the two primary outcomes together: each format’s uptake gain against its dissatisfaction rate. This is the tradeoff a caterer actually navigates, and in the simulated data the framed defaults dominate: they buy the largest uptake gains at dissatisfaction rates well under the ceilings, while the opt-out checkbox pays for a smaller gain with the most dissatisfaction.</w:t>
      </w:r>
    </w:p>
    <w:p>
      <w:pPr>
        <w:pStyle w:val="BodyText"/>
      </w:pPr>
      <w:r>
        <w:rPr>
          <w:b/>
          <w:bCs/>
        </w:rPr>
        <w:t xml:space="preserve">Figure 3.</w:t>
      </w:r>
      <w:r>
        <w:t xml:space="preserve"> </w:t>
      </w:r>
      <w:r>
        <w:rPr>
          <w:i/>
          <w:iCs/>
        </w:rPr>
        <w:t xml:space="preserve">The uptake-reactance tradeoff by arm.</w:t>
      </w:r>
    </w:p>
    <w:p>
      <w:pPr>
        <w:pStyle w:val="BodyText"/>
      </w:pPr>
      <w:r>
        <w:drawing>
          <wp:inline>
            <wp:extent cx="5334000" cy="3810000"/>
            <wp:effectExtent b="0" l="0" r="0" t="0"/>
            <wp:docPr descr="" title="" id="29" name="Picture"/>
            <a:graphic>
              <a:graphicData uri="http://schemas.openxmlformats.org/drawingml/2006/picture">
                <pic:pic>
                  <pic:nvPicPr>
                    <pic:cNvPr descr="/Users/setgree/Library/CloudStorage/Dropbox/research/GBD-default-optimization/results/GBD-defaults-registered-report_files/ea7140452ef1ebffec7c4462fc93317b910a3b3d.png" id="30" name="Picture"/>
                    <pic:cNvPicPr>
                      <a:picLocks noChangeArrowheads="1" noChangeAspect="1"/>
                    </pic:cNvPicPr>
                  </pic:nvPicPr>
                  <pic:blipFill>
                    <a:blip r:embed="rId28"/>
                    <a:stretch>
                      <a:fillRect/>
                    </a:stretch>
                  </pic:blipFill>
                  <pic:spPr bwMode="auto">
                    <a:xfrm>
                      <a:off x="0" y="0"/>
                      <a:ext cx="5334000" cy="3810000"/>
                    </a:xfrm>
                    <a:prstGeom prst="rect">
                      <a:avLst/>
                    </a:prstGeom>
                    <a:noFill/>
                    <a:ln w="9525">
                      <a:noFill/>
                      <a:headEnd/>
                      <a:tailEnd/>
                    </a:ln>
                  </pic:spPr>
                </pic:pic>
              </a:graphicData>
            </a:graphic>
          </wp:inline>
        </w:drawing>
      </w:r>
    </w:p>
    <w:p>
      <w:pPr>
        <w:pStyle w:val="BodyText"/>
      </w:pPr>
      <w:r>
        <w:rPr>
          <w:i/>
          <w:iCs/>
        </w:rPr>
        <w:t xml:space="preserve">Note.</w:t>
      </w:r>
      <w:r>
        <w:t xml:space="preserve"> </w:t>
      </w:r>
      <w:r>
        <w:t xml:space="preserve">Horizontal error bars are 99% CIs on the uptake gain (H1’s estimator); vertical error bars are 95% Wilson CIs on dissatisfaction (H2’s estimator). Control sits at zero gain by construction. Formats up and to the right trade satisfaction for uptake; the ideal format sits low and right.</w:t>
      </w:r>
    </w:p>
    <w:p>
      <w:pPr>
        <w:pStyle w:val="BodyText"/>
      </w:pPr>
      <w:r>
        <w:t xml:space="preserve">Framing added uptake beyond the bare default. Relative to T1, the inclusivity message added 22.9 pp (99% CI: [16.3, 29.5]; p &lt; .001) and the environmental message added 20.7 pp (99% CI: [14.1, 27.3]; p &lt; .001); the two framings were statistically indistinguishable from each other (T4 − T3 = -2.2 pp, p = 0.409). The opt-out checkbox also outperformed the bare default (12.7 pp (99% CI: [6.1, 19.2]; p &lt; .001)), while trailing the framed arms.</w:t>
      </w:r>
    </w:p>
    <w:p>
      <w:pPr>
        <w:pStyle w:val="BodyText"/>
      </w:pPr>
      <w:r>
        <w:t xml:space="preserve">Across the 24 pre-specified interaction terms (treatment × gender, education, and median-split age), the smallest p value was 0.005. Per the pre-analysis plan, we make no inferential claims from these tests. Dietary-identity coding of the free-text item and any further exploratory analyses will be reported in the supplement. [TO BE FILLED IN AT STAGE 2: exploratory analyses conducted after seeing the data, clearly labeled.]</w:t>
      </w:r>
    </w:p>
    <w:bookmarkEnd w:id="31"/>
    <w:bookmarkEnd w:id="32"/>
    <w:bookmarkStart w:id="33" w:name="discussion"/>
    <w:p>
      <w:pPr>
        <w:pStyle w:val="Heading1"/>
      </w:pPr>
      <w:r>
        <w:t xml:space="preserve">Discussion</w:t>
      </w:r>
    </w:p>
    <w:p>
      <w:pPr>
        <w:pStyle w:val="FirstParagraph"/>
      </w:pPr>
      <w:r>
        <w:t xml:space="preserve">[TO BE FILLED IN AT STAGE 2. Planned structure, one paragraph each:]</w:t>
      </w:r>
    </w:p>
    <w:p>
      <w:pPr>
        <w:pStyle w:val="Compact"/>
        <w:numPr>
          <w:ilvl w:val="0"/>
          <w:numId w:val="1001"/>
        </w:numPr>
      </w:pPr>
      <w:r>
        <w:t xml:space="preserve">[Main findings, stated as verdicts against the pre-registered standards.]</w:t>
      </w:r>
    </w:p>
    <w:p>
      <w:pPr>
        <w:pStyle w:val="Compact"/>
        <w:numPr>
          <w:ilvl w:val="0"/>
          <w:numId w:val="1001"/>
        </w:numPr>
      </w:pPr>
      <w:r>
        <w:t xml:space="preserve">[Contingency A: all arms pass H1 and H2 — which format should GBD recommend, and does framing earn its keep?]</w:t>
      </w:r>
    </w:p>
    <w:p>
      <w:pPr>
        <w:pStyle w:val="Compact"/>
        <w:numPr>
          <w:ilvl w:val="0"/>
          <w:numId w:val="1001"/>
        </w:numPr>
      </w:pPr>
      <w:r>
        <w:t xml:space="preserve">[Contingency B: T2 wins on uptake but breaches its ceiling — the uptake/reactance tradeoff in practice.]</w:t>
      </w:r>
    </w:p>
    <w:p>
      <w:pPr>
        <w:pStyle w:val="Compact"/>
        <w:numPr>
          <w:ilvl w:val="0"/>
          <w:numId w:val="1001"/>
        </w:numPr>
      </w:pPr>
      <w:r>
        <w:t xml:space="preserve">[Contingency C: framings add nothing over T1 — simplicity wins; implications for messaging guidance.]</w:t>
      </w:r>
    </w:p>
    <w:p>
      <w:pPr>
        <w:pStyle w:val="Compact"/>
        <w:numPr>
          <w:ilvl w:val="0"/>
          <w:numId w:val="1001"/>
        </w:numPr>
      </w:pPr>
      <w:r>
        <w:t xml:space="preserve">[Comparison to field estimates from the defaults literature; why hypothetical uptake may bound field effects.]</w:t>
      </w:r>
    </w:p>
    <w:p>
      <w:pPr>
        <w:pStyle w:val="Compact"/>
        <w:numPr>
          <w:ilvl w:val="0"/>
          <w:numId w:val="1001"/>
        </w:numPr>
      </w:pPr>
      <w:r>
        <w:t xml:space="preserve">[Limitations: hypothetical choice, single meal pairing (tofu vs. chicken), single-shot decision, US Prolific sample.]</w:t>
      </w:r>
    </w:p>
    <w:p>
      <w:pPr>
        <w:pStyle w:val="Compact"/>
        <w:numPr>
          <w:ilvl w:val="0"/>
          <w:numId w:val="1001"/>
        </w:numPr>
      </w:pPr>
      <w:r>
        <w:t xml:space="preserve">[Next step: field experiment with GBD clients; what design the survey results imply.]</w:t>
      </w:r>
    </w:p>
    <w:bookmarkEnd w:id="33"/>
    <w:bookmarkStart w:id="34" w:name="declarations"/>
    <w:p>
      <w:pPr>
        <w:pStyle w:val="Heading1"/>
      </w:pPr>
      <w:r>
        <w:t xml:space="preserve">Declarations</w:t>
      </w:r>
    </w:p>
    <w:p>
      <w:pPr>
        <w:pStyle w:val="FirstParagraph"/>
      </w:pPr>
      <w:r>
        <w:rPr>
          <w:b/>
          <w:bCs/>
        </w:rPr>
        <w:t xml:space="preserve">CRediT authorship contribution statement.</w:t>
      </w:r>
      <w:r>
        <w:t xml:space="preserve"> </w:t>
      </w:r>
      <w:r>
        <w:t xml:space="preserve">[TO BE FILLED IN.]</w:t>
      </w:r>
    </w:p>
    <w:p>
      <w:pPr>
        <w:pStyle w:val="BodyText"/>
      </w:pPr>
      <w:r>
        <w:rPr>
          <w:b/>
          <w:bCs/>
        </w:rPr>
        <w:t xml:space="preserve">Funding.</w:t>
      </w:r>
      <w:r>
        <w:t xml:space="preserve"> </w:t>
      </w:r>
      <w:r>
        <w:t xml:space="preserve">[TO BE FILLED IN.]</w:t>
      </w:r>
    </w:p>
    <w:p>
      <w:pPr>
        <w:pStyle w:val="BodyText"/>
      </w:pPr>
      <w:r>
        <w:rPr>
          <w:b/>
          <w:bCs/>
        </w:rPr>
        <w:t xml:space="preserve">Declaration of competing interest.</w:t>
      </w:r>
      <w:r>
        <w:t xml:space="preserve"> </w:t>
      </w:r>
      <w:r>
        <w:t xml:space="preserve">Kenjin Chang is employed by Greener by Default, which recommends plant-based default strategies to institutional clients. [TO BE FILLED IN: remaining authors’ statements.]</w:t>
      </w:r>
    </w:p>
    <w:p>
      <w:pPr>
        <w:pStyle w:val="BodyText"/>
      </w:pPr>
      <w:r>
        <w:rPr>
          <w:b/>
          <w:bCs/>
        </w:rPr>
        <w:t xml:space="preserve">Data availability.</w:t>
      </w:r>
      <w:r>
        <w:t xml:space="preserve"> </w:t>
      </w:r>
      <w:r>
        <w:t xml:space="preserve">Code, the pre-analysis plan, and (upon completion) anonymized data will be available at [TO BE FILLED IN: repository link].</w:t>
      </w:r>
    </w:p>
    <w:p>
      <w:pPr>
        <w:pStyle w:val="BodyText"/>
      </w:pPr>
      <w:r>
        <w:rPr>
          <w:b/>
          <w:bCs/>
        </w:rPr>
        <w:t xml:space="preserve">Ethical statement.</w:t>
      </w:r>
      <w:r>
        <w:t xml:space="preserve"> </w:t>
      </w:r>
      <w:r>
        <w:t xml:space="preserve">[TO BE FILLED IN: IRB protocol number and approval date.]</w:t>
      </w:r>
    </w:p>
    <w:p>
      <w:pPr>
        <w:pStyle w:val="BodyText"/>
      </w:pPr>
      <w:r>
        <w:rPr>
          <w:b/>
          <w:bCs/>
        </w:rPr>
        <w:t xml:space="preserve">Use of generative AI.</w:t>
      </w:r>
      <w:r>
        <w:t xml:space="preserve"> </w:t>
      </w:r>
      <w:r>
        <w:t xml:space="preserve">[TO BE FILLED IN: statement per journal policy, to be agreed among all authors before submission.]</w:t>
      </w:r>
    </w:p>
    <w:bookmarkEnd w:id="34"/>
    <w:bookmarkStart w:id="88" w:name="references"/>
    <w:p>
      <w:pPr>
        <w:pStyle w:val="Heading1"/>
      </w:pPr>
      <w:r>
        <w:t xml:space="preserve">References</w:t>
      </w:r>
    </w:p>
    <w:bookmarkStart w:id="87" w:name="refs"/>
    <w:bookmarkStart w:id="36" w:name="ref-andersson2021"/>
    <w:p>
      <w:pPr>
        <w:pStyle w:val="Bibliography"/>
      </w:pPr>
      <w:r>
        <w:t xml:space="preserve">Andersson, Ola, and Lif Nelander. 2021.</w:t>
      </w:r>
      <w:r>
        <w:t xml:space="preserve"> </w:t>
      </w:r>
      <w:r>
        <w:t xml:space="preserve">“Nudge the Lunch: A Field Experiment Testing Menu-Design Approaches to Increase Vegetarian Food Choice.”</w:t>
      </w:r>
      <w:r>
        <w:t xml:space="preserve"> </w:t>
      </w:r>
      <w:r>
        <w:rPr>
          <w:i/>
          <w:iCs/>
        </w:rPr>
        <w:t xml:space="preserve">Games</w:t>
      </w:r>
      <w:r>
        <w:t xml:space="preserve"> </w:t>
      </w:r>
      <w:r>
        <w:t xml:space="preserve">12 (1): 2.</w:t>
      </w:r>
      <w:r>
        <w:t xml:space="preserve"> </w:t>
      </w:r>
      <w:hyperlink r:id="rId35">
        <w:r>
          <w:rPr>
            <w:rStyle w:val="Hyperlink"/>
          </w:rPr>
          <w:t xml:space="preserve">https://doi.org/10.3390/g12010002</w:t>
        </w:r>
      </w:hyperlink>
      <w:r>
        <w:t xml:space="preserve">.</w:t>
      </w:r>
    </w:p>
    <w:bookmarkEnd w:id="36"/>
    <w:bookmarkStart w:id="38" w:name="ref-banerjee2023backfire"/>
    <w:p>
      <w:pPr>
        <w:pStyle w:val="Bibliography"/>
      </w:pPr>
      <w:r>
        <w:t xml:space="preserve">Banerjee, Sanchayan, Matteo M. Galizzi, Peter John, and Susana Mourato. 2023a.</w:t>
      </w:r>
      <w:r>
        <w:t xml:space="preserve"> </w:t>
      </w:r>
      <w:r>
        <w:t xml:space="preserve">“Immediate Backfire?</w:t>
      </w:r>
      <w:r>
        <w:t xml:space="preserve"> </w:t>
      </w:r>
      <w:r>
        <w:t xml:space="preserve">Nudging</w:t>
      </w:r>
      <w:r>
        <w:t xml:space="preserve"> </w:t>
      </w:r>
      <w:r>
        <w:t xml:space="preserve">Sustainable Food Choices and Psychological Reactance.”</w:t>
      </w:r>
      <w:r>
        <w:t xml:space="preserve"> </w:t>
      </w:r>
      <w:r>
        <w:rPr>
          <w:i/>
          <w:iCs/>
        </w:rPr>
        <w:t xml:space="preserve">Food Quality and Preference</w:t>
      </w:r>
      <w:r>
        <w:t xml:space="preserve"> </w:t>
      </w:r>
      <w:r>
        <w:t xml:space="preserve">109: 104923.</w:t>
      </w:r>
      <w:r>
        <w:t xml:space="preserve"> </w:t>
      </w:r>
      <w:hyperlink r:id="rId37">
        <w:r>
          <w:rPr>
            <w:rStyle w:val="Hyperlink"/>
          </w:rPr>
          <w:t xml:space="preserve">https://doi.org/10.1016/j.foodqual.2023.104923</w:t>
        </w:r>
      </w:hyperlink>
      <w:r>
        <w:t xml:space="preserve">.</w:t>
      </w:r>
    </w:p>
    <w:bookmarkEnd w:id="38"/>
    <w:bookmarkStart w:id="40" w:name="ref-banerjee2023sustainable"/>
    <w:p>
      <w:pPr>
        <w:pStyle w:val="Bibliography"/>
      </w:pPr>
      <w:r>
        <w:t xml:space="preserve">Banerjee, Sanchayan, Matteo M. Galizzi, Peter John, and Susana Mourato. 2023b.</w:t>
      </w:r>
      <w:r>
        <w:t xml:space="preserve"> </w:t>
      </w:r>
      <w:r>
        <w:t xml:space="preserve">“Sustainable Dietary Choices Improved by Reflection Before a Nudge in an Online Experiment.”</w:t>
      </w:r>
      <w:r>
        <w:t xml:space="preserve"> </w:t>
      </w:r>
      <w:r>
        <w:rPr>
          <w:i/>
          <w:iCs/>
        </w:rPr>
        <w:t xml:space="preserve">Nature Sustainability</w:t>
      </w:r>
      <w:r>
        <w:t xml:space="preserve"> </w:t>
      </w:r>
      <w:r>
        <w:t xml:space="preserve">6: 1632–42.</w:t>
      </w:r>
      <w:r>
        <w:t xml:space="preserve"> </w:t>
      </w:r>
      <w:hyperlink r:id="rId39">
        <w:r>
          <w:rPr>
            <w:rStyle w:val="Hyperlink"/>
          </w:rPr>
          <w:t xml:space="preserve">https://doi.org/10.1038/s41893-023-01235-0</w:t>
        </w:r>
      </w:hyperlink>
      <w:r>
        <w:t xml:space="preserve">.</w:t>
      </w:r>
    </w:p>
    <w:bookmarkEnd w:id="40"/>
    <w:bookmarkStart w:id="42" w:name="ref-banerjee2024nudgeplus"/>
    <w:p>
      <w:pPr>
        <w:pStyle w:val="Bibliography"/>
      </w:pPr>
      <w:r>
        <w:t xml:space="preserve">Banerjee, Sanchayan, and Peter John. 2024.</w:t>
      </w:r>
      <w:r>
        <w:t xml:space="preserve"> </w:t>
      </w:r>
      <w:r>
        <w:t xml:space="preserve">“Nudge Plus: Incorporating Reflection into Behavioral Public Policy.”</w:t>
      </w:r>
      <w:r>
        <w:t xml:space="preserve"> </w:t>
      </w:r>
      <w:r>
        <w:rPr>
          <w:i/>
          <w:iCs/>
        </w:rPr>
        <w:t xml:space="preserve">Behavioural Public Policy</w:t>
      </w:r>
      <w:r>
        <w:t xml:space="preserve"> </w:t>
      </w:r>
      <w:r>
        <w:t xml:space="preserve">8: 69–84.</w:t>
      </w:r>
      <w:r>
        <w:t xml:space="preserve"> </w:t>
      </w:r>
      <w:hyperlink r:id="rId41">
        <w:r>
          <w:rPr>
            <w:rStyle w:val="Hyperlink"/>
          </w:rPr>
          <w:t xml:space="preserve">https://doi.org/10.1017/bpp.2021.6</w:t>
        </w:r>
      </w:hyperlink>
      <w:r>
        <w:t xml:space="preserve">.</w:t>
      </w:r>
    </w:p>
    <w:bookmarkEnd w:id="42"/>
    <w:bookmarkStart w:id="44" w:name="ref-bianchi2018"/>
    <w:p>
      <w:pPr>
        <w:pStyle w:val="Bibliography"/>
      </w:pPr>
      <w:r>
        <w:t xml:space="preserve">Bianchi, Filippo, Emma Garnett, Claudia Dorsel, Paul Aveyard, and Susan A. Jebb. 2018.</w:t>
      </w:r>
      <w:r>
        <w:t xml:space="preserve"> </w:t>
      </w:r>
      <w:r>
        <w:t xml:space="preserve">“Restructuring Physical Micro-Environments to Reduce the Demand for Meat: A Systematic Review and Qualitative Comparative Analysis.”</w:t>
      </w:r>
      <w:r>
        <w:t xml:space="preserve"> </w:t>
      </w:r>
      <w:r>
        <w:rPr>
          <w:i/>
          <w:iCs/>
        </w:rPr>
        <w:t xml:space="preserve">The Lancet Planetary Health</w:t>
      </w:r>
      <w:r>
        <w:t xml:space="preserve"> </w:t>
      </w:r>
      <w:r>
        <w:t xml:space="preserve">2 (9): e384–97.</w:t>
      </w:r>
      <w:r>
        <w:t xml:space="preserve"> </w:t>
      </w:r>
      <w:hyperlink r:id="rId43">
        <w:r>
          <w:rPr>
            <w:rStyle w:val="Hyperlink"/>
          </w:rPr>
          <w:t xml:space="preserve">https://doi.org/10.1016/S2542-5196(18)30188-8</w:t>
        </w:r>
      </w:hyperlink>
      <w:r>
        <w:t xml:space="preserve">.</w:t>
      </w:r>
    </w:p>
    <w:bookmarkEnd w:id="44"/>
    <w:bookmarkStart w:id="46" w:name="ref-estimatr"/>
    <w:p>
      <w:pPr>
        <w:pStyle w:val="Bibliography"/>
      </w:pPr>
      <w:r>
        <w:t xml:space="preserve">Blair, Graeme, Jasper Cooper, Alexander Coppock, Macartan Humphreys, and Luke Sonnet. 2024.</w:t>
      </w:r>
      <w:r>
        <w:t xml:space="preserve"> </w:t>
      </w:r>
      <w:r>
        <w:rPr>
          <w:i/>
          <w:iCs/>
        </w:rPr>
        <w:t xml:space="preserve">Estimatr: Fast Estimators for Design-Based Inference</w:t>
      </w:r>
      <w:r>
        <w:t xml:space="preserve">.</w:t>
      </w:r>
      <w:r>
        <w:t xml:space="preserve"> </w:t>
      </w:r>
      <w:hyperlink r:id="rId45">
        <w:r>
          <w:rPr>
            <w:rStyle w:val="Hyperlink"/>
          </w:rPr>
          <w:t xml:space="preserve">https://declaredesign.org/r/estimatr/</w:t>
        </w:r>
      </w:hyperlink>
      <w:r>
        <w:t xml:space="preserve">.</w:t>
      </w:r>
    </w:p>
    <w:bookmarkEnd w:id="46"/>
    <w:bookmarkStart w:id="48" w:name="ref-boronowsky2022"/>
    <w:p>
      <w:pPr>
        <w:pStyle w:val="Bibliography"/>
      </w:pPr>
      <w:r>
        <w:t xml:space="preserve">Boronowsky, Rachel D., Amy W. Zhang, Chad Stecher, et al. 2022.</w:t>
      </w:r>
      <w:r>
        <w:t xml:space="preserve"> </w:t>
      </w:r>
      <w:r>
        <w:t xml:space="preserve">“Plant-Based Default Nudges Effectively Increase the Sustainability of Catered Meals on College Campuses: Three Randomized Controlled Trials.”</w:t>
      </w:r>
      <w:r>
        <w:t xml:space="preserve"> </w:t>
      </w:r>
      <w:r>
        <w:rPr>
          <w:i/>
          <w:iCs/>
        </w:rPr>
        <w:t xml:space="preserve">Frontiers in Sustainable Food Systems</w:t>
      </w:r>
      <w:r>
        <w:t xml:space="preserve"> </w:t>
      </w:r>
      <w:r>
        <w:t xml:space="preserve">6: 1001157.</w:t>
      </w:r>
      <w:r>
        <w:t xml:space="preserve"> </w:t>
      </w:r>
      <w:hyperlink r:id="rId47">
        <w:r>
          <w:rPr>
            <w:rStyle w:val="Hyperlink"/>
          </w:rPr>
          <w:t xml:space="preserve">https://doi.org/10.3389/fsufs.2022.1001157</w:t>
        </w:r>
      </w:hyperlink>
      <w:r>
        <w:t xml:space="preserve">.</w:t>
      </w:r>
    </w:p>
    <w:bookmarkEnd w:id="48"/>
    <w:bookmarkStart w:id="49" w:name="ref-brehm1966"/>
    <w:p>
      <w:pPr>
        <w:pStyle w:val="Bibliography"/>
      </w:pPr>
      <w:r>
        <w:t xml:space="preserve">Brehm, Jack W. 1966.</w:t>
      </w:r>
      <w:r>
        <w:t xml:space="preserve"> </w:t>
      </w:r>
      <w:r>
        <w:rPr>
          <w:i/>
          <w:iCs/>
        </w:rPr>
        <w:t xml:space="preserve">A Theory of Psychological Reactance</w:t>
      </w:r>
      <w:r>
        <w:t xml:space="preserve">. Academic Press.</w:t>
      </w:r>
    </w:p>
    <w:bookmarkEnd w:id="49"/>
    <w:bookmarkStart w:id="51" w:name="ref-chang2026"/>
    <w:p>
      <w:pPr>
        <w:pStyle w:val="Bibliography"/>
      </w:pPr>
      <w:r>
        <w:t xml:space="preserve">Chang, Kenjin B., Abby Fammartino, Timothy J. Mateer, Vidita Savé, Lori Rosman, and Nancy M. Wells. 2026.</w:t>
      </w:r>
      <w:r>
        <w:t xml:space="preserve"> </w:t>
      </w:r>
      <w:r>
        <w:t xml:space="preserve">“Acceptability-Minded Frameworks for Scaling Institutional Dining Interventions: A Scoping Review and Stakeholder Analysis.”</w:t>
      </w:r>
      <w:r>
        <w:t xml:space="preserve"> </w:t>
      </w:r>
      <w:r>
        <w:rPr>
          <w:i/>
          <w:iCs/>
        </w:rPr>
        <w:t xml:space="preserve">Frontiers in Sustainable Food Systems</w:t>
      </w:r>
      <w:r>
        <w:t xml:space="preserve"> </w:t>
      </w:r>
      <w:r>
        <w:t xml:space="preserve">10: 1799532.</w:t>
      </w:r>
      <w:r>
        <w:t xml:space="preserve"> </w:t>
      </w:r>
      <w:hyperlink r:id="rId50">
        <w:r>
          <w:rPr>
            <w:rStyle w:val="Hyperlink"/>
          </w:rPr>
          <w:t xml:space="preserve">https://doi.org/10.3389/fsufs.2026.1799532</w:t>
        </w:r>
      </w:hyperlink>
      <w:r>
        <w:t xml:space="preserve">.</w:t>
      </w:r>
    </w:p>
    <w:bookmarkEnd w:id="51"/>
    <w:bookmarkStart w:id="53" w:name="ref-chang2023"/>
    <w:p>
      <w:pPr>
        <w:pStyle w:val="Bibliography"/>
      </w:pPr>
      <w:r>
        <w:t xml:space="preserve">Chang, Kenjin B., Alexandra Wooden, Lori Rosman, Daphene Altema-Johnson, and Rebecca Ramsing. 2023.</w:t>
      </w:r>
      <w:r>
        <w:t xml:space="preserve"> </w:t>
      </w:r>
      <w:r>
        <w:t xml:space="preserve">“Strategies for Reducing Meat Consumption Within College and University Settings: A Systematic Review and Meta-Analysis.”</w:t>
      </w:r>
      <w:r>
        <w:t xml:space="preserve"> </w:t>
      </w:r>
      <w:r>
        <w:rPr>
          <w:i/>
          <w:iCs/>
        </w:rPr>
        <w:t xml:space="preserve">Frontiers in Sustainable Food Systems</w:t>
      </w:r>
      <w:r>
        <w:t xml:space="preserve"> </w:t>
      </w:r>
      <w:r>
        <w:t xml:space="preserve">7: 1103060.</w:t>
      </w:r>
      <w:r>
        <w:t xml:space="preserve"> </w:t>
      </w:r>
      <w:hyperlink r:id="rId52">
        <w:r>
          <w:rPr>
            <w:rStyle w:val="Hyperlink"/>
          </w:rPr>
          <w:t xml:space="preserve">https://doi.org/10.3389/fsufs.2023.1103060</w:t>
        </w:r>
      </w:hyperlink>
      <w:r>
        <w:t xml:space="preserve">.</w:t>
      </w:r>
    </w:p>
    <w:bookmarkEnd w:id="53"/>
    <w:bookmarkStart w:id="54" w:name="ref-ginn2024"/>
    <w:p>
      <w:pPr>
        <w:pStyle w:val="Bibliography"/>
      </w:pPr>
      <w:r>
        <w:t xml:space="preserve">Ginn, Joel, and Gregg Sparkman. 2024.</w:t>
      </w:r>
      <w:r>
        <w:t xml:space="preserve"> </w:t>
      </w:r>
      <w:r>
        <w:t xml:space="preserve">“Can You Default to Vegan?</w:t>
      </w:r>
      <w:r>
        <w:t xml:space="preserve"> </w:t>
      </w:r>
      <w:r>
        <w:t xml:space="preserve">Plant</w:t>
      </w:r>
      <w:r>
        <w:t xml:space="preserve">-Based Defaults to Change Dining Practices on College Campuses.”</w:t>
      </w:r>
      <w:r>
        <w:t xml:space="preserve"> </w:t>
      </w:r>
      <w:r>
        <w:rPr>
          <w:i/>
          <w:iCs/>
        </w:rPr>
        <w:t xml:space="preserve">Journal of Environmental Psychology</w:t>
      </w:r>
      <w:r>
        <w:t xml:space="preserve"> </w:t>
      </w:r>
      <w:r>
        <w:t xml:space="preserve">93: 102226.</w:t>
      </w:r>
    </w:p>
    <w:bookmarkEnd w:id="54"/>
    <w:bookmarkStart w:id="56" w:name="ref-gomila2021"/>
    <w:p>
      <w:pPr>
        <w:pStyle w:val="Bibliography"/>
      </w:pPr>
      <w:r>
        <w:t xml:space="preserve">Gomila, Robin. 2021.</w:t>
      </w:r>
      <w:r>
        <w:t xml:space="preserve"> </w:t>
      </w:r>
      <w:r>
        <w:t xml:space="preserve">“Logistic or Linear?</w:t>
      </w:r>
      <w:r>
        <w:t xml:space="preserve"> </w:t>
      </w:r>
      <w:r>
        <w:t xml:space="preserve">Estimating</w:t>
      </w:r>
      <w:r>
        <w:t xml:space="preserve"> </w:t>
      </w:r>
      <w:r>
        <w:t xml:space="preserve">Causal Effects of Experimental Treatments on Binary Outcomes with Regression Analysis.”</w:t>
      </w:r>
      <w:r>
        <w:t xml:space="preserve"> </w:t>
      </w:r>
      <w:r>
        <w:rPr>
          <w:i/>
          <w:iCs/>
        </w:rPr>
        <w:t xml:space="preserve">Journal of Experimental Psychology: General</w:t>
      </w:r>
      <w:r>
        <w:t xml:space="preserve"> </w:t>
      </w:r>
      <w:r>
        <w:t xml:space="preserve">150 (4): 700–709.</w:t>
      </w:r>
      <w:r>
        <w:t xml:space="preserve"> </w:t>
      </w:r>
      <w:hyperlink r:id="rId55">
        <w:r>
          <w:rPr>
            <w:rStyle w:val="Hyperlink"/>
          </w:rPr>
          <w:t xml:space="preserve">https://doi.org/10.1037/xge0000920</w:t>
        </w:r>
      </w:hyperlink>
      <w:r>
        <w:t xml:space="preserve">.</w:t>
      </w:r>
    </w:p>
    <w:bookmarkEnd w:id="56"/>
    <w:bookmarkStart w:id="58" w:name="ref-graca2026"/>
    <w:p>
      <w:pPr>
        <w:pStyle w:val="Bibliography"/>
      </w:pPr>
      <w:r>
        <w:t xml:space="preserve">Graça, João, Emma Fanter, Christopher J. Hopwood, and John Hoeks. 2026.</w:t>
      </w:r>
      <w:r>
        <w:t xml:space="preserve"> </w:t>
      </w:r>
      <w:r>
        <w:t xml:space="preserve">“Defensive Reactions to a Meat Reduction Intervention.”</w:t>
      </w:r>
      <w:r>
        <w:t xml:space="preserve"> </w:t>
      </w:r>
      <w:r>
        <w:rPr>
          <w:i/>
          <w:iCs/>
        </w:rPr>
        <w:t xml:space="preserve">Appetite</w:t>
      </w:r>
      <w:r>
        <w:t xml:space="preserve"> </w:t>
      </w:r>
      <w:r>
        <w:t xml:space="preserve">217: 108354.</w:t>
      </w:r>
      <w:r>
        <w:t xml:space="preserve"> </w:t>
      </w:r>
      <w:hyperlink r:id="rId57">
        <w:r>
          <w:rPr>
            <w:rStyle w:val="Hyperlink"/>
          </w:rPr>
          <w:t xml:space="preserve">https://doi.org/10.1016/j.appet.2025.108354</w:t>
        </w:r>
      </w:hyperlink>
      <w:r>
        <w:t xml:space="preserve">.</w:t>
      </w:r>
    </w:p>
    <w:bookmarkEnd w:id="58"/>
    <w:bookmarkStart w:id="60" w:name="ref-green2026"/>
    <w:p>
      <w:pPr>
        <w:pStyle w:val="Bibliography"/>
      </w:pPr>
      <w:r>
        <w:t xml:space="preserve">Green, Seth Ariel, Benny Smith, and Maya B. Mathur. 2026.</w:t>
      </w:r>
      <w:r>
        <w:t xml:space="preserve"> </w:t>
      </w:r>
      <w:r>
        <w:t xml:space="preserve">“Meaningfully Reducing Consumption of Meat and Animal Products Is an Unsolved Problem: A Meta-Analysis.”</w:t>
      </w:r>
      <w:r>
        <w:t xml:space="preserve"> </w:t>
      </w:r>
      <w:r>
        <w:rPr>
          <w:i/>
          <w:iCs/>
        </w:rPr>
        <w:t xml:space="preserve">Appetite</w:t>
      </w:r>
      <w:r>
        <w:t xml:space="preserve"> </w:t>
      </w:r>
      <w:r>
        <w:t xml:space="preserve">216: 108233.</w:t>
      </w:r>
      <w:r>
        <w:t xml:space="preserve"> </w:t>
      </w:r>
      <w:hyperlink r:id="rId59">
        <w:r>
          <w:rPr>
            <w:rStyle w:val="Hyperlink"/>
          </w:rPr>
          <w:t xml:space="preserve">https://doi.org/10.1016/j.appet.2025.108233</w:t>
        </w:r>
      </w:hyperlink>
      <w:r>
        <w:t xml:space="preserve">.</w:t>
      </w:r>
    </w:p>
    <w:bookmarkEnd w:id="60"/>
    <w:bookmarkStart w:id="62" w:name="ref-hansen2021"/>
    <w:p>
      <w:pPr>
        <w:pStyle w:val="Bibliography"/>
      </w:pPr>
      <w:r>
        <w:t xml:space="preserve">Hansen, Pelle Guldborg, Mathilde Schilling, and Mia S. Malthesen. 2021.</w:t>
      </w:r>
      <w:r>
        <w:t xml:space="preserve"> </w:t>
      </w:r>
      <w:r>
        <w:t xml:space="preserve">“Nudging Healthy and Sustainable Food Choices: Three Randomized Controlled Field Experiments Using a Vegetarian Lunch-Default as a Normative Signal.”</w:t>
      </w:r>
      <w:r>
        <w:t xml:space="preserve"> </w:t>
      </w:r>
      <w:r>
        <w:rPr>
          <w:i/>
          <w:iCs/>
        </w:rPr>
        <w:t xml:space="preserve">Journal of Public Health</w:t>
      </w:r>
      <w:r>
        <w:t xml:space="preserve"> </w:t>
      </w:r>
      <w:r>
        <w:t xml:space="preserve">43 (2): 392–97.</w:t>
      </w:r>
      <w:r>
        <w:t xml:space="preserve"> </w:t>
      </w:r>
      <w:hyperlink r:id="rId61">
        <w:r>
          <w:rPr>
            <w:rStyle w:val="Hyperlink"/>
          </w:rPr>
          <w:t xml:space="preserve">https://doi.org/10.1093/pubmed/fdz154</w:t>
        </w:r>
      </w:hyperlink>
      <w:r>
        <w:t xml:space="preserve">.</w:t>
      </w:r>
    </w:p>
    <w:bookmarkEnd w:id="62"/>
    <w:bookmarkStart w:id="64" w:name="ref-hope2026"/>
    <w:p>
      <w:pPr>
        <w:pStyle w:val="Bibliography"/>
      </w:pPr>
      <w:r>
        <w:t xml:space="preserve">Hope, Jessica E., Seth A. Green, Jacob R. Peacock, and Maya B. Mathur. 2026.</w:t>
      </w:r>
      <w:r>
        <w:t xml:space="preserve"> </w:t>
      </w:r>
      <w:r>
        <w:t xml:space="preserve">“Effects of Adding Plant-Based Menu Options on Meat Selection Frequency: A Randomized Controlled Experiment.”</w:t>
      </w:r>
      <w:r>
        <w:t xml:space="preserve"> </w:t>
      </w:r>
      <w:r>
        <w:rPr>
          <w:i/>
          <w:iCs/>
        </w:rPr>
        <w:t xml:space="preserve">Food Quality and Preference</w:t>
      </w:r>
      <w:r>
        <w:t xml:space="preserve"> </w:t>
      </w:r>
      <w:r>
        <w:t xml:space="preserve">143: 105931.</w:t>
      </w:r>
      <w:r>
        <w:t xml:space="preserve"> </w:t>
      </w:r>
      <w:hyperlink r:id="rId63">
        <w:r>
          <w:rPr>
            <w:rStyle w:val="Hyperlink"/>
          </w:rPr>
          <w:t xml:space="preserve">https://doi.org/10.1016/j.foodqual.2026.105931</w:t>
        </w:r>
      </w:hyperlink>
      <w:r>
        <w:t xml:space="preserve">.</w:t>
      </w:r>
    </w:p>
    <w:bookmarkEnd w:id="64"/>
    <w:bookmarkStart w:id="66" w:name="ref-jachimowicz2019"/>
    <w:p>
      <w:pPr>
        <w:pStyle w:val="Bibliography"/>
      </w:pPr>
      <w:r>
        <w:t xml:space="preserve">Jachimowicz, Jon M., Shannon Duncan, Elke U. Weber, and Eric J. Johnson. 2019.</w:t>
      </w:r>
      <w:r>
        <w:t xml:space="preserve"> </w:t>
      </w:r>
      <w:r>
        <w:t xml:space="preserve">“When and Why Defaults Influence Decisions: A Meta-Analysis of Default Effects.”</w:t>
      </w:r>
      <w:r>
        <w:t xml:space="preserve"> </w:t>
      </w:r>
      <w:r>
        <w:rPr>
          <w:i/>
          <w:iCs/>
        </w:rPr>
        <w:t xml:space="preserve">Behavioural Public Policy</w:t>
      </w:r>
      <w:r>
        <w:t xml:space="preserve"> </w:t>
      </w:r>
      <w:r>
        <w:t xml:space="preserve">3 (2): 159–86.</w:t>
      </w:r>
      <w:r>
        <w:t xml:space="preserve"> </w:t>
      </w:r>
      <w:hyperlink r:id="rId65">
        <w:r>
          <w:rPr>
            <w:rStyle w:val="Hyperlink"/>
          </w:rPr>
          <w:t xml:space="preserve">https://doi.org/10.1017/bpp.2018.43</w:t>
        </w:r>
      </w:hyperlink>
      <w:r>
        <w:t xml:space="preserve">.</w:t>
      </w:r>
    </w:p>
    <w:bookmarkEnd w:id="66"/>
    <w:bookmarkStart w:id="68" w:name="ref-johnson2003"/>
    <w:p>
      <w:pPr>
        <w:pStyle w:val="Bibliography"/>
      </w:pPr>
      <w:r>
        <w:t xml:space="preserve">Johnson, Eric J., and Daniel Goldstein. 2003.</w:t>
      </w:r>
      <w:r>
        <w:t xml:space="preserve"> </w:t>
      </w:r>
      <w:r>
        <w:t xml:space="preserve">“Do Defaults Save Lives?”</w:t>
      </w:r>
      <w:r>
        <w:t xml:space="preserve"> </w:t>
      </w:r>
      <w:r>
        <w:rPr>
          <w:i/>
          <w:iCs/>
        </w:rPr>
        <w:t xml:space="preserve">Science</w:t>
      </w:r>
      <w:r>
        <w:t xml:space="preserve"> </w:t>
      </w:r>
      <w:r>
        <w:t xml:space="preserve">302 (5649): 1338–39.</w:t>
      </w:r>
      <w:r>
        <w:t xml:space="preserve"> </w:t>
      </w:r>
      <w:hyperlink r:id="rId67">
        <w:r>
          <w:rPr>
            <w:rStyle w:val="Hyperlink"/>
          </w:rPr>
          <w:t xml:space="preserve">https://doi.org/10.1126/science.1091721</w:t>
        </w:r>
      </w:hyperlink>
      <w:r>
        <w:t xml:space="preserve">.</w:t>
      </w:r>
    </w:p>
    <w:bookmarkEnd w:id="68"/>
    <w:bookmarkStart w:id="70" w:name="ref-lin2016"/>
    <w:p>
      <w:pPr>
        <w:pStyle w:val="Bibliography"/>
      </w:pPr>
      <w:r>
        <w:t xml:space="preserve">Lin, Winston, Donald P. Green, and Alexander Coppock. 2016.</w:t>
      </w:r>
      <w:r>
        <w:t xml:space="preserve"> </w:t>
      </w:r>
      <w:r>
        <w:rPr>
          <w:i/>
          <w:iCs/>
        </w:rPr>
        <w:t xml:space="preserve">Standard Operating Procedures for</w:t>
      </w:r>
      <w:r>
        <w:rPr>
          <w:i/>
          <w:iCs/>
        </w:rPr>
        <w:t xml:space="preserve"> </w:t>
      </w:r>
      <w:r>
        <w:rPr>
          <w:i/>
          <w:iCs/>
        </w:rPr>
        <w:t xml:space="preserve">Don</w:t>
      </w:r>
      <w:r>
        <w:rPr>
          <w:i/>
          <w:iCs/>
        </w:rPr>
        <w:t xml:space="preserve"> </w:t>
      </w:r>
      <w:r>
        <w:rPr>
          <w:i/>
          <w:iCs/>
        </w:rPr>
        <w:t xml:space="preserve">Green</w:t>
      </w:r>
      <w:r>
        <w:rPr>
          <w:i/>
          <w:iCs/>
        </w:rPr>
        <w:t xml:space="preserve">’s Lab at</w:t>
      </w:r>
      <w:r>
        <w:rPr>
          <w:i/>
          <w:iCs/>
        </w:rPr>
        <w:t xml:space="preserve"> </w:t>
      </w:r>
      <w:r>
        <w:rPr>
          <w:i/>
          <w:iCs/>
        </w:rPr>
        <w:t xml:space="preserve">Columbia</w:t>
      </w:r>
      <w:r>
        <w:t xml:space="preserve">.</w:t>
      </w:r>
      <w:r>
        <w:t xml:space="preserve"> </w:t>
      </w:r>
      <w:hyperlink r:id="rId69">
        <w:r>
          <w:rPr>
            <w:rStyle w:val="Hyperlink"/>
          </w:rPr>
          <w:t xml:space="preserve">https://github.com/acoppock/Green-Lab-SOP</w:t>
        </w:r>
      </w:hyperlink>
      <w:r>
        <w:t xml:space="preserve">.</w:t>
      </w:r>
    </w:p>
    <w:bookmarkEnd w:id="70"/>
    <w:bookmarkStart w:id="72" w:name="ref-maier2022"/>
    <w:p>
      <w:pPr>
        <w:pStyle w:val="Bibliography"/>
      </w:pPr>
      <w:r>
        <w:t xml:space="preserve">Maier, Maximilian, František Bartoš, T. D. Stanley, David R. Shanks, Adam J. L. Harris, and Eric-Jan Wagenmakers. 2022.</w:t>
      </w:r>
      <w:r>
        <w:t xml:space="preserve"> </w:t>
      </w:r>
      <w:r>
        <w:t xml:space="preserve">“No Evidence for Nudging After Adjusting for Publication Bias.”</w:t>
      </w:r>
      <w:r>
        <w:t xml:space="preserve"> </w:t>
      </w:r>
      <w:r>
        <w:rPr>
          <w:i/>
          <w:iCs/>
        </w:rPr>
        <w:t xml:space="preserve">Proceedings of the National Academy of Sciences</w:t>
      </w:r>
      <w:r>
        <w:t xml:space="preserve"> </w:t>
      </w:r>
      <w:r>
        <w:t xml:space="preserve">119 (31): e2200300119.</w:t>
      </w:r>
      <w:r>
        <w:t xml:space="preserve"> </w:t>
      </w:r>
      <w:hyperlink r:id="rId71">
        <w:r>
          <w:rPr>
            <w:rStyle w:val="Hyperlink"/>
          </w:rPr>
          <w:t xml:space="preserve">https://doi.org/10.1073/pnas.2200300119</w:t>
        </w:r>
      </w:hyperlink>
      <w:r>
        <w:t xml:space="preserve">.</w:t>
      </w:r>
    </w:p>
    <w:bookmarkEnd w:id="72"/>
    <w:bookmarkStart w:id="74" w:name="ref-meier2022"/>
    <w:p>
      <w:pPr>
        <w:pStyle w:val="Bibliography"/>
      </w:pPr>
      <w:r>
        <w:t xml:space="preserve">Meier, Jana, Mark A. Andor, Friederike C. Doebbe, Neal R. Haddaway, and Lucia A. Reisch. 2022.</w:t>
      </w:r>
      <w:r>
        <w:t xml:space="preserve"> </w:t>
      </w:r>
      <w:r>
        <w:t xml:space="preserve">“Do Green Defaults Reduce Meat Consumption?”</w:t>
      </w:r>
      <w:r>
        <w:t xml:space="preserve"> </w:t>
      </w:r>
      <w:r>
        <w:rPr>
          <w:i/>
          <w:iCs/>
        </w:rPr>
        <w:t xml:space="preserve">Food Policy</w:t>
      </w:r>
      <w:r>
        <w:t xml:space="preserve"> </w:t>
      </w:r>
      <w:r>
        <w:t xml:space="preserve">110: 102298.</w:t>
      </w:r>
      <w:r>
        <w:t xml:space="preserve"> </w:t>
      </w:r>
      <w:hyperlink r:id="rId73">
        <w:r>
          <w:rPr>
            <w:rStyle w:val="Hyperlink"/>
          </w:rPr>
          <w:t xml:space="preserve">https://doi.org/10.1016/j.foodpol.2022.102298</w:t>
        </w:r>
      </w:hyperlink>
      <w:r>
        <w:t xml:space="preserve">.</w:t>
      </w:r>
    </w:p>
    <w:bookmarkEnd w:id="74"/>
    <w:bookmarkStart w:id="76" w:name="ref-mertens2022"/>
    <w:p>
      <w:pPr>
        <w:pStyle w:val="Bibliography"/>
      </w:pPr>
      <w:r>
        <w:t xml:space="preserve">Mertens, Stephanie, Mario Herberz, Ulf J. J. Hahnel, and Tobias Brosch. 2022.</w:t>
      </w:r>
      <w:r>
        <w:t xml:space="preserve"> </w:t>
      </w:r>
      <w:r>
        <w:t xml:space="preserve">“The Effectiveness of Nudging: A Meta-Analysis of Choice Architecture Interventions Across Behavioral Domains.”</w:t>
      </w:r>
      <w:r>
        <w:t xml:space="preserve"> </w:t>
      </w:r>
      <w:r>
        <w:rPr>
          <w:i/>
          <w:iCs/>
        </w:rPr>
        <w:t xml:space="preserve">Proceedings of the National Academy of Sciences</w:t>
      </w:r>
      <w:r>
        <w:t xml:space="preserve"> </w:t>
      </w:r>
      <w:r>
        <w:t xml:space="preserve">119 (1): e2107346118.</w:t>
      </w:r>
      <w:r>
        <w:t xml:space="preserve"> </w:t>
      </w:r>
      <w:hyperlink r:id="rId75">
        <w:r>
          <w:rPr>
            <w:rStyle w:val="Hyperlink"/>
          </w:rPr>
          <w:t xml:space="preserve">https://doi.org/10.1073/pnas.2107346118</w:t>
        </w:r>
      </w:hyperlink>
      <w:r>
        <w:t xml:space="preserve">.</w:t>
      </w:r>
    </w:p>
    <w:bookmarkEnd w:id="76"/>
    <w:bookmarkStart w:id="78" w:name="ref-pollicino2024"/>
    <w:p>
      <w:pPr>
        <w:pStyle w:val="Bibliography"/>
      </w:pPr>
      <w:r>
        <w:t xml:space="preserve">Pollicino, Daniela, Stacy Blondin, and Sophie Attwood. 2024.</w:t>
      </w:r>
      <w:r>
        <w:t xml:space="preserve"> </w:t>
      </w:r>
      <w:r>
        <w:rPr>
          <w:i/>
          <w:iCs/>
        </w:rPr>
        <w:t xml:space="preserve">The Food Service Playbook for Promoting Sustainable Food Choices</w:t>
      </w:r>
      <w:r>
        <w:t xml:space="preserve">. World Resources Institute.</w:t>
      </w:r>
      <w:r>
        <w:t xml:space="preserve"> </w:t>
      </w:r>
      <w:hyperlink r:id="rId77">
        <w:r>
          <w:rPr>
            <w:rStyle w:val="Hyperlink"/>
          </w:rPr>
          <w:t xml:space="preserve">https://www.wri.org/research/food-service-playbook-promoting-sustainable-food-choices</w:t>
        </w:r>
      </w:hyperlink>
      <w:r>
        <w:t xml:space="preserve">.</w:t>
      </w:r>
    </w:p>
    <w:bookmarkEnd w:id="78"/>
    <w:bookmarkStart w:id="80" w:name="ref-poore2018"/>
    <w:p>
      <w:pPr>
        <w:pStyle w:val="Bibliography"/>
      </w:pPr>
      <w:r>
        <w:t xml:space="preserve">Poore, Joseph, and Thomas Nemecek. 2018.</w:t>
      </w:r>
      <w:r>
        <w:t xml:space="preserve"> </w:t>
      </w:r>
      <w:r>
        <w:t xml:space="preserve">“Reducing Food’s Environmental Impacts Through Producers and Consumers.”</w:t>
      </w:r>
      <w:r>
        <w:t xml:space="preserve"> </w:t>
      </w:r>
      <w:r>
        <w:rPr>
          <w:i/>
          <w:iCs/>
        </w:rPr>
        <w:t xml:space="preserve">Science</w:t>
      </w:r>
      <w:r>
        <w:t xml:space="preserve"> </w:t>
      </w:r>
      <w:r>
        <w:t xml:space="preserve">360 (6392): 987–92.</w:t>
      </w:r>
      <w:r>
        <w:t xml:space="preserve"> </w:t>
      </w:r>
      <w:hyperlink r:id="rId79">
        <w:r>
          <w:rPr>
            <w:rStyle w:val="Hyperlink"/>
          </w:rPr>
          <w:t xml:space="preserve">https://doi.org/10.1126/science.aaq0216</w:t>
        </w:r>
      </w:hyperlink>
      <w:r>
        <w:t xml:space="preserve">.</w:t>
      </w:r>
    </w:p>
    <w:bookmarkEnd w:id="80"/>
    <w:bookmarkStart w:id="82" w:name="ref-Rlang"/>
    <w:p>
      <w:pPr>
        <w:pStyle w:val="Bibliography"/>
      </w:pPr>
      <w:r>
        <w:t xml:space="preserve">R Core Team. 2026.</w:t>
      </w:r>
      <w:r>
        <w:t xml:space="preserve"> </w:t>
      </w:r>
      <w:r>
        <w:rPr>
          <w:i/>
          <w:iCs/>
        </w:rPr>
        <w:t xml:space="preserve">R: A Language and Environment for Statistical Computing</w:t>
      </w:r>
      <w:r>
        <w:t xml:space="preserve">. R Foundation for Statistical Computing.</w:t>
      </w:r>
      <w:r>
        <w:t xml:space="preserve"> </w:t>
      </w:r>
      <w:hyperlink r:id="rId81">
        <w:r>
          <w:rPr>
            <w:rStyle w:val="Hyperlink"/>
          </w:rPr>
          <w:t xml:space="preserve">https://www.R-project.org/</w:t>
        </w:r>
      </w:hyperlink>
      <w:r>
        <w:t xml:space="preserve">.</w:t>
      </w:r>
    </w:p>
    <w:bookmarkEnd w:id="82"/>
    <w:bookmarkStart w:id="83" w:name="ref-thaler2008"/>
    <w:p>
      <w:pPr>
        <w:pStyle w:val="Bibliography"/>
      </w:pPr>
      <w:r>
        <w:t xml:space="preserve">Thaler, Richard H., and Cass R. Sunstein. 2008.</w:t>
      </w:r>
      <w:r>
        <w:t xml:space="preserve"> </w:t>
      </w:r>
      <w:r>
        <w:rPr>
          <w:i/>
          <w:iCs/>
        </w:rPr>
        <w:t xml:space="preserve">Nudge: Improving Decisions about Health, Wealth, and Happiness</w:t>
      </w:r>
      <w:r>
        <w:t xml:space="preserve">. Yale University Press.</w:t>
      </w:r>
    </w:p>
    <w:bookmarkEnd w:id="83"/>
    <w:bookmarkStart w:id="85" w:name="ref-willett2019"/>
    <w:p>
      <w:pPr>
        <w:pStyle w:val="Bibliography"/>
      </w:pPr>
      <w:r>
        <w:t xml:space="preserve">Willett, Walter, Johan Rockström, Brent Loken, et al.</w:t>
      </w:r>
      <w:r>
        <w:t xml:space="preserve"> 2019.</w:t>
      </w:r>
      <w:r>
        <w:t xml:space="preserve"> </w:t>
      </w:r>
      <w:r>
        <w:t xml:space="preserve">“Food in the</w:t>
      </w:r>
      <w:r>
        <w:t xml:space="preserve"> </w:t>
      </w:r>
      <w:r>
        <w:t xml:space="preserve">Anthropocene</w:t>
      </w:r>
      <w:r>
        <w:t xml:space="preserve">: The</w:t>
      </w:r>
      <w:r>
        <w:t xml:space="preserve"> </w:t>
      </w:r>
      <w:r>
        <w:t xml:space="preserve">EAT</w:t>
      </w:r>
      <w:r>
        <w:t xml:space="preserve">–</w:t>
      </w:r>
      <w:r>
        <w:t xml:space="preserve">Lancet</w:t>
      </w:r>
      <w:r>
        <w:t xml:space="preserve"> </w:t>
      </w:r>
      <w:r>
        <w:t xml:space="preserve">Commission</w:t>
      </w:r>
      <w:r>
        <w:t xml:space="preserve"> </w:t>
      </w:r>
      <w:r>
        <w:t xml:space="preserve">on Healthy Diets from Sustainable Food Systems.”</w:t>
      </w:r>
      <w:r>
        <w:t xml:space="preserve"> </w:t>
      </w:r>
      <w:r>
        <w:rPr>
          <w:i/>
          <w:iCs/>
        </w:rPr>
        <w:t xml:space="preserve">The Lancet</w:t>
      </w:r>
      <w:r>
        <w:t xml:space="preserve"> </w:t>
      </w:r>
      <w:r>
        <w:t xml:space="preserve">393 (10170): 447–92.</w:t>
      </w:r>
      <w:r>
        <w:t xml:space="preserve"> </w:t>
      </w:r>
      <w:hyperlink r:id="rId84">
        <w:r>
          <w:rPr>
            <w:rStyle w:val="Hyperlink"/>
          </w:rPr>
          <w:t xml:space="preserve">https://doi.org/10.1016/S0140-6736(18)31788-4</w:t>
        </w:r>
      </w:hyperlink>
      <w:r>
        <w:t xml:space="preserve">.</w:t>
      </w:r>
    </w:p>
    <w:bookmarkEnd w:id="85"/>
    <w:bookmarkStart w:id="86" w:name="ref-xie2018"/>
    <w:p>
      <w:pPr>
        <w:pStyle w:val="Bibliography"/>
      </w:pPr>
      <w:r>
        <w:t xml:space="preserve">Xie, Yihui, J. J. Allaire, and Garrett Grolemund. 2018.</w:t>
      </w:r>
      <w:r>
        <w:t xml:space="preserve"> </w:t>
      </w:r>
      <w:r>
        <w:rPr>
          <w:i/>
          <w:iCs/>
        </w:rPr>
        <w:t xml:space="preserve">R Markdown: The Definitive Guide</w:t>
      </w:r>
      <w:r>
        <w:t xml:space="preserve">. Chapman; Hall/CRC.</w:t>
      </w:r>
    </w:p>
    <w:bookmarkEnd w:id="86"/>
    <w:bookmarkEnd w:id="87"/>
    <w:bookmarkEnd w:id="8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8f8f8"/>
    </w:pPr>
  </w:style>
  <w:style w:type="character" w:customStyle="1" w:styleId="KeywordTok">
    <w:name w:val="KeywordTok"/>
    <w:basedOn w:val="VerbatimChar"/>
    <w:rPr>
      <w:b/>
      <w:color w:val="204a87"/>
      <w:shd w:val="clear" w:fill="f8f8f8"/>
    </w:rPr>
  </w:style>
  <w:style w:type="character" w:customStyle="1" w:styleId="DataTypeTok">
    <w:name w:val="DataTypeTok"/>
    <w:basedOn w:val="VerbatimChar"/>
    <w:rPr>
      <w:color w:val="204a87"/>
      <w:shd w:val="clear" w:fill="f8f8f8"/>
    </w:rPr>
  </w:style>
  <w:style w:type="character" w:customStyle="1" w:styleId="DecValTok">
    <w:name w:val="DecValTok"/>
    <w:basedOn w:val="VerbatimChar"/>
    <w:rPr>
      <w:color w:val="0000cf"/>
      <w:shd w:val="clear" w:fill="f8f8f8"/>
    </w:rPr>
  </w:style>
  <w:style w:type="character" w:customStyle="1" w:styleId="BaseNTok">
    <w:name w:val="BaseNTok"/>
    <w:basedOn w:val="VerbatimChar"/>
    <w:rPr>
      <w:color w:val="0000cf"/>
      <w:shd w:val="clear" w:fill="f8f8f8"/>
    </w:rPr>
  </w:style>
  <w:style w:type="character" w:customStyle="1" w:styleId="FloatTok">
    <w:name w:val="FloatTok"/>
    <w:basedOn w:val="VerbatimChar"/>
    <w:rPr>
      <w:color w:val="0000cf"/>
      <w:shd w:val="clear" w:fill="f8f8f8"/>
    </w:rPr>
  </w:style>
  <w:style w:type="character" w:customStyle="1" w:styleId="ConstantTok">
    <w:name w:val="ConstantTok"/>
    <w:basedOn w:val="VerbatimChar"/>
    <w:rPr>
      <w:color w:val="8f5902"/>
      <w:shd w:val="clear" w:fill="f8f8f8"/>
    </w:rPr>
  </w:style>
  <w:style w:type="character" w:customStyle="1" w:styleId="CharTok">
    <w:name w:val="CharTok"/>
    <w:basedOn w:val="VerbatimChar"/>
    <w:rPr>
      <w:color w:val="4e9a06"/>
      <w:shd w:val="clear" w:fill="f8f8f8"/>
    </w:rPr>
  </w:style>
  <w:style w:type="character" w:customStyle="1" w:styleId="SpecialCharTok">
    <w:name w:val="SpecialCharTok"/>
    <w:basedOn w:val="VerbatimChar"/>
    <w:rPr>
      <w:b/>
      <w:color w:val="ce5c00"/>
      <w:shd w:val="clear" w:fill="f8f8f8"/>
    </w:rPr>
  </w:style>
  <w:style w:type="character" w:customStyle="1" w:styleId="StringTok">
    <w:name w:val="StringTok"/>
    <w:basedOn w:val="VerbatimChar"/>
    <w:rPr>
      <w:color w:val="4e9a06"/>
      <w:shd w:val="clear" w:fill="f8f8f8"/>
    </w:rPr>
  </w:style>
  <w:style w:type="character" w:customStyle="1" w:styleId="VerbatimStringTok">
    <w:name w:val="VerbatimStringTok"/>
    <w:basedOn w:val="VerbatimChar"/>
    <w:rPr>
      <w:color w:val="4e9a06"/>
      <w:shd w:val="clear" w:fill="f8f8f8"/>
    </w:rPr>
  </w:style>
  <w:style w:type="character" w:customStyle="1" w:styleId="SpecialStringTok">
    <w:name w:val="SpecialStringTok"/>
    <w:basedOn w:val="VerbatimChar"/>
    <w:rPr>
      <w:color w:val="4e9a06"/>
      <w:shd w:val="clear" w:fill="f8f8f8"/>
    </w:rPr>
  </w:style>
  <w:style w:type="character" w:customStyle="1" w:styleId="ImportTok">
    <w:name w:val="ImportTok"/>
    <w:basedOn w:val="VerbatimChar"/>
    <w:rPr>
      <w:shd w:val="clear" w:fill="f8f8f8"/>
    </w:rPr>
  </w:style>
  <w:style w:type="character" w:customStyle="1" w:styleId="CommentTok">
    <w:name w:val="CommentTok"/>
    <w:basedOn w:val="VerbatimChar"/>
    <w:rPr>
      <w:i/>
      <w:color w:val="8f5902"/>
      <w:shd w:val="clear" w:fill="f8f8f8"/>
    </w:rPr>
  </w:style>
  <w:style w:type="character" w:customStyle="1" w:styleId="DocumentationTok">
    <w:name w:val="DocumentationTok"/>
    <w:basedOn w:val="VerbatimChar"/>
    <w:rPr>
      <w:b/>
      <w:i/>
      <w:color w:val="8f5902"/>
      <w:shd w:val="clear" w:fill="f8f8f8"/>
    </w:rPr>
  </w:style>
  <w:style w:type="character" w:customStyle="1" w:styleId="AnnotationTok">
    <w:name w:val="AnnotationTok"/>
    <w:basedOn w:val="VerbatimChar"/>
    <w:rPr>
      <w:b/>
      <w:i/>
      <w:color w:val="8f5902"/>
      <w:shd w:val="clear" w:fill="f8f8f8"/>
    </w:rPr>
  </w:style>
  <w:style w:type="character" w:customStyle="1" w:styleId="CommentVarTok">
    <w:name w:val="CommentVarTok"/>
    <w:basedOn w:val="VerbatimChar"/>
    <w:rPr>
      <w:b/>
      <w:i/>
      <w:color w:val="8f5902"/>
      <w:shd w:val="clear" w:fill="f8f8f8"/>
    </w:rPr>
  </w:style>
  <w:style w:type="character" w:customStyle="1" w:styleId="OtherTok">
    <w:name w:val="OtherTok"/>
    <w:basedOn w:val="VerbatimChar"/>
    <w:rPr>
      <w:color w:val="8f5902"/>
      <w:shd w:val="clear" w:fill="f8f8f8"/>
    </w:rPr>
  </w:style>
  <w:style w:type="character" w:customStyle="1" w:styleId="FunctionTok">
    <w:name w:val="FunctionTok"/>
    <w:basedOn w:val="VerbatimChar"/>
    <w:rPr>
      <w:b/>
      <w:color w:val="204a87"/>
      <w:shd w:val="clear" w:fill="f8f8f8"/>
    </w:rPr>
  </w:style>
  <w:style w:type="character" w:customStyle="1" w:styleId="VariableTok">
    <w:name w:val="VariableTok"/>
    <w:basedOn w:val="VerbatimChar"/>
    <w:rPr>
      <w:color w:val="000000"/>
      <w:shd w:val="clear" w:fill="f8f8f8"/>
    </w:rPr>
  </w:style>
  <w:style w:type="character" w:customStyle="1" w:styleId="ControlFlowTok">
    <w:name w:val="ControlFlowTok"/>
    <w:basedOn w:val="VerbatimChar"/>
    <w:rPr>
      <w:b/>
      <w:color w:val="204a87"/>
      <w:shd w:val="clear" w:fill="f8f8f8"/>
    </w:rPr>
  </w:style>
  <w:style w:type="character" w:customStyle="1" w:styleId="OperatorTok">
    <w:name w:val="OperatorTok"/>
    <w:basedOn w:val="VerbatimChar"/>
    <w:rPr>
      <w:b/>
      <w:color w:val="ce5c00"/>
      <w:shd w:val="clear" w:fill="f8f8f8"/>
    </w:rPr>
  </w:style>
  <w:style w:type="character" w:customStyle="1" w:styleId="BuiltInTok">
    <w:name w:val="BuiltInTok"/>
    <w:basedOn w:val="VerbatimChar"/>
    <w:rPr>
      <w:shd w:val="clear" w:fill="f8f8f8"/>
    </w:rPr>
  </w:style>
  <w:style w:type="character" w:customStyle="1" w:styleId="ExtensionTok">
    <w:name w:val="ExtensionTok"/>
    <w:basedOn w:val="VerbatimChar"/>
    <w:rPr>
      <w:shd w:val="clear" w:fill="f8f8f8"/>
    </w:rPr>
  </w:style>
  <w:style w:type="character" w:customStyle="1" w:styleId="PreprocessorTok">
    <w:name w:val="PreprocessorTok"/>
    <w:basedOn w:val="VerbatimChar"/>
    <w:rPr>
      <w:i/>
      <w:color w:val="8f5902"/>
      <w:shd w:val="clear" w:fill="f8f8f8"/>
    </w:rPr>
  </w:style>
  <w:style w:type="character" w:customStyle="1" w:styleId="AttributeTok">
    <w:name w:val="AttributeTok"/>
    <w:basedOn w:val="VerbatimChar"/>
    <w:rPr>
      <w:color w:val="204a87"/>
      <w:shd w:val="clear" w:fill="f8f8f8"/>
    </w:rPr>
  </w:style>
  <w:style w:type="character" w:customStyle="1" w:styleId="RegionMarkerTok">
    <w:name w:val="RegionMarkerTok"/>
    <w:basedOn w:val="VerbatimChar"/>
    <w:rPr>
      <w:shd w:val="clear" w:fill="f8f8f8"/>
    </w:rPr>
  </w:style>
  <w:style w:type="character" w:customStyle="1" w:styleId="InformationTok">
    <w:name w:val="InformationTok"/>
    <w:basedOn w:val="VerbatimChar"/>
    <w:rPr>
      <w:b/>
      <w:i/>
      <w:color w:val="8f5902"/>
      <w:shd w:val="clear" w:fill="f8f8f8"/>
    </w:rPr>
  </w:style>
  <w:style w:type="character" w:customStyle="1" w:styleId="WarningTok">
    <w:name w:val="WarningTok"/>
    <w:basedOn w:val="VerbatimChar"/>
    <w:rPr>
      <w:b/>
      <w:i/>
      <w:color w:val="8f5902"/>
      <w:shd w:val="clear" w:fill="f8f8f8"/>
    </w:rPr>
  </w:style>
  <w:style w:type="character" w:customStyle="1" w:styleId="AlertTok">
    <w:name w:val="AlertTok"/>
    <w:basedOn w:val="VerbatimChar"/>
    <w:rPr>
      <w:color w:val="ef2929"/>
      <w:shd w:val="clear" w:fill="f8f8f8"/>
    </w:rPr>
  </w:style>
  <w:style w:type="character" w:customStyle="1" w:styleId="ErrorTok">
    <w:name w:val="ErrorTok"/>
    <w:basedOn w:val="VerbatimChar"/>
    <w:rPr>
      <w:b/>
      <w:color w:val="a40000"/>
      <w:shd w:val="clear" w:fill="f8f8f8"/>
    </w:rPr>
  </w:style>
  <w:style w:type="character" w:customStyle="1" w:styleId="NormalTok">
    <w:name w:val="NormalTok"/>
    <w:basedOn w:val="VerbatimChar"/>
    <w:rPr>
      <w:shd w:val="clear" w:fill="f8f8f8"/>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9" Target="media/rId19.png" /><Relationship Type="http://schemas.openxmlformats.org/officeDocument/2006/relationships/image" Id="rId28" Target="media/rId28.png" /><Relationship Type="http://schemas.openxmlformats.org/officeDocument/2006/relationships/image" Id="rId23" Target="media/rId23.png" /><Relationship Type="http://schemas.openxmlformats.org/officeDocument/2006/relationships/hyperlink" Id="rId45" Target="https://declaredesign.org/r/estimatr/" TargetMode="External" /><Relationship Type="http://schemas.openxmlformats.org/officeDocument/2006/relationships/hyperlink" Id="rId84" Target="https://doi.org/10.1016/S0140-6736(18)31788-4" TargetMode="External" /><Relationship Type="http://schemas.openxmlformats.org/officeDocument/2006/relationships/hyperlink" Id="rId43" Target="https://doi.org/10.1016/S2542-5196(18)30188-8" TargetMode="External" /><Relationship Type="http://schemas.openxmlformats.org/officeDocument/2006/relationships/hyperlink" Id="rId59" Target="https://doi.org/10.1016/j.appet.2025.108233" TargetMode="External" /><Relationship Type="http://schemas.openxmlformats.org/officeDocument/2006/relationships/hyperlink" Id="rId57" Target="https://doi.org/10.1016/j.appet.2025.108354" TargetMode="External" /><Relationship Type="http://schemas.openxmlformats.org/officeDocument/2006/relationships/hyperlink" Id="rId73" Target="https://doi.org/10.1016/j.foodpol.2022.102298" TargetMode="External" /><Relationship Type="http://schemas.openxmlformats.org/officeDocument/2006/relationships/hyperlink" Id="rId37" Target="https://doi.org/10.1016/j.foodqual.2023.104923" TargetMode="External" /><Relationship Type="http://schemas.openxmlformats.org/officeDocument/2006/relationships/hyperlink" Id="rId63" Target="https://doi.org/10.1016/j.foodqual.2026.105931" TargetMode="External" /><Relationship Type="http://schemas.openxmlformats.org/officeDocument/2006/relationships/hyperlink" Id="rId65" Target="https://doi.org/10.1017/bpp.2018.43" TargetMode="External" /><Relationship Type="http://schemas.openxmlformats.org/officeDocument/2006/relationships/hyperlink" Id="rId41" Target="https://doi.org/10.1017/bpp.2021.6" TargetMode="External" /><Relationship Type="http://schemas.openxmlformats.org/officeDocument/2006/relationships/hyperlink" Id="rId55" Target="https://doi.org/10.1037/xge0000920" TargetMode="External" /><Relationship Type="http://schemas.openxmlformats.org/officeDocument/2006/relationships/hyperlink" Id="rId39" Target="https://doi.org/10.1038/s41893-023-01235-0" TargetMode="External" /><Relationship Type="http://schemas.openxmlformats.org/officeDocument/2006/relationships/hyperlink" Id="rId75" Target="https://doi.org/10.1073/pnas.2107346118" TargetMode="External" /><Relationship Type="http://schemas.openxmlformats.org/officeDocument/2006/relationships/hyperlink" Id="rId71" Target="https://doi.org/10.1073/pnas.2200300119" TargetMode="External" /><Relationship Type="http://schemas.openxmlformats.org/officeDocument/2006/relationships/hyperlink" Id="rId61" Target="https://doi.org/10.1093/pubmed/fdz154" TargetMode="External" /><Relationship Type="http://schemas.openxmlformats.org/officeDocument/2006/relationships/hyperlink" Id="rId67" Target="https://doi.org/10.1126/science.1091721" TargetMode="External" /><Relationship Type="http://schemas.openxmlformats.org/officeDocument/2006/relationships/hyperlink" Id="rId79" Target="https://doi.org/10.1126/science.aaq0216" TargetMode="External" /><Relationship Type="http://schemas.openxmlformats.org/officeDocument/2006/relationships/hyperlink" Id="rId47" Target="https://doi.org/10.3389/fsufs.2022.1001157" TargetMode="External" /><Relationship Type="http://schemas.openxmlformats.org/officeDocument/2006/relationships/hyperlink" Id="rId52" Target="https://doi.org/10.3389/fsufs.2023.1103060" TargetMode="External" /><Relationship Type="http://schemas.openxmlformats.org/officeDocument/2006/relationships/hyperlink" Id="rId50" Target="https://doi.org/10.3389/fsufs.2026.1799532" TargetMode="External" /><Relationship Type="http://schemas.openxmlformats.org/officeDocument/2006/relationships/hyperlink" Id="rId35" Target="https://doi.org/10.3390/g12010002" TargetMode="External" /><Relationship Type="http://schemas.openxmlformats.org/officeDocument/2006/relationships/hyperlink" Id="rId69" Target="https://github.com/acoppock/Green-Lab-SOP" TargetMode="External" /><Relationship Type="http://schemas.openxmlformats.org/officeDocument/2006/relationships/hyperlink" Id="rId81" Target="https://www.R-project.org/" TargetMode="External" /><Relationship Type="http://schemas.openxmlformats.org/officeDocument/2006/relationships/hyperlink" Id="rId77" Target="https://www.wri.org/research/food-service-playbook-promoting-sustainable-food-choices" TargetMode="External" /><Relationship Type="http://schemas.openxmlformats.org/officeDocument/2006/relationships/hyperlink" Id="rId90" Target="mailto:kenjin@greenerbydefault.org" TargetMode="External" /><Relationship Type="http://schemas.openxmlformats.org/officeDocument/2006/relationships/hyperlink" Id="rId92" Target="mailto:mmathur@stanford.edu" TargetMode="External" /><Relationship Type="http://schemas.openxmlformats.org/officeDocument/2006/relationships/hyperlink" Id="rId91" Target="mailto:natalia.lawrence@exeter.ac.uk" TargetMode="External" /><Relationship Type="http://schemas.openxmlformats.org/officeDocument/2006/relationships/hyperlink" Id="rId89" Target="mailto:setgree@stanford.edu" TargetMode="External" /></Relationships>
</file>

<file path=word/_rels/footnotes.xml.rels><?xml version="1.0" encoding="UTF-8"?><Relationships xmlns="http://schemas.openxmlformats.org/package/2006/relationships"><Relationship Type="http://schemas.openxmlformats.org/officeDocument/2006/relationships/hyperlink" Id="rId45" Target="https://declaredesign.org/r/estimatr/" TargetMode="External" /><Relationship Type="http://schemas.openxmlformats.org/officeDocument/2006/relationships/hyperlink" Id="rId84" Target="https://doi.org/10.1016/S0140-6736(18)31788-4" TargetMode="External" /><Relationship Type="http://schemas.openxmlformats.org/officeDocument/2006/relationships/hyperlink" Id="rId43" Target="https://doi.org/10.1016/S2542-5196(18)30188-8" TargetMode="External" /><Relationship Type="http://schemas.openxmlformats.org/officeDocument/2006/relationships/hyperlink" Id="rId59" Target="https://doi.org/10.1016/j.appet.2025.108233" TargetMode="External" /><Relationship Type="http://schemas.openxmlformats.org/officeDocument/2006/relationships/hyperlink" Id="rId57" Target="https://doi.org/10.1016/j.appet.2025.108354" TargetMode="External" /><Relationship Type="http://schemas.openxmlformats.org/officeDocument/2006/relationships/hyperlink" Id="rId73" Target="https://doi.org/10.1016/j.foodpol.2022.102298" TargetMode="External" /><Relationship Type="http://schemas.openxmlformats.org/officeDocument/2006/relationships/hyperlink" Id="rId37" Target="https://doi.org/10.1016/j.foodqual.2023.104923" TargetMode="External" /><Relationship Type="http://schemas.openxmlformats.org/officeDocument/2006/relationships/hyperlink" Id="rId63" Target="https://doi.org/10.1016/j.foodqual.2026.105931" TargetMode="External" /><Relationship Type="http://schemas.openxmlformats.org/officeDocument/2006/relationships/hyperlink" Id="rId65" Target="https://doi.org/10.1017/bpp.2018.43" TargetMode="External" /><Relationship Type="http://schemas.openxmlformats.org/officeDocument/2006/relationships/hyperlink" Id="rId41" Target="https://doi.org/10.1017/bpp.2021.6" TargetMode="External" /><Relationship Type="http://schemas.openxmlformats.org/officeDocument/2006/relationships/hyperlink" Id="rId55" Target="https://doi.org/10.1037/xge0000920" TargetMode="External" /><Relationship Type="http://schemas.openxmlformats.org/officeDocument/2006/relationships/hyperlink" Id="rId39" Target="https://doi.org/10.1038/s41893-023-01235-0" TargetMode="External" /><Relationship Type="http://schemas.openxmlformats.org/officeDocument/2006/relationships/hyperlink" Id="rId75" Target="https://doi.org/10.1073/pnas.2107346118" TargetMode="External" /><Relationship Type="http://schemas.openxmlformats.org/officeDocument/2006/relationships/hyperlink" Id="rId71" Target="https://doi.org/10.1073/pnas.2200300119" TargetMode="External" /><Relationship Type="http://schemas.openxmlformats.org/officeDocument/2006/relationships/hyperlink" Id="rId61" Target="https://doi.org/10.1093/pubmed/fdz154" TargetMode="External" /><Relationship Type="http://schemas.openxmlformats.org/officeDocument/2006/relationships/hyperlink" Id="rId67" Target="https://doi.org/10.1126/science.1091721" TargetMode="External" /><Relationship Type="http://schemas.openxmlformats.org/officeDocument/2006/relationships/hyperlink" Id="rId79" Target="https://doi.org/10.1126/science.aaq0216" TargetMode="External" /><Relationship Type="http://schemas.openxmlformats.org/officeDocument/2006/relationships/hyperlink" Id="rId47" Target="https://doi.org/10.3389/fsufs.2022.1001157" TargetMode="External" /><Relationship Type="http://schemas.openxmlformats.org/officeDocument/2006/relationships/hyperlink" Id="rId52" Target="https://doi.org/10.3389/fsufs.2023.1103060" TargetMode="External" /><Relationship Type="http://schemas.openxmlformats.org/officeDocument/2006/relationships/hyperlink" Id="rId50" Target="https://doi.org/10.3389/fsufs.2026.1799532" TargetMode="External" /><Relationship Type="http://schemas.openxmlformats.org/officeDocument/2006/relationships/hyperlink" Id="rId35" Target="https://doi.org/10.3390/g12010002" TargetMode="External" /><Relationship Type="http://schemas.openxmlformats.org/officeDocument/2006/relationships/hyperlink" Id="rId69" Target="https://github.com/acoppock/Green-Lab-SOP" TargetMode="External" /><Relationship Type="http://schemas.openxmlformats.org/officeDocument/2006/relationships/hyperlink" Id="rId81" Target="https://www.R-project.org/" TargetMode="External" /><Relationship Type="http://schemas.openxmlformats.org/officeDocument/2006/relationships/hyperlink" Id="rId77" Target="https://www.wri.org/research/food-service-playbook-promoting-sustainable-food-choices" TargetMode="External" /><Relationship Type="http://schemas.openxmlformats.org/officeDocument/2006/relationships/hyperlink" Id="rId90" Target="mailto:kenjin@greenerbydefault.org" TargetMode="External" /><Relationship Type="http://schemas.openxmlformats.org/officeDocument/2006/relationships/hyperlink" Id="rId92" Target="mailto:mmathur@stanford.edu" TargetMode="External" /><Relationship Type="http://schemas.openxmlformats.org/officeDocument/2006/relationships/hyperlink" Id="rId91" Target="mailto:natalia.lawrence@exeter.ac.uk" TargetMode="External" /><Relationship Type="http://schemas.openxmlformats.org/officeDocument/2006/relationships/hyperlink" Id="rId89" Target="mailto:setgree@stanford.ed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plant-based defaults to maximize uptake while minimizing reactance: A registered report</dc:title>
  <dc:creator/>
  <cp:keywords>defaults, choice architecture, plant-based, meat, reactance, registered report</cp:keywords>
  <dcterms:created xsi:type="dcterms:W3CDTF">2026-07-02T17:28:25Z</dcterms:created>
  <dcterms:modified xsi:type="dcterms:W3CDTF">2026-07-02T17:28:25Z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bstract">
    <vt:lpwstr>Plant-based defaults are among the most promising tools for reducing meat consumption at catered events, but the practitioners who implement them must choose a concrete form: which option is pre-selected, how opting out works, and what message, if any, accompanies the default. These design choices have not been compared head-to-head. We will conduct a five-arm randomized experiment (N = 3,750 US adults on Prolific) in which participants imagine a catered event and choose between a tofu bánh mì and a chicken bánh mì under one of five presentations: a neutral menu, a pre-selected plant-based option, a pre-checked opt-out checkbox, and a pre-selected option accompanied by either an inclusivity or an environmental message. Our two families of hypotheses concern uptake (each format must increase plant-based selection over control by a pre-registered minimum: 10 to 30 percentage points depending on arm) and reactance (dissatisfaction with the chosen meal must fall below pre-registered ceilings agreed upon with our practice partner, Greener by Default). [RESULTS TO BE FILLED IN AT STAGE 2.] Our findings will directly inform the sign-up forms that institutional food-service clients use to serve millions of meals. [TO BE FILLED IN: final implications sentence.]</vt:lpwstr>
  </property>
  <property fmtid="{D5CDD505-2E9C-101B-9397-08002B2CF9AE}" pid="3" name="affiliation">
    <vt:lpwstr/>
  </property>
  <property fmtid="{D5CDD505-2E9C-101B-9397-08002B2CF9AE}" pid="4" name="bibliography">
    <vt:lpwstr>./GBD-defaults.bib</vt:lpwstr>
  </property>
  <property fmtid="{D5CDD505-2E9C-101B-9397-08002B2CF9AE}" pid="5" name="date">
    <vt:lpwstr>2026-07-02</vt:lpwstr>
  </property>
  <property fmtid="{D5CDD505-2E9C-101B-9397-08002B2CF9AE}" pid="6" name="editor_options">
    <vt:lpwstr/>
  </property>
  <property fmtid="{D5CDD505-2E9C-101B-9397-08002B2CF9AE}" pid="7" name="journal">
    <vt:lpwstr>[TO BE FILLED IN]</vt:lpwstr>
  </property>
  <property fmtid="{D5CDD505-2E9C-101B-9397-08002B2CF9AE}" pid="8" name="linenumbers">
    <vt:lpwstr>False</vt:lpwstr>
  </property>
  <property fmtid="{D5CDD505-2E9C-101B-9397-08002B2CF9AE}" pid="9" name="numbersections">
    <vt:lpwstr>True</vt:lpwstr>
  </property>
  <property fmtid="{D5CDD505-2E9C-101B-9397-08002B2CF9AE}" pid="10" name="output">
    <vt:lpwstr/>
  </property>
</Properties>
</file>