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le"/>
      </w:pPr>
      <w:r>
        <w:t xml:space="preserve">Experiment A Analysis Plan</w:t>
      </w:r>
    </w:p>
    <w:p>
      <w:pPr>
        <w:pStyle w:val="Heading1"/>
      </w:pPr>
      <w:r>
        <w:t xml:space="preserve">Primary analysis sample</w:t>
      </w:r>
    </w:p>
    <w:p>
      <w:r>
        <w:t xml:space="preserve">The primary analysis sample includes all valid completed responses. Valid responses exclude test IDs, blank or invalid participant IDs, duplicate submissions, and participants who do not reach the choice screen. Comprehension status is not used to define the primary sample because comprehension may itself be affected by treatment assignment.</w:t>
      </w:r>
    </w:p>
    <w:p>
      <w:pPr>
        <w:pStyle w:val="Heading1"/>
      </w:pPr>
      <w:r>
        <w:t xml:space="preserve">Robustness samples</w:t>
      </w:r>
    </w:p>
    <w:p>
      <w:r>
        <w:t xml:space="preserve">We will report robustness analyses using comprehension-based sample restrictions.</w:t>
      </w:r>
    </w:p>
    <w:p>
      <w:pPr>
        <w:pStyle w:val="Heading1"/>
      </w:pPr>
      <w:r>
        <w:t xml:space="preserve">Primary choice analysis</w:t>
      </w:r>
    </w:p>
    <w:p>
      <w:r>
        <w:t xml:space="preserve">We will summarize conservative choice shares by condition. The main comparisons are:</w:t>
      </w:r>
    </w:p>
    <w:p>
      <w:r>
        <w:t xml:space="preserve">1. Condition 1 vs. Condition 2: whether the GoalQuest frame differs from the equivalent RewardQuest lottery frame.</w:t>
      </w:r>
    </w:p>
    <w:p>
      <w:r>
        <w:t xml:space="preserve">2. Condition 2 vs. Condition 3: whether hypothetical RewardQuest differs from incentivized RewardQuest.</w:t>
      </w:r>
    </w:p>
    <w:p>
      <w:r>
        <w:t xml:space="preserve">3. Condition 3 vs. Condition 4: whether pairwise conditional-probability information changes conservative choice relative to incentivized RewardQuest without pairwise information.</w:t>
      </w:r>
    </w:p>
    <w:p>
      <w:r>
        <w:t xml:space="preserve">We will report differences in conservative choice shares across these comparisons.</w:t>
      </w:r>
    </w:p>
    <w:p>
      <w:pPr>
        <w:pStyle w:val="Heading1"/>
      </w:pPr>
      <w:r>
        <w:t xml:space="preserve">Belief analysis</w:t>
      </w:r>
    </w:p>
    <w:p>
      <w:r>
        <w:t xml:space="preserve">We will summarize reported conditional-probability beliefs by condition and compare them to the Bayesian conditional probabilities implied by the menu. The main belief comparison is Condition 4 versus the other conditions, because Condition 4 is designed to make the relevant pairwise conditional probabilities more salient. We may also report belief errors relative to the Bayesian benchmark and robustness checks for unusual or boundary responses.</w:t>
      </w:r>
    </w:p>
    <w:p>
      <w:pPr>
        <w:pStyle w:val="Heading1"/>
      </w:pPr>
      <w:r>
        <w:t xml:space="preserve">Process analysis</w:t>
      </w:r>
    </w:p>
    <w:p>
      <w:r>
        <w:t xml:space="preserve">We will analyze decision-process measures as secondary outcomes. Participants first provide an open-ended response describing how they made their decision. We will use these responses to assess whether participants spontaneously mention pairwise comparison, direct comparison between options, or related reasoning. Participants then answer a matrix-style question indicating, with yes/no responses, whether they used particular comparisons or decision approaches. We will summarize these process measures by condition, with particular attention to whether reported pairwise comparison differs in Condition 4 relative to the other conditions.</w:t>
      </w:r>
    </w:p>
    <w:p>
      <w:pPr>
        <w:pStyle w:val="Heading1"/>
      </w:pPr>
      <w:r>
        <w:t xml:space="preserve">Missing data</w:t>
      </w:r>
    </w:p>
    <w:p>
      <w:r>
        <w:t xml:space="preserve">For the primary outcome, participants must reach the choice screen and make a valid choice. Participants missing a valid choice will be excluded from the primary choice analysis. For secondary outcomes, analyses will use all valid non-missing responses for the relevant outcome. We will report sample sizes for each analysis.</w:t>
      </w:r>
    </w:p>
    <w:sectPr>
      <w:pgSz w:w="12240" w:h="15840"/>
      <w:pgMar w:top="1440" w:right="1440" w:bottom="1440" w:left="1440" w:header="720" w:footer="720" w:gutter="0"/>
    </w:sectPr>
  </w:body>
</w:document>
</file>

<file path=word/styles.xml><?xml version="1.0" encoding="utf-8"?>
<w:styles xmlns:w="http://schemas.openxmlformats.org/wordprocessingml/2006/main">
  <w:style w:type="paragraph" w:default="1" w:styleId="Normal">
    <w:name w:val="Normal"/>
    <w:qFormat/>
    <w:rPr>
      <w:sz w:val="22"/>
      <w:szCs w:val="22"/>
    </w:rPr>
  </w:style>
  <w:style w:type="paragraph" w:styleId="Title">
    <w:name w:val="Title"/>
    <w:qFormat/>
    <w:rPr>
      <w:b/>
      <w:sz w:val="32"/>
      <w:szCs w:val="32"/>
    </w:rPr>
    <w:pPr>
      <w:spacing w:after="240"/>
    </w:pPr>
  </w:style>
  <w:style w:type="paragraph" w:styleId="Heading1">
    <w:name w:val="heading 1"/>
    <w:basedOn w:val="Normal"/>
    <w:qFormat/>
    <w:rPr>
      <w:b/>
      <w:sz w:val="26"/>
      <w:szCs w:val="26"/>
    </w:rPr>
    <w:pPr>
      <w:spacing w:before="240" w:after="120"/>
    </w:p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s>
</file>