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&#65279;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pStyle w:val="Title"/>
        <w:spacing w:after="120" w:line="276" w:lineRule="auto"/>
      </w:pPr>
      <w:r>
        <w:rPr>
          <w:b/>
          <w:bCs/>
          <w:i/>
          <w:iCs/>
        </w:rPr>
        <w:t xml:space="preserve">Experiment E Analysis Plan</w:t>
      </w:r>
    </w:p>
    <w:p>
      <w:pPr>
        <w:spacing w:after="120" w:line="276" w:lineRule="auto"/>
      </w:pPr>
      <w:r>
        <w:rPr>
          <w:b/>
          <w:bCs/>
          <w:i/>
          <w:iCs/>
          <w:sz w:val="26"/>
          <w:szCs w:val="26"/>
        </w:rPr>
        <w:t xml:space="preserve">Probability Representation and Homeowners-Insurance Choice</w:t>
      </w:r>
    </w:p>
    <w:p>
      <w:pPr>
        <w:pStyle w:val="Heading1"/>
        <w:spacing w:after="120" w:line="276" w:lineRule="auto"/>
      </w:pPr>
      <w:r>
        <w:rPr/>
        <w:t xml:space="preserve">Study Design and Analysis Sample</w:t>
      </w:r>
    </w:p>
    <w:p>
      <w:pPr>
        <w:spacing w:after="120" w:line="276" w:lineRule="auto"/>
      </w:pPr>
      <w:r>
        <w:rPr/>
        <w:t xml:space="preserve">Experiment E randomly assigns participants to a separate damage-outcome probabilities condition, an any-damage and conditional-severity condition, or an any-damage and severe-damage probabilities condition. The target analytic sample is 600 eligible completed participants, with planned allocation of approximately 250, 250, and 100 participants, respectively. Analyses will follow randomized assignment.</w:t>
      </w:r>
    </w:p>
    <w:p>
      <w:pPr>
        <w:pStyle w:val="Heading1"/>
        <w:spacing w:after="120" w:line="276" w:lineRule="auto"/>
      </w:pPr>
      <w:r>
        <w:rPr/>
        <w:t xml:space="preserve">Sample Frame and Eligibility</w:t>
      </w:r>
    </w:p>
    <w:p>
      <w:pPr>
        <w:ind w:left="420" w:hanging="240"/>
        <w:spacing w:after="60" w:line="264" w:lineRule="auto"/>
      </w:pPr>
      <w:r>
        <w:t xml:space="preserve">• Prolific participants ages 25 through 55.</w:t>
      </w:r>
    </w:p>
    <w:p>
      <w:pPr>
        <w:ind w:left="420" w:hanging="240"/>
        <w:spacing w:after="60" w:line="264" w:lineRule="auto"/>
      </w:pPr>
      <w:r>
        <w:t xml:space="preserve">• Current U.S. residents.</w:t>
      </w:r>
    </w:p>
    <w:p>
      <w:pPr>
        <w:ind w:left="420" w:hanging="240"/>
        <w:spacing w:after="60" w:line="264" w:lineRule="auto"/>
      </w:pPr>
      <w:r>
        <w:t xml:space="preserve">• Currently employed full-time or part-time.</w:t>
      </w:r>
    </w:p>
    <w:p>
      <w:pPr>
        <w:ind w:left="420" w:hanging="240"/>
        <w:spacing w:after="60" w:line="264" w:lineRule="auto"/>
      </w:pPr>
      <w:r>
        <w:t xml:space="preserve">• At least 20 completed Prolific studies.</w:t>
      </w:r>
    </w:p>
    <w:p>
      <w:pPr>
        <w:ind w:left="420" w:hanging="240"/>
        <w:spacing w:after="60" w:line="264" w:lineRule="auto"/>
      </w:pPr>
      <w:r>
        <w:t xml:space="preserve">• Prolific approval rate of at least 98%.</w:t>
      </w:r>
    </w:p>
    <w:p>
      <w:pPr>
        <w:pStyle w:val="Heading1"/>
        <w:spacing w:after="120" w:line="276" w:lineRule="auto"/>
      </w:pPr>
      <w:r>
        <w:rPr/>
        <w:t xml:space="preserve">Sample Exclusions</w:t>
      </w:r>
    </w:p>
    <w:p>
      <w:pPr>
        <w:spacing w:after="120" w:line="276" w:lineRule="auto"/>
      </w:pPr>
      <w:r>
        <w:rPr/>
        <w:t xml:space="preserve">We will apply the following rules without reference to treatment assignment or outcomes:</w:t>
      </w:r>
    </w:p>
    <w:p>
      <w:pPr>
        <w:ind w:left="420" w:hanging="240"/>
        <w:spacing w:after="60" w:line="264" w:lineRule="auto"/>
      </w:pPr>
      <w:r>
        <w:t xml:space="preserve">• Exclude bots identified by Prolific.</w:t>
      </w:r>
    </w:p>
    <w:p>
      <w:pPr>
        <w:ind w:left="420" w:hanging="240"/>
        <w:spacing w:after="60" w:line="264" w:lineRule="auto"/>
      </w:pPr>
      <w:r>
        <w:t xml:space="preserve">• Exclude respondents who complete the survey in less than 2 minutes.</w:t>
      </w:r>
    </w:p>
    <w:p>
      <w:pPr>
        <w:ind w:left="420" w:hanging="240"/>
        <w:spacing w:after="60" w:line="264" w:lineRule="auto"/>
      </w:pPr>
      <w:r>
        <w:t xml:space="preserve">• Exclude respondents with a Qualtrics reCAPTCHA human score below 0.5.</w:t>
      </w:r>
    </w:p>
    <w:p>
      <w:pPr>
        <w:ind w:left="420" w:hanging="240"/>
        <w:spacing w:after="60" w:line="264" w:lineRule="auto"/>
      </w:pPr>
      <w:r>
        <w:t xml:space="preserve">• Exclude duplicate entries identified by Qualtrics.</w:t>
      </w:r>
    </w:p>
    <w:p>
      <w:pPr>
        <w:ind w:left="420" w:hanging="240"/>
        <w:spacing w:after="60" w:line="264" w:lineRule="auto"/>
      </w:pPr>
      <w:r>
        <w:t xml:space="preserve">• Exclude respondents below a 98% Prolific approval rate or with fewer than 20 completed Prolific studies, and respondents outside the registered age, residence, or employment frame, if any enter despite prescreening.</w:t>
      </w:r>
    </w:p>
    <w:p>
      <w:pPr>
        <w:spacing w:after="120" w:line="276" w:lineRule="auto"/>
      </w:pPr>
      <w:r>
        <w:rPr/>
        <w:t xml:space="preserve">All otherwise eligible participants will be included regardless of whether they answer the insurance-comprehension question correctly.</w:t>
      </w:r>
    </w:p>
    <w:p>
      <w:pPr>
        <w:pStyle w:val="Heading1"/>
        <w:spacing w:after="120" w:line="276" w:lineRule="auto"/>
      </w:pPr>
      <w:r>
        <w:rPr/>
        <w:t xml:space="preserve">Outcomes and Coding</w:t>
      </w:r>
    </w:p>
    <w:p>
      <w:pPr>
        <w:spacing w:after="120" w:line="276" w:lineRule="auto"/>
      </w:pPr>
      <w:r>
        <w:rPr/>
        <w:t xml:space="preserve">Overinsurance outcome. An indicator for choosing the Medium or Premium Plan rather than the Basic Plan. The directional prediction is that overinsurance is higher in the any-damage and conditional-severity condition than in the separate damage-outcome probabilities condition.</w:t>
      </w:r>
    </w:p>
    <w:p>
      <w:pPr>
        <w:spacing w:after="120" w:line="276" w:lineRule="auto"/>
      </w:pPr>
      <w:r>
        <w:rPr/>
        <w:t xml:space="preserve">Other choice outcomes. The complete Basic/Medium/Premium choice distribution and ordinal plan generosity coded Basic = 1, Medium = 2, Premium = 3.</w:t>
      </w:r>
    </w:p>
    <w:p>
      <w:pPr>
        <w:spacing w:after="120" w:line="276" w:lineRule="auto"/>
      </w:pPr>
      <w:r>
        <w:rPr/>
        <w:t xml:space="preserve">Probability estimates. The any-damage probability estimate is the reported number from 0 to 100 expected to experience any damage among 100 comparable homes; the objective benchmark is 4. The conditional severe-damage estimate is the reported number from 0 to 100 expected to experience severe damage among 100 homes experiencing any damage; the objective benchmark is 75. We will examine the estimates and their accuracy relative to these benchmarks.</w:t>
      </w:r>
    </w:p>
    <w:p>
      <w:pPr>
        <w:spacing w:after="120" w:line="276" w:lineRule="auto"/>
      </w:pPr>
      <w:r>
        <w:rPr/>
        <w:t xml:space="preserve">Other measures. Initial insurance-comprehension accuracy, the four-category liquidity measure, and gender obtained from linked Prolific demographic data.</w:t>
      </w:r>
    </w:p>
    <w:p>
      <w:pPr>
        <w:pStyle w:val="Heading1"/>
        <w:spacing w:after="120" w:line="276" w:lineRule="auto"/>
      </w:pPr>
      <w:r>
        <w:rPr/>
        <w:t xml:space="preserve">Choice Analysis</w:t>
      </w:r>
    </w:p>
    <w:p>
      <w:pPr>
        <w:spacing w:after="120" w:line="276" w:lineRule="auto"/>
      </w:pPr>
      <w:r>
        <w:rPr/>
        <w:t xml:space="preserve">The central comparison is overinsurance in the any-damage and conditional-severity condition relative to the separate damage-outcome probabilities condition. Overinsurance is defined as choosing the Medium or Premium Plan rather than the Basic Plan.</w:t>
      </w:r>
    </w:p>
    <w:p>
      <w:pPr>
        <w:pStyle w:val="Heading1"/>
        <w:spacing w:after="120" w:line="276" w:lineRule="auto"/>
      </w:pPr>
      <w:r>
        <w:rPr/>
        <w:t xml:space="preserve">Other Condition Comparisons</w:t>
      </w:r>
    </w:p>
    <w:p>
      <w:pPr>
        <w:spacing w:after="120" w:line="276" w:lineRule="auto"/>
      </w:pPr>
      <w:r>
        <w:rPr/>
        <w:t xml:space="preserve">We will also examine the full Basic/Medium/Premium distribution and ordinal plan generosity across conditions. Comparisons involving the any-damage and severe-damage probabilities condition will be treated as secondary and diagnostic. We do not assign a confirmatory directional ranking to that condition.</w:t>
      </w:r>
    </w:p>
    <w:p>
      <w:pPr>
        <w:pStyle w:val="Heading1"/>
        <w:spacing w:after="120" w:line="276" w:lineRule="auto"/>
      </w:pPr>
      <w:r>
        <w:rPr/>
        <w:t xml:space="preserve">Probability-Estimate Analysis</w:t>
      </w:r>
    </w:p>
    <w:p>
      <w:pPr>
        <w:spacing w:after="120" w:line="276" w:lineRule="auto"/>
      </w:pPr>
      <w:r>
        <w:rPr/>
        <w:t xml:space="preserve">We will examine whether the information frames change the any-damage probability estimate, the conditional severe-damage estimate, and the accuracy of those estimates relative to their objective benchmarks.</w:t>
      </w:r>
    </w:p>
    <w:p>
      <w:pPr>
        <w:spacing w:after="120" w:line="276" w:lineRule="auto"/>
      </w:pPr>
      <w:r>
        <w:rPr/>
        <w:t xml:space="preserve">We will also examine whether the two probability estimates predict plan choice and whether their associations with choice differ across experimental conditions.</w:t>
      </w:r>
    </w:p>
    <w:p>
      <w:pPr>
        <w:pStyle w:val="Heading1"/>
        <w:spacing w:after="120" w:line="276" w:lineRule="auto"/>
      </w:pPr>
      <w:r>
        <w:rPr/>
        <w:t xml:space="preserve">Exploratory Heterogeneity</w:t>
      </w:r>
    </w:p>
    <w:p>
      <w:pPr>
        <w:spacing w:after="120" w:line="276" w:lineRule="auto"/>
      </w:pPr>
      <w:r>
        <w:rPr/>
        <w:t xml:space="preserve">We may examine heterogeneity, including possible differences by gender and liquidity. Gender is obtained from linked Prolific demographics rather than elicited in the survey. These analyses will be exploratory.</w:t>
      </w:r>
    </w:p>
    <w:p>
      <w:pPr>
        <w:pStyle w:val="Heading1"/>
        <w:spacing w:after="120" w:line="276" w:lineRule="auto"/>
      </w:pPr>
      <w:r>
        <w:rPr/>
        <w:t xml:space="preserve">Comprehension Checks</w:t>
      </w:r>
    </w:p>
    <w:p>
      <w:pPr>
        <w:spacing w:after="120" w:line="276" w:lineRule="auto"/>
      </w:pPr>
      <w:r>
        <w:rPr/>
        <w:t xml:space="preserve">Comprehension-check performance will not be used to restrict the analysis sample. All otherwise eligible participants will be included, including participants who answer the insurance-comprehension question incorrectly.</w:t>
      </w:r>
    </w:p>
    <w:sectPr>
      <w:pgSz w:w="12240" w:h="15840"/>
      <w:pgMar w:top="1080" w:right="1080" w:bottom="1080" w:left="1080" w:header="540" w:footer="540" w:gutter="0"/>
    </w:sectPr>
  </w:body>
</w:document>
</file>

<file path=word/styles.xml><?xml version="1.0" encoding="utf-8"?>
<w:styles xmlns:w="http://schemas.openxmlformats.org/wordprocessingml/2006/main">
  <w:style w:type="paragraph" w:default="1" w:styleId="Normal">
    <w:name w:val="Normal"/>
    <w:qFormat/>
    <w:rPr>
      <w:sz w:val="22"/>
      <w:szCs w:val="22"/>
    </w:rPr>
  </w:style>
  <w:style w:type="paragraph" w:styleId="Title">
    <w:name w:val="Title"/>
    <w:qFormat/>
    <w:rPr>
      <w:b/>
      <w:sz w:val="32"/>
      <w:szCs w:val="32"/>
    </w:rPr>
    <w:pPr>
      <w:spacing w:after="240"/>
    </w:pPr>
  </w:style>
  <w:style w:type="paragraph" w:styleId="Heading1">
    <w:name w:val="heading 1"/>
    <w:basedOn w:val="Normal"/>
    <w:qFormat/>
    <w:rPr>
      <w:b/>
      <w:sz w:val="26"/>
      <w:szCs w:val="26"/>
    </w:rPr>
    <w:pPr>
      <w:spacing w:before="240" w:after="120"/>
    </w:pPr>
  </w:style>
</w:styles>
</file>

<file path=word/_rels/document.xml.rels>&#65279;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