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B923BC" w14:textId="77777777" w:rsidR="007F4B3B" w:rsidRPr="00266204" w:rsidRDefault="00000000" w:rsidP="00D22BD7">
      <w:pPr>
        <w:spacing w:before="480" w:after="120" w:line="360" w:lineRule="auto"/>
        <w:jc w:val="center"/>
        <w:rPr>
          <w:rFonts w:ascii="Times New Roman" w:hAnsi="Times New Roman" w:cs="Times New Roman"/>
          <w:lang w:val="en-US"/>
        </w:rPr>
      </w:pPr>
      <w:r w:rsidRPr="00266204">
        <w:rPr>
          <w:rFonts w:ascii="Times New Roman" w:hAnsi="Times New Roman" w:cs="Times New Roman"/>
          <w:b/>
          <w:bCs/>
          <w:color w:val="1F3864"/>
          <w:sz w:val="52"/>
          <w:szCs w:val="52"/>
          <w:lang w:val="en-US"/>
        </w:rPr>
        <w:t>Russian Disinformation in Kenya</w:t>
      </w:r>
    </w:p>
    <w:p w14:paraId="6690F3D1" w14:textId="22BFB9C7" w:rsidR="00D22BD7" w:rsidRPr="00266204" w:rsidRDefault="00000000" w:rsidP="00D22BD7">
      <w:pPr>
        <w:spacing w:after="80" w:line="360" w:lineRule="auto"/>
        <w:jc w:val="center"/>
        <w:rPr>
          <w:rFonts w:ascii="Times New Roman" w:hAnsi="Times New Roman" w:cs="Times New Roman"/>
          <w:lang w:val="en-US"/>
        </w:rPr>
      </w:pPr>
      <w:r w:rsidRPr="00266204">
        <w:rPr>
          <w:rFonts w:ascii="Times New Roman" w:hAnsi="Times New Roman" w:cs="Times New Roman"/>
          <w:color w:val="2E5FA3"/>
          <w:sz w:val="36"/>
          <w:szCs w:val="36"/>
          <w:lang w:val="en-US"/>
        </w:rPr>
        <w:t>Pre-Analysis Plan</w:t>
      </w:r>
      <w:r w:rsidR="00D22BD7" w:rsidRPr="00266204">
        <w:rPr>
          <w:rFonts w:ascii="Times New Roman" w:hAnsi="Times New Roman" w:cs="Times New Roman"/>
          <w:color w:val="2E5FA3"/>
          <w:sz w:val="36"/>
          <w:szCs w:val="36"/>
          <w:lang w:val="en-US"/>
        </w:rPr>
        <w:t xml:space="preserve"> </w:t>
      </w:r>
    </w:p>
    <w:p w14:paraId="629CB39F" w14:textId="3046DA51" w:rsidR="007F4B3B" w:rsidRPr="00D22BD7" w:rsidRDefault="00D22BD7" w:rsidP="00E64204">
      <w:pPr>
        <w:spacing w:after="80" w:line="360" w:lineRule="auto"/>
        <w:jc w:val="center"/>
        <w:rPr>
          <w:rFonts w:ascii="Times New Roman" w:hAnsi="Times New Roman" w:cs="Times New Roman"/>
        </w:rPr>
      </w:pPr>
      <w:r>
        <w:rPr>
          <w:rFonts w:ascii="Times New Roman" w:hAnsi="Times New Roman" w:cs="Times New Roman"/>
          <w:color w:val="666666"/>
          <w:sz w:val="22"/>
          <w:szCs w:val="22"/>
        </w:rPr>
        <w:t>August</w:t>
      </w:r>
      <w:r w:rsidRPr="00D22BD7">
        <w:rPr>
          <w:rFonts w:ascii="Times New Roman" w:hAnsi="Times New Roman" w:cs="Times New Roman"/>
          <w:color w:val="666666"/>
          <w:sz w:val="22"/>
          <w:szCs w:val="22"/>
        </w:rPr>
        <w:t xml:space="preserve"> 2026</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52"/>
        <w:gridCol w:w="2674"/>
        <w:gridCol w:w="2712"/>
      </w:tblGrid>
      <w:tr w:rsidR="003C7724" w:rsidRPr="00D22BD7" w14:paraId="5AFD23A8" w14:textId="77777777" w:rsidTr="00E64204">
        <w:trPr>
          <w:jc w:val="center"/>
        </w:trPr>
        <w:tc>
          <w:tcPr>
            <w:tcW w:w="2552" w:type="dxa"/>
            <w:tcBorders>
              <w:top w:val="none" w:sz="0" w:space="0" w:color="FFFFFF"/>
              <w:left w:val="none" w:sz="0" w:space="0" w:color="FFFFFF"/>
              <w:bottom w:val="none" w:sz="0" w:space="0" w:color="FFFFFF"/>
              <w:right w:val="none" w:sz="0" w:space="0" w:color="FFFFFF"/>
            </w:tcBorders>
          </w:tcPr>
          <w:p w14:paraId="4FB9CB4D" w14:textId="77777777" w:rsidR="003C7724" w:rsidRPr="00266204" w:rsidRDefault="003C7724" w:rsidP="00D22BD7">
            <w:pPr>
              <w:spacing w:line="360" w:lineRule="auto"/>
              <w:jc w:val="center"/>
              <w:rPr>
                <w:rFonts w:ascii="Times New Roman" w:hAnsi="Times New Roman" w:cs="Times New Roman"/>
                <w:b/>
                <w:bCs/>
                <w:lang w:val="en-US"/>
              </w:rPr>
            </w:pPr>
            <w:r w:rsidRPr="00266204">
              <w:rPr>
                <w:rFonts w:ascii="Times New Roman" w:hAnsi="Times New Roman" w:cs="Times New Roman"/>
                <w:b/>
                <w:bCs/>
                <w:lang w:val="en-US"/>
              </w:rPr>
              <w:t>Anastasiia Arbuzova</w:t>
            </w:r>
          </w:p>
          <w:p w14:paraId="66BDC3A9" w14:textId="77777777" w:rsidR="003C7724" w:rsidRPr="00266204" w:rsidRDefault="003C7724" w:rsidP="00D22BD7">
            <w:pPr>
              <w:spacing w:line="360" w:lineRule="auto"/>
              <w:jc w:val="center"/>
              <w:rPr>
                <w:rFonts w:ascii="Times New Roman" w:hAnsi="Times New Roman" w:cs="Times New Roman"/>
                <w:sz w:val="20"/>
                <w:szCs w:val="20"/>
                <w:lang w:val="en-US"/>
              </w:rPr>
            </w:pPr>
          </w:p>
          <w:p w14:paraId="51BBEB17" w14:textId="066EE116" w:rsidR="003C7724" w:rsidRPr="00266204" w:rsidRDefault="003C7724" w:rsidP="00D22BD7">
            <w:pPr>
              <w:spacing w:line="360" w:lineRule="auto"/>
              <w:jc w:val="center"/>
              <w:rPr>
                <w:rFonts w:ascii="Times New Roman" w:hAnsi="Times New Roman" w:cs="Times New Roman"/>
                <w:sz w:val="20"/>
                <w:szCs w:val="20"/>
                <w:lang w:val="en-US"/>
              </w:rPr>
            </w:pPr>
            <w:r w:rsidRPr="00266204">
              <w:rPr>
                <w:rFonts w:ascii="Times New Roman" w:hAnsi="Times New Roman" w:cs="Times New Roman"/>
                <w:sz w:val="20"/>
                <w:szCs w:val="20"/>
                <w:lang w:val="en-US"/>
              </w:rPr>
              <w:t>Stockholm Institute of Transition Economics</w:t>
            </w:r>
          </w:p>
          <w:p w14:paraId="42F10246" w14:textId="2805BBC2" w:rsidR="003C7724" w:rsidRPr="00D22BD7" w:rsidRDefault="003C7724" w:rsidP="00D22BD7">
            <w:pPr>
              <w:spacing w:line="360" w:lineRule="auto"/>
              <w:jc w:val="center"/>
              <w:rPr>
                <w:rFonts w:ascii="Times New Roman" w:hAnsi="Times New Roman" w:cs="Times New Roman"/>
                <w:sz w:val="22"/>
                <w:szCs w:val="22"/>
              </w:rPr>
            </w:pPr>
            <w:r w:rsidRPr="00D22BD7">
              <w:rPr>
                <w:rFonts w:ascii="Times New Roman" w:hAnsi="Times New Roman" w:cs="Times New Roman"/>
                <w:sz w:val="20"/>
                <w:szCs w:val="20"/>
              </w:rPr>
              <w:t>Kiel Institute</w:t>
            </w:r>
          </w:p>
        </w:tc>
        <w:tc>
          <w:tcPr>
            <w:tcW w:w="2674" w:type="dxa"/>
            <w:tcBorders>
              <w:top w:val="none" w:sz="0" w:space="0" w:color="FFFFFF"/>
              <w:left w:val="none" w:sz="0" w:space="0" w:color="FFFFFF"/>
              <w:bottom w:val="none" w:sz="0" w:space="0" w:color="FFFFFF"/>
              <w:right w:val="none" w:sz="0" w:space="0" w:color="FFFFFF"/>
            </w:tcBorders>
          </w:tcPr>
          <w:p w14:paraId="64E1D498" w14:textId="77777777" w:rsidR="003C7724" w:rsidRPr="00266204" w:rsidRDefault="003C7724" w:rsidP="00D22BD7">
            <w:pPr>
              <w:spacing w:line="360" w:lineRule="auto"/>
              <w:jc w:val="center"/>
              <w:rPr>
                <w:rFonts w:ascii="Times New Roman" w:hAnsi="Times New Roman" w:cs="Times New Roman"/>
                <w:sz w:val="20"/>
                <w:szCs w:val="20"/>
                <w:lang w:val="en-US"/>
              </w:rPr>
            </w:pPr>
            <w:r w:rsidRPr="00266204">
              <w:rPr>
                <w:rFonts w:ascii="Times New Roman" w:hAnsi="Times New Roman" w:cs="Times New Roman"/>
                <w:b/>
                <w:bCs/>
                <w:lang w:val="en-US"/>
              </w:rPr>
              <w:t>Anders Olofsgård</w:t>
            </w:r>
            <w:r w:rsidRPr="00266204">
              <w:rPr>
                <w:rFonts w:ascii="Times New Roman" w:hAnsi="Times New Roman" w:cs="Times New Roman"/>
                <w:sz w:val="20"/>
                <w:szCs w:val="20"/>
                <w:lang w:val="en-US"/>
              </w:rPr>
              <w:br/>
              <w:t xml:space="preserve"> </w:t>
            </w:r>
          </w:p>
          <w:p w14:paraId="5A38FA28" w14:textId="19080CDA" w:rsidR="003C7724" w:rsidRPr="00266204" w:rsidRDefault="003C7724" w:rsidP="00D22BD7">
            <w:pPr>
              <w:spacing w:line="360" w:lineRule="auto"/>
              <w:jc w:val="center"/>
              <w:rPr>
                <w:rFonts w:ascii="Times New Roman" w:hAnsi="Times New Roman" w:cs="Times New Roman"/>
                <w:sz w:val="20"/>
                <w:szCs w:val="20"/>
                <w:lang w:val="en-US"/>
              </w:rPr>
            </w:pPr>
            <w:r w:rsidRPr="00266204">
              <w:rPr>
                <w:rFonts w:ascii="Times New Roman" w:hAnsi="Times New Roman" w:cs="Times New Roman"/>
                <w:sz w:val="20"/>
                <w:szCs w:val="20"/>
                <w:lang w:val="en-US"/>
              </w:rPr>
              <w:t>Stockholm Institute of Transition Economics</w:t>
            </w:r>
          </w:p>
          <w:p w14:paraId="1528D48A" w14:textId="0A77965F" w:rsidR="003C7724" w:rsidRPr="00D22BD7" w:rsidRDefault="003C7724" w:rsidP="00D22BD7">
            <w:pPr>
              <w:spacing w:line="360" w:lineRule="auto"/>
              <w:jc w:val="center"/>
              <w:rPr>
                <w:rFonts w:ascii="Times New Roman" w:hAnsi="Times New Roman" w:cs="Times New Roman"/>
              </w:rPr>
            </w:pPr>
            <w:r w:rsidRPr="00D22BD7">
              <w:rPr>
                <w:rFonts w:ascii="Times New Roman" w:hAnsi="Times New Roman" w:cs="Times New Roman"/>
                <w:sz w:val="20"/>
                <w:szCs w:val="20"/>
              </w:rPr>
              <w:t>Stockholm School of Economics</w:t>
            </w:r>
          </w:p>
        </w:tc>
        <w:tc>
          <w:tcPr>
            <w:tcW w:w="2712" w:type="dxa"/>
            <w:tcBorders>
              <w:top w:val="none" w:sz="0" w:space="0" w:color="FFFFFF"/>
              <w:left w:val="none" w:sz="0" w:space="0" w:color="FFFFFF"/>
              <w:bottom w:val="none" w:sz="0" w:space="0" w:color="FFFFFF"/>
              <w:right w:val="none" w:sz="0" w:space="0" w:color="FFFFFF"/>
            </w:tcBorders>
          </w:tcPr>
          <w:p w14:paraId="5F603817" w14:textId="77777777" w:rsidR="003C7724" w:rsidRPr="00266204" w:rsidRDefault="003C7724" w:rsidP="00D22BD7">
            <w:pPr>
              <w:spacing w:line="360" w:lineRule="auto"/>
              <w:jc w:val="center"/>
              <w:rPr>
                <w:rFonts w:ascii="Times New Roman" w:hAnsi="Times New Roman" w:cs="Times New Roman"/>
                <w:sz w:val="20"/>
                <w:szCs w:val="20"/>
                <w:lang w:val="en-US"/>
              </w:rPr>
            </w:pPr>
            <w:r w:rsidRPr="00266204">
              <w:rPr>
                <w:rFonts w:ascii="Times New Roman" w:hAnsi="Times New Roman" w:cs="Times New Roman"/>
                <w:b/>
                <w:bCs/>
                <w:lang w:val="en-US"/>
              </w:rPr>
              <w:t>Maria Perrotta Berlin</w:t>
            </w:r>
            <w:r w:rsidRPr="00266204">
              <w:rPr>
                <w:rFonts w:ascii="Times New Roman" w:hAnsi="Times New Roman" w:cs="Times New Roman"/>
                <w:sz w:val="20"/>
                <w:szCs w:val="20"/>
                <w:lang w:val="en-US"/>
              </w:rPr>
              <w:br/>
            </w:r>
          </w:p>
          <w:p w14:paraId="464199AD" w14:textId="46A5BD69" w:rsidR="003C7724" w:rsidRPr="00266204" w:rsidRDefault="003C7724" w:rsidP="00D22BD7">
            <w:pPr>
              <w:spacing w:line="360" w:lineRule="auto"/>
              <w:jc w:val="center"/>
              <w:rPr>
                <w:rFonts w:ascii="Times New Roman" w:hAnsi="Times New Roman" w:cs="Times New Roman"/>
                <w:sz w:val="20"/>
                <w:szCs w:val="20"/>
                <w:lang w:val="en-US"/>
              </w:rPr>
            </w:pPr>
            <w:r w:rsidRPr="00266204">
              <w:rPr>
                <w:rFonts w:ascii="Times New Roman" w:hAnsi="Times New Roman" w:cs="Times New Roman"/>
                <w:sz w:val="20"/>
                <w:szCs w:val="20"/>
                <w:lang w:val="en-US"/>
              </w:rPr>
              <w:t xml:space="preserve"> Stockholm Institute of Transition Economics</w:t>
            </w:r>
          </w:p>
          <w:p w14:paraId="5A6E77F7" w14:textId="5DB16114" w:rsidR="003C7724" w:rsidRPr="00D22BD7" w:rsidRDefault="003C7724" w:rsidP="00D22BD7">
            <w:pPr>
              <w:spacing w:line="360" w:lineRule="auto"/>
              <w:jc w:val="center"/>
              <w:rPr>
                <w:rFonts w:ascii="Times New Roman" w:hAnsi="Times New Roman" w:cs="Times New Roman"/>
              </w:rPr>
            </w:pPr>
            <w:r w:rsidRPr="00D22BD7">
              <w:rPr>
                <w:rFonts w:ascii="Times New Roman" w:hAnsi="Times New Roman" w:cs="Times New Roman"/>
                <w:sz w:val="20"/>
                <w:szCs w:val="20"/>
              </w:rPr>
              <w:t>Stockholm School of Economic</w:t>
            </w:r>
            <w:r w:rsidRPr="00D22BD7">
              <w:rPr>
                <w:rFonts w:ascii="Times New Roman" w:hAnsi="Times New Roman" w:cs="Times New Roman"/>
              </w:rPr>
              <w:t>s</w:t>
            </w:r>
          </w:p>
        </w:tc>
      </w:tr>
    </w:tbl>
    <w:p w14:paraId="58C52476" w14:textId="77777777" w:rsidR="007F4B3B" w:rsidRPr="00D22BD7" w:rsidRDefault="00000000" w:rsidP="00D22BD7">
      <w:pPr>
        <w:pStyle w:val="Rubrik1"/>
        <w:spacing w:line="360" w:lineRule="auto"/>
        <w:rPr>
          <w:rFonts w:ascii="Times New Roman" w:hAnsi="Times New Roman" w:cs="Times New Roman"/>
        </w:rPr>
      </w:pPr>
      <w:r w:rsidRPr="00D22BD7">
        <w:rPr>
          <w:rFonts w:ascii="Times New Roman" w:hAnsi="Times New Roman" w:cs="Times New Roman"/>
        </w:rPr>
        <w:t>Abstract</w:t>
      </w:r>
    </w:p>
    <w:p w14:paraId="1E149E82" w14:textId="74A9A9D6" w:rsidR="007F4B3B"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This pre-analysis plan specifies the hypotheses, research design, and analysis strategy for a large-scale survey experiment examining susceptibility to Russian disinformation among young urban Kenyans. The study fields a cross-sectional survey with an embedded experiment among approximately 5,000 individuals aged 18–40 in Nairobi and other urban centres across Kenya. Respondents are asked to read two social media posts, one questioning the motive behind western companies selling gene-modified crops in Kenya, and the second mimicking the language used in posts trying to attract Kenyans to sign up for work in the Russian military. To encourage respondents to read the messages carefully they are asked to rate the posts based on spelling and grammar. Respondents are then randomized into a control group and eight treatment arms receiving variations of disinformation</w:t>
      </w:r>
      <w:r w:rsidR="00F5425D" w:rsidRPr="00266204">
        <w:rPr>
          <w:rFonts w:ascii="Times New Roman" w:hAnsi="Times New Roman" w:cs="Times New Roman"/>
          <w:lang w:val="en-US"/>
        </w:rPr>
        <w:t>-</w:t>
      </w:r>
      <w:r w:rsidRPr="00266204">
        <w:rPr>
          <w:rFonts w:ascii="Times New Roman" w:hAnsi="Times New Roman" w:cs="Times New Roman"/>
          <w:lang w:val="en-US"/>
        </w:rPr>
        <w:t xml:space="preserve">debunking warnings. Warnings differ across three dimensions: the source of the disinformation warning (European Union vs. a local independent fact-checking organization), whether the spread of disinformation is attributed explicitly to Russia or to a generic foreign power, and the medium of the message (radio ad versus a social media post). The key outcome variable is social media sharing intention, but we also look at perceived message credibility, and opinions on global powers. The study addresses a critical gap in the literature by providing the first randomized experimental evidence on disinformation resistance in East Africa against Russian influence campaigns and war recruitment. </w:t>
      </w:r>
    </w:p>
    <w:p w14:paraId="035F5F69" w14:textId="56E53A18" w:rsidR="000A481D" w:rsidRPr="00266204" w:rsidRDefault="000A481D" w:rsidP="00D22BD7">
      <w:pPr>
        <w:spacing w:after="160" w:line="360" w:lineRule="auto"/>
        <w:rPr>
          <w:rFonts w:ascii="Times New Roman" w:hAnsi="Times New Roman" w:cs="Times New Roman"/>
          <w:lang w:val="en-US"/>
        </w:rPr>
      </w:pPr>
      <w:r w:rsidRPr="000A481D">
        <w:rPr>
          <w:rFonts w:ascii="Times New Roman" w:hAnsi="Times New Roman" w:cs="Times New Roman"/>
          <w:i/>
          <w:lang w:val="en-US"/>
        </w:rPr>
        <w:lastRenderedPageBreak/>
        <w:t>This plan will be registered in the AEA RCT Registry (</w:t>
      </w:r>
      <w:hyperlink r:id="rId8" w:history="1">
        <w:r w:rsidRPr="000A481D">
          <w:rPr>
            <w:rStyle w:val="Hyperlnk"/>
            <w:rFonts w:ascii="Times New Roman" w:hAnsi="Times New Roman" w:cs="Times New Roman"/>
            <w:i/>
            <w:lang w:val="en-US"/>
          </w:rPr>
          <w:t>socialscienceregistry.org</w:t>
        </w:r>
      </w:hyperlink>
      <w:r w:rsidR="008100F2" w:rsidRPr="00266204">
        <w:rPr>
          <w:lang w:val="en-US"/>
        </w:rPr>
        <w:t>)</w:t>
      </w:r>
      <w:r w:rsidRPr="00266204">
        <w:rPr>
          <w:rFonts w:ascii="-webkit-standard" w:hAnsi="-webkit-standard"/>
          <w:color w:val="000000"/>
          <w:sz w:val="27"/>
          <w:szCs w:val="27"/>
          <w:lang w:val="en-US"/>
        </w:rPr>
        <w:t xml:space="preserve"> </w:t>
      </w:r>
      <w:r w:rsidRPr="00266204">
        <w:rPr>
          <w:rFonts w:ascii="Times New Roman" w:hAnsi="Times New Roman" w:cs="Times New Roman"/>
          <w:i/>
          <w:lang w:val="en-US"/>
        </w:rPr>
        <w:t xml:space="preserve">before data collection is completed and before any data are delivered to or accessed by the research team, following J-PAL and AEA trial registration guidance. </w:t>
      </w:r>
      <w:r w:rsidR="005B46E3" w:rsidRPr="005B46E3">
        <w:rPr>
          <w:rFonts w:ascii="Times New Roman" w:hAnsi="Times New Roman" w:cs="Times New Roman"/>
          <w:b/>
          <w:bCs/>
          <w:i/>
        </w:rPr>
        <w:t>Ethics review pending.</w:t>
      </w:r>
      <w:r w:rsidR="005B46E3" w:rsidRPr="005B46E3">
        <w:rPr>
          <w:rFonts w:ascii="Times New Roman" w:hAnsi="Times New Roman" w:cs="Times New Roman"/>
          <w:i/>
        </w:rPr>
        <w:t> The study was submitted to the Swedish Ethical Review Authority (Etikprövningsmyndigheten) on 29 July 2026 (Grundansökan, application no. 86318).</w:t>
      </w:r>
    </w:p>
    <w:p w14:paraId="18119A53" w14:textId="77777777" w:rsidR="007F4B3B" w:rsidRPr="00266204" w:rsidRDefault="007F4B3B" w:rsidP="00D22BD7">
      <w:pPr>
        <w:spacing w:line="360" w:lineRule="auto"/>
        <w:rPr>
          <w:rFonts w:ascii="Times New Roman" w:hAnsi="Times New Roman" w:cs="Times New Roman"/>
          <w:lang w:val="en-US"/>
        </w:rPr>
      </w:pPr>
    </w:p>
    <w:p w14:paraId="765A255C" w14:textId="77777777" w:rsidR="007F4B3B" w:rsidRPr="00266204" w:rsidRDefault="00000000" w:rsidP="00D22BD7">
      <w:pPr>
        <w:pStyle w:val="Rubrik1"/>
        <w:spacing w:line="360" w:lineRule="auto"/>
        <w:rPr>
          <w:rFonts w:ascii="Times New Roman" w:hAnsi="Times New Roman" w:cs="Times New Roman"/>
          <w:lang w:val="en-US"/>
        </w:rPr>
      </w:pPr>
      <w:r w:rsidRPr="00266204">
        <w:rPr>
          <w:rFonts w:ascii="Times New Roman" w:hAnsi="Times New Roman" w:cs="Times New Roman"/>
          <w:lang w:val="en-US"/>
        </w:rPr>
        <w:t>1. Introduction</w:t>
      </w:r>
    </w:p>
    <w:p w14:paraId="2C32632C" w14:textId="748C2A7F" w:rsidR="00E03358"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Political disinformation has emerged as one of the central challenges to democratic governance globally. A growing body of experimental evidence demonstrates that exposure to false narratives distorts factual beliefs, reduces institutional trust, and can influence political behavior (Nyhan et al., 2020; Pennycook et al., 2020; Clayton et al., 2020). This literature has also shown that corrective interventions</w:t>
      </w:r>
      <w:r w:rsidR="00D22BD7" w:rsidRPr="00266204">
        <w:rPr>
          <w:rFonts w:ascii="Times New Roman" w:hAnsi="Times New Roman" w:cs="Times New Roman"/>
          <w:lang w:val="en-US"/>
        </w:rPr>
        <w:t>,</w:t>
      </w:r>
      <w:r w:rsidRPr="00266204">
        <w:rPr>
          <w:rFonts w:ascii="Times New Roman" w:hAnsi="Times New Roman" w:cs="Times New Roman"/>
          <w:lang w:val="en-US"/>
        </w:rPr>
        <w:t xml:space="preserve"> fact-checking warnings, pre-bunking inoculations, source-credibility signals</w:t>
      </w:r>
      <w:r w:rsidR="00D22BD7" w:rsidRPr="00266204">
        <w:rPr>
          <w:rFonts w:ascii="Times New Roman" w:hAnsi="Times New Roman" w:cs="Times New Roman"/>
          <w:lang w:val="en-US"/>
        </w:rPr>
        <w:t>,</w:t>
      </w:r>
      <w:r w:rsidRPr="00266204">
        <w:rPr>
          <w:rFonts w:ascii="Times New Roman" w:hAnsi="Times New Roman" w:cs="Times New Roman"/>
          <w:lang w:val="en-US"/>
        </w:rPr>
        <w:t xml:space="preserve"> can partially counter these effects, though their efficacy varies substantially by context, audience, and the specific design of the intervention (Roozenbeek &amp; van der Linden, 2019; Walter et al., 2020; Kozyreva et al., 2024).</w:t>
      </w:r>
      <w:r w:rsidR="00E64204" w:rsidRPr="00266204">
        <w:rPr>
          <w:rFonts w:ascii="Times New Roman" w:hAnsi="Times New Roman" w:cs="Times New Roman"/>
          <w:lang w:val="en-US"/>
        </w:rPr>
        <w:t xml:space="preserve"> In a recent contribution, </w:t>
      </w:r>
      <w:r w:rsidRPr="00266204">
        <w:rPr>
          <w:rFonts w:ascii="Times New Roman" w:hAnsi="Times New Roman" w:cs="Times New Roman"/>
          <w:lang w:val="en-US"/>
        </w:rPr>
        <w:t>Guriev</w:t>
      </w:r>
      <w:r w:rsidR="00E64204" w:rsidRPr="00266204">
        <w:rPr>
          <w:rFonts w:ascii="Times New Roman" w:hAnsi="Times New Roman" w:cs="Times New Roman"/>
          <w:lang w:val="en-US"/>
        </w:rPr>
        <w:t xml:space="preserve"> et al.</w:t>
      </w:r>
      <w:r w:rsidRPr="00266204">
        <w:rPr>
          <w:rFonts w:ascii="Times New Roman" w:hAnsi="Times New Roman" w:cs="Times New Roman"/>
          <w:lang w:val="en-US"/>
        </w:rPr>
        <w:t xml:space="preserve"> (forthcoming), combine a two-wave randomized experiment on Twitter/X during the 2022 and 2024 U.S. elections with a structurally estimated model of the sharing decision. </w:t>
      </w:r>
      <w:r w:rsidR="00E64204" w:rsidRPr="00266204">
        <w:rPr>
          <w:rFonts w:ascii="Times New Roman" w:hAnsi="Times New Roman" w:cs="Times New Roman"/>
          <w:lang w:val="en-US"/>
        </w:rPr>
        <w:t xml:space="preserve">Through the model they decompose treatment effects into </w:t>
      </w:r>
      <w:r w:rsidR="0072074A" w:rsidRPr="00266204">
        <w:rPr>
          <w:rFonts w:ascii="Times New Roman" w:hAnsi="Times New Roman" w:cs="Times New Roman"/>
          <w:lang w:val="en-US"/>
        </w:rPr>
        <w:t xml:space="preserve">different </w:t>
      </w:r>
      <w:r w:rsidR="00E64204" w:rsidRPr="00266204">
        <w:rPr>
          <w:rFonts w:ascii="Times New Roman" w:hAnsi="Times New Roman" w:cs="Times New Roman"/>
          <w:lang w:val="en-US"/>
        </w:rPr>
        <w:t xml:space="preserve">channels, </w:t>
      </w:r>
      <w:r w:rsidR="0072074A" w:rsidRPr="00266204">
        <w:rPr>
          <w:rFonts w:ascii="Times New Roman" w:hAnsi="Times New Roman" w:cs="Times New Roman"/>
          <w:lang w:val="en-US"/>
        </w:rPr>
        <w:t xml:space="preserve">emphasizing the role of </w:t>
      </w:r>
      <w:r w:rsidR="00E64204" w:rsidRPr="00266204">
        <w:rPr>
          <w:rFonts w:ascii="Times New Roman" w:hAnsi="Times New Roman" w:cs="Times New Roman"/>
          <w:lang w:val="en-US"/>
        </w:rPr>
        <w:t xml:space="preserve">updating of beliefs about a post's veracity, </w:t>
      </w:r>
      <w:r w:rsidR="0072074A" w:rsidRPr="00266204">
        <w:rPr>
          <w:rFonts w:ascii="Times New Roman" w:hAnsi="Times New Roman" w:cs="Times New Roman"/>
          <w:lang w:val="en-US"/>
        </w:rPr>
        <w:t xml:space="preserve">and </w:t>
      </w:r>
      <w:r w:rsidR="00E64204" w:rsidRPr="00266204">
        <w:rPr>
          <w:rFonts w:ascii="Times New Roman" w:hAnsi="Times New Roman" w:cs="Times New Roman"/>
          <w:lang w:val="en-US"/>
        </w:rPr>
        <w:t>the salience of reputational concerns relative to partisan motives</w:t>
      </w:r>
      <w:r w:rsidR="0072074A" w:rsidRPr="00266204">
        <w:rPr>
          <w:rFonts w:ascii="Times New Roman" w:hAnsi="Times New Roman" w:cs="Times New Roman"/>
          <w:lang w:val="en-US"/>
        </w:rPr>
        <w:t xml:space="preserve">. These channels both point to the </w:t>
      </w:r>
      <w:r w:rsidR="003C3BBC" w:rsidRPr="00266204">
        <w:rPr>
          <w:rFonts w:ascii="Times New Roman" w:hAnsi="Times New Roman" w:cs="Times New Roman"/>
          <w:lang w:val="en-US"/>
        </w:rPr>
        <w:t xml:space="preserve">importance of the </w:t>
      </w:r>
      <w:r w:rsidR="0072074A" w:rsidRPr="00266204">
        <w:rPr>
          <w:rFonts w:ascii="Times New Roman" w:hAnsi="Times New Roman" w:cs="Times New Roman"/>
          <w:lang w:val="en-US"/>
        </w:rPr>
        <w:t xml:space="preserve">credibility and perceived partisanship of the initial </w:t>
      </w:r>
      <w:r w:rsidR="003C3BBC" w:rsidRPr="00266204">
        <w:rPr>
          <w:rFonts w:ascii="Times New Roman" w:hAnsi="Times New Roman" w:cs="Times New Roman"/>
          <w:lang w:val="en-US"/>
        </w:rPr>
        <w:t>source</w:t>
      </w:r>
      <w:r w:rsidR="0072074A" w:rsidRPr="00266204">
        <w:rPr>
          <w:rFonts w:ascii="Times New Roman" w:hAnsi="Times New Roman" w:cs="Times New Roman"/>
          <w:lang w:val="en-US"/>
        </w:rPr>
        <w:t xml:space="preserve"> of the information, as well as the credibility of the medium of transition</w:t>
      </w:r>
      <w:r w:rsidR="003C3BBC" w:rsidRPr="00266204">
        <w:rPr>
          <w:rFonts w:ascii="Times New Roman" w:hAnsi="Times New Roman" w:cs="Times New Roman"/>
          <w:lang w:val="en-US"/>
        </w:rPr>
        <w:t xml:space="preserve">. </w:t>
      </w:r>
      <w:r w:rsidRPr="00266204">
        <w:rPr>
          <w:rFonts w:ascii="Times New Roman" w:hAnsi="Times New Roman" w:cs="Times New Roman"/>
          <w:lang w:val="en-US"/>
        </w:rPr>
        <w:t>This is directly relevant to the design of our warnings</w:t>
      </w:r>
      <w:r w:rsidR="003C3BBC" w:rsidRPr="00266204">
        <w:rPr>
          <w:rFonts w:ascii="Times New Roman" w:hAnsi="Times New Roman" w:cs="Times New Roman"/>
          <w:lang w:val="en-US"/>
        </w:rPr>
        <w:t xml:space="preserve"> </w:t>
      </w:r>
      <w:r w:rsidR="00F536B3" w:rsidRPr="00266204">
        <w:rPr>
          <w:rFonts w:ascii="Times New Roman" w:hAnsi="Times New Roman" w:cs="Times New Roman"/>
          <w:lang w:val="en-US"/>
        </w:rPr>
        <w:t>where</w:t>
      </w:r>
      <w:r w:rsidR="003C3BBC" w:rsidRPr="00266204">
        <w:rPr>
          <w:rFonts w:ascii="Times New Roman" w:hAnsi="Times New Roman" w:cs="Times New Roman"/>
          <w:lang w:val="en-US"/>
        </w:rPr>
        <w:t xml:space="preserve"> we vary these dimensions in a 2×2×2 design. </w:t>
      </w:r>
    </w:p>
    <w:p w14:paraId="24136C92" w14:textId="5F0C4696" w:rsidR="00E03358"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Almost all of th</w:t>
      </w:r>
      <w:r w:rsidR="003C3BBC" w:rsidRPr="00266204">
        <w:rPr>
          <w:rFonts w:ascii="Times New Roman" w:hAnsi="Times New Roman" w:cs="Times New Roman"/>
          <w:lang w:val="en-US"/>
        </w:rPr>
        <w:t>e existing</w:t>
      </w:r>
      <w:r w:rsidRPr="00266204">
        <w:rPr>
          <w:rFonts w:ascii="Times New Roman" w:hAnsi="Times New Roman" w:cs="Times New Roman"/>
          <w:lang w:val="en-US"/>
        </w:rPr>
        <w:t xml:space="preserve"> experimental evidence is drawn from the United States and Europe, where trust in domestic and Western multilateral institutions, while contested, differs qualitatively from trust in much of the Global South. Sub-Saharan Africa, and East Africa in particular, </w:t>
      </w:r>
      <w:r w:rsidR="00F536B3" w:rsidRPr="00266204">
        <w:rPr>
          <w:rFonts w:ascii="Times New Roman" w:hAnsi="Times New Roman" w:cs="Times New Roman"/>
          <w:lang w:val="en-US"/>
        </w:rPr>
        <w:t>represent</w:t>
      </w:r>
      <w:r w:rsidRPr="00266204">
        <w:rPr>
          <w:rFonts w:ascii="Times New Roman" w:hAnsi="Times New Roman" w:cs="Times New Roman"/>
          <w:lang w:val="en-US"/>
        </w:rPr>
        <w:t xml:space="preserve"> a critical but largely unstudied context for disinformation research. Russia has mounted extensive and well-documented influence campaigns across the continent, </w:t>
      </w:r>
      <w:r w:rsidRPr="00266204">
        <w:rPr>
          <w:rFonts w:ascii="Times New Roman" w:hAnsi="Times New Roman" w:cs="Times New Roman"/>
          <w:lang w:val="en-US"/>
        </w:rPr>
        <w:lastRenderedPageBreak/>
        <w:t>promoting pro-Russian narratives about the Ukraine war, framing Western institutions as neo-colonial actors, and</w:t>
      </w:r>
      <w:r w:rsidR="00D22BD7" w:rsidRPr="00266204">
        <w:rPr>
          <w:rFonts w:ascii="Times New Roman" w:hAnsi="Times New Roman" w:cs="Times New Roman"/>
          <w:lang w:val="en-US"/>
        </w:rPr>
        <w:t xml:space="preserve">, </w:t>
      </w:r>
      <w:r w:rsidRPr="00266204">
        <w:rPr>
          <w:rFonts w:ascii="Times New Roman" w:hAnsi="Times New Roman" w:cs="Times New Roman"/>
          <w:lang w:val="en-US"/>
        </w:rPr>
        <w:t>most recently</w:t>
      </w:r>
      <w:r w:rsidR="00D22BD7" w:rsidRPr="00266204">
        <w:rPr>
          <w:rFonts w:ascii="Times New Roman" w:hAnsi="Times New Roman" w:cs="Times New Roman"/>
          <w:lang w:val="en-US"/>
        </w:rPr>
        <w:t>,</w:t>
      </w:r>
      <w:r w:rsidRPr="00266204">
        <w:rPr>
          <w:rFonts w:ascii="Times New Roman" w:hAnsi="Times New Roman" w:cs="Times New Roman"/>
          <w:lang w:val="en-US"/>
        </w:rPr>
        <w:t xml:space="preserve"> conducting deceptive recruitment operations targeting African nationals for military service (Frederiksen, 2023; Africa Center for Strategic Studies, 2024). Kenya is a particularly important case: it is one of the most digitally connected countries in East Africa, has a large and youthful urban population with high social media engagement, and has been specifically targeted by Russian recruitment campaigns that have been documented by Kenyan authorities and investigative journalists.</w:t>
      </w:r>
    </w:p>
    <w:p w14:paraId="1838F1DC" w14:textId="4550492E" w:rsidR="00E03358"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Despite this, no experimental evidence exists on how young Kenyans respond to Russian disinformation or on what counter-messaging strategies are effective in this context. The present study fills this gap. It deploys a 2×2×2 factorial experimental design embedded in a large cross-sectional survey, varying (i) the source of a disinformation warning</w:t>
      </w:r>
      <w:r w:rsidR="00D22BD7" w:rsidRPr="00266204">
        <w:rPr>
          <w:rFonts w:ascii="Times New Roman" w:hAnsi="Times New Roman" w:cs="Times New Roman"/>
          <w:lang w:val="en-US"/>
        </w:rPr>
        <w:t xml:space="preserve">, </w:t>
      </w:r>
      <w:r w:rsidRPr="00266204">
        <w:rPr>
          <w:rFonts w:ascii="Times New Roman" w:hAnsi="Times New Roman" w:cs="Times New Roman"/>
          <w:lang w:val="en-US"/>
        </w:rPr>
        <w:t>EU versus a local independent organization</w:t>
      </w:r>
      <w:r w:rsidR="00D22BD7" w:rsidRPr="00266204">
        <w:rPr>
          <w:rFonts w:ascii="Times New Roman" w:hAnsi="Times New Roman" w:cs="Times New Roman"/>
          <w:lang w:val="en-US"/>
        </w:rPr>
        <w:t xml:space="preserve">, </w:t>
      </w:r>
      <w:r w:rsidRPr="00266204">
        <w:rPr>
          <w:rFonts w:ascii="Times New Roman" w:hAnsi="Times New Roman" w:cs="Times New Roman"/>
          <w:lang w:val="en-US"/>
        </w:rPr>
        <w:t>(ii) whether the attributed source of the false message is identified explicitly as Russia or left as a generic foreign power, and (iii) the medium of the disinformation warning, a radio advertisement versus a social media post. This design allows us to isolate, for the first time in an East African context, the causal effects of debunking interventions and their dependence on source credibility, actor attribution</w:t>
      </w:r>
      <w:r w:rsidR="003C3BBC" w:rsidRPr="00266204">
        <w:rPr>
          <w:rFonts w:ascii="Times New Roman" w:hAnsi="Times New Roman" w:cs="Times New Roman"/>
          <w:lang w:val="en-US"/>
        </w:rPr>
        <w:t xml:space="preserve"> (which may be perceived as partisan)</w:t>
      </w:r>
      <w:r w:rsidRPr="00266204">
        <w:rPr>
          <w:rFonts w:ascii="Times New Roman" w:hAnsi="Times New Roman" w:cs="Times New Roman"/>
          <w:lang w:val="en-US"/>
        </w:rPr>
        <w:t>, and the medium through which a warning is delivered.</w:t>
      </w:r>
    </w:p>
    <w:p w14:paraId="5BA35013" w14:textId="65D3343B" w:rsidR="00E03358" w:rsidRPr="00266204" w:rsidRDefault="00000000" w:rsidP="003C3BBC">
      <w:pPr>
        <w:spacing w:after="160" w:line="360" w:lineRule="auto"/>
        <w:rPr>
          <w:rFonts w:ascii="Times New Roman" w:hAnsi="Times New Roman" w:cs="Times New Roman"/>
          <w:lang w:val="en-US"/>
        </w:rPr>
      </w:pPr>
      <w:r w:rsidRPr="00266204">
        <w:rPr>
          <w:rFonts w:ascii="Times New Roman" w:hAnsi="Times New Roman" w:cs="Times New Roman"/>
          <w:lang w:val="en-US"/>
        </w:rPr>
        <w:t xml:space="preserve">The study makes </w:t>
      </w:r>
      <w:r w:rsidR="003C3BBC" w:rsidRPr="00266204">
        <w:rPr>
          <w:rFonts w:ascii="Times New Roman" w:hAnsi="Times New Roman" w:cs="Times New Roman"/>
          <w:lang w:val="en-US"/>
        </w:rPr>
        <w:t xml:space="preserve">primarily </w:t>
      </w:r>
      <w:r w:rsidRPr="00266204">
        <w:rPr>
          <w:rFonts w:ascii="Times New Roman" w:hAnsi="Times New Roman" w:cs="Times New Roman"/>
          <w:lang w:val="en-US"/>
        </w:rPr>
        <w:t>four contributions. First, it provides experimental estimates of disinformation susceptibility and debunking efficacy in a non-Western, post-colonial context where trust in Western institutions is more contested than in the European or American settings that make up nearly all of the existing evidence base. Second, it varies the identity and credibility of the corrective source</w:t>
      </w:r>
      <w:r w:rsidR="003C3BBC" w:rsidRPr="00266204">
        <w:rPr>
          <w:rFonts w:ascii="Times New Roman" w:hAnsi="Times New Roman" w:cs="Times New Roman"/>
          <w:lang w:val="en-US"/>
        </w:rPr>
        <w:t>, the</w:t>
      </w:r>
      <w:r w:rsidRPr="00266204">
        <w:rPr>
          <w:rFonts w:ascii="Times New Roman" w:hAnsi="Times New Roman" w:cs="Times New Roman"/>
          <w:lang w:val="en-US"/>
        </w:rPr>
        <w:t xml:space="preserve"> European Union versus a local independent fact-checker</w:t>
      </w:r>
      <w:r w:rsidR="003C3BBC" w:rsidRPr="00266204">
        <w:rPr>
          <w:rFonts w:ascii="Times New Roman" w:hAnsi="Times New Roman" w:cs="Times New Roman"/>
          <w:lang w:val="en-US"/>
        </w:rPr>
        <w:t xml:space="preserve">, </w:t>
      </w:r>
      <w:r w:rsidRPr="00266204">
        <w:rPr>
          <w:rFonts w:ascii="Times New Roman" w:hAnsi="Times New Roman" w:cs="Times New Roman"/>
          <w:lang w:val="en-US"/>
        </w:rPr>
        <w:t xml:space="preserve">a dimension that is held fixed in prior experimental work (e.g., PolitiFact throughout Guriev et al.'s experiment), allowing a direct test of source-credibility theory in a setting where the messenger's own geopolitical affiliation is contested. Third, it tests whether explicitly naming Russia as the source of disinformation increases or decreases warning effectiveness, </w:t>
      </w:r>
      <w:r w:rsidR="003C3BBC" w:rsidRPr="00266204">
        <w:rPr>
          <w:rFonts w:ascii="Times New Roman" w:hAnsi="Times New Roman" w:cs="Times New Roman"/>
          <w:lang w:val="en-US"/>
        </w:rPr>
        <w:t xml:space="preserve">as it may be perceived as partisan, in particular if the source of the message is </w:t>
      </w:r>
      <w:r w:rsidR="00F5425D" w:rsidRPr="00266204">
        <w:rPr>
          <w:rFonts w:ascii="Times New Roman" w:hAnsi="Times New Roman" w:cs="Times New Roman"/>
          <w:lang w:val="en-US"/>
        </w:rPr>
        <w:t xml:space="preserve">the </w:t>
      </w:r>
      <w:r w:rsidR="003C3BBC" w:rsidRPr="00266204">
        <w:rPr>
          <w:rFonts w:ascii="Times New Roman" w:hAnsi="Times New Roman" w:cs="Times New Roman"/>
          <w:lang w:val="en-US"/>
        </w:rPr>
        <w:t xml:space="preserve">EU. This is </w:t>
      </w:r>
      <w:r w:rsidRPr="00266204">
        <w:rPr>
          <w:rFonts w:ascii="Times New Roman" w:hAnsi="Times New Roman" w:cs="Times New Roman"/>
          <w:lang w:val="en-US"/>
        </w:rPr>
        <w:t>a question with direct policy relevance for international counter-disinformation actors operating in Africa. Fourth, we pair sharing-intention outcomes with a post-level suspicion rating</w:t>
      </w:r>
      <w:r w:rsidR="003C3BBC" w:rsidRPr="00266204">
        <w:rPr>
          <w:rFonts w:ascii="Times New Roman" w:hAnsi="Times New Roman" w:cs="Times New Roman"/>
          <w:lang w:val="en-US"/>
        </w:rPr>
        <w:t xml:space="preserve"> of the debunking message which can tell us something about the mechanisms behind potential variation in effectiveness.</w:t>
      </w:r>
      <w:r w:rsidRPr="00266204">
        <w:rPr>
          <w:rFonts w:ascii="Times New Roman" w:hAnsi="Times New Roman" w:cs="Times New Roman"/>
          <w:lang w:val="en-US"/>
        </w:rPr>
        <w:t xml:space="preserve"> The </w:t>
      </w:r>
      <w:r w:rsidRPr="00266204">
        <w:rPr>
          <w:rFonts w:ascii="Times New Roman" w:hAnsi="Times New Roman" w:cs="Times New Roman"/>
          <w:lang w:val="en-US"/>
        </w:rPr>
        <w:lastRenderedPageBreak/>
        <w:t>study further explores heterogeneous treatment effects across theoretically motivated subgroups defined by anti-Western attitudes, news consumption patterns, economic precarity, and colonial historical experience, providing evidence on which populations are most and least susceptible to Russian disinformation and to corrective interventions.</w:t>
      </w:r>
    </w:p>
    <w:p w14:paraId="7D3B9A4C" w14:textId="77777777" w:rsidR="007F4B3B" w:rsidRPr="00266204" w:rsidRDefault="007F4B3B" w:rsidP="00D22BD7">
      <w:pPr>
        <w:spacing w:line="360" w:lineRule="auto"/>
        <w:rPr>
          <w:rFonts w:ascii="Times New Roman" w:hAnsi="Times New Roman" w:cs="Times New Roman"/>
          <w:lang w:val="en-US"/>
        </w:rPr>
      </w:pPr>
    </w:p>
    <w:p w14:paraId="729B5DE7" w14:textId="77777777" w:rsidR="007F4B3B" w:rsidRPr="00266204" w:rsidRDefault="00000000" w:rsidP="00D22BD7">
      <w:pPr>
        <w:pStyle w:val="Rubrik1"/>
        <w:spacing w:line="360" w:lineRule="auto"/>
        <w:rPr>
          <w:rFonts w:ascii="Times New Roman" w:hAnsi="Times New Roman" w:cs="Times New Roman"/>
          <w:lang w:val="en-US"/>
        </w:rPr>
      </w:pPr>
      <w:r w:rsidRPr="00266204">
        <w:rPr>
          <w:rFonts w:ascii="Times New Roman" w:hAnsi="Times New Roman" w:cs="Times New Roman"/>
          <w:lang w:val="en-US"/>
        </w:rPr>
        <w:t>2. Research Questions</w:t>
      </w:r>
    </w:p>
    <w:p w14:paraId="4D6E5057" w14:textId="77777777" w:rsidR="007F4B3B"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This study addresses the following primary research questions:</w:t>
      </w:r>
    </w:p>
    <w:p w14:paraId="1C0D0953" w14:textId="77777777" w:rsidR="007F4B3B" w:rsidRPr="00266204" w:rsidRDefault="00000000"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Do disinformation warnings reduce Kenyan respondents' willingness to share social media posts containing false narratives?</w:t>
      </w:r>
    </w:p>
    <w:p w14:paraId="3B2B8853" w14:textId="76BC0155" w:rsidR="007F4B3B" w:rsidRPr="00266204" w:rsidRDefault="00000000"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 xml:space="preserve">Do warnings reduce the strength of belief in false statements related to Russia, the </w:t>
      </w:r>
      <w:r w:rsidR="00F5425D" w:rsidRPr="00266204">
        <w:rPr>
          <w:rFonts w:ascii="Times New Roman" w:hAnsi="Times New Roman" w:cs="Times New Roman"/>
          <w:lang w:val="en-US"/>
        </w:rPr>
        <w:t xml:space="preserve">war against </w:t>
      </w:r>
      <w:r w:rsidRPr="00266204">
        <w:rPr>
          <w:rFonts w:ascii="Times New Roman" w:hAnsi="Times New Roman" w:cs="Times New Roman"/>
          <w:lang w:val="en-US"/>
        </w:rPr>
        <w:t>Ukraine, China, and Western institutions?</w:t>
      </w:r>
    </w:p>
    <w:p w14:paraId="1019A375" w14:textId="77777777" w:rsidR="007F4B3B" w:rsidRPr="00266204" w:rsidRDefault="00000000"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Does the source of the warning (EU vs. local independent organization) affect warning effectiveness?</w:t>
      </w:r>
    </w:p>
    <w:p w14:paraId="42A08809" w14:textId="7150A93C" w:rsidR="007F4B3B" w:rsidRPr="00266204" w:rsidRDefault="00000000"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Does explicitly attributing the disinformation to Russia (vs. a generic foreign power) affect warning effectiveness?</w:t>
      </w:r>
      <w:r w:rsidR="005B1410" w:rsidRPr="00266204">
        <w:rPr>
          <w:rFonts w:ascii="Times New Roman" w:hAnsi="Times New Roman" w:cs="Times New Roman"/>
          <w:lang w:val="en-US"/>
        </w:rPr>
        <w:t xml:space="preserve"> Does this effect vary depending on the source of the warning (EU vs. local independent organization)?</w:t>
      </w:r>
    </w:p>
    <w:p w14:paraId="63CBD79E" w14:textId="403C84F7" w:rsidR="00E70EB1" w:rsidRPr="00266204" w:rsidRDefault="00E70EB1"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Does the medium of the warning, radio versus social media post, affect its effective</w:t>
      </w:r>
      <w:r w:rsidR="00EB7532" w:rsidRPr="00266204">
        <w:rPr>
          <w:rFonts w:ascii="Times New Roman" w:hAnsi="Times New Roman" w:cs="Times New Roman"/>
          <w:lang w:val="en-US"/>
        </w:rPr>
        <w:t>ne</w:t>
      </w:r>
      <w:r w:rsidRPr="00266204">
        <w:rPr>
          <w:rFonts w:ascii="Times New Roman" w:hAnsi="Times New Roman" w:cs="Times New Roman"/>
          <w:lang w:val="en-US"/>
        </w:rPr>
        <w:t>ss?</w:t>
      </w:r>
    </w:p>
    <w:p w14:paraId="238F9484" w14:textId="77777777" w:rsidR="007F4B3B" w:rsidRPr="00266204" w:rsidRDefault="00000000" w:rsidP="00D22BD7">
      <w:pPr>
        <w:pStyle w:val="Liststycke"/>
        <w:numPr>
          <w:ilvl w:val="0"/>
          <w:numId w:val="2"/>
        </w:numPr>
        <w:spacing w:after="120" w:line="360" w:lineRule="auto"/>
        <w:rPr>
          <w:rFonts w:ascii="Times New Roman" w:hAnsi="Times New Roman" w:cs="Times New Roman"/>
          <w:lang w:val="en-US"/>
        </w:rPr>
      </w:pPr>
      <w:r w:rsidRPr="00266204">
        <w:rPr>
          <w:rFonts w:ascii="Times New Roman" w:hAnsi="Times New Roman" w:cs="Times New Roman"/>
          <w:lang w:val="en-US"/>
        </w:rPr>
        <w:t>Are treatment effects heterogeneous across respondents defined by attitudes toward Western institutions, news consumption patterns, economic precarity, and regional/ethnic background?</w:t>
      </w:r>
    </w:p>
    <w:p w14:paraId="56415E39" w14:textId="77777777" w:rsidR="007F4B3B" w:rsidRPr="00266204" w:rsidRDefault="007F4B3B" w:rsidP="00D22BD7">
      <w:pPr>
        <w:spacing w:line="360" w:lineRule="auto"/>
        <w:rPr>
          <w:rFonts w:ascii="Times New Roman" w:hAnsi="Times New Roman" w:cs="Times New Roman"/>
          <w:lang w:val="en-US"/>
        </w:rPr>
      </w:pPr>
    </w:p>
    <w:p w14:paraId="24C89B7B" w14:textId="77777777" w:rsidR="007F4B3B" w:rsidRPr="00266204" w:rsidRDefault="00000000" w:rsidP="00D22BD7">
      <w:pPr>
        <w:pStyle w:val="Rubrik1"/>
        <w:spacing w:line="360" w:lineRule="auto"/>
        <w:rPr>
          <w:rFonts w:ascii="Times New Roman" w:hAnsi="Times New Roman" w:cs="Times New Roman"/>
          <w:lang w:val="en-US"/>
        </w:rPr>
      </w:pPr>
      <w:r w:rsidRPr="00266204">
        <w:rPr>
          <w:rFonts w:ascii="Times New Roman" w:hAnsi="Times New Roman" w:cs="Times New Roman"/>
          <w:lang w:val="en-US"/>
        </w:rPr>
        <w:t>3. Research Design</w:t>
      </w:r>
    </w:p>
    <w:p w14:paraId="3F01914E" w14:textId="77777777" w:rsidR="007F4B3B" w:rsidRPr="00266204" w:rsidRDefault="00000000" w:rsidP="00D22BD7">
      <w:pPr>
        <w:pStyle w:val="Rubrik2"/>
        <w:spacing w:line="360" w:lineRule="auto"/>
        <w:rPr>
          <w:rFonts w:ascii="Times New Roman" w:hAnsi="Times New Roman" w:cs="Times New Roman"/>
          <w:lang w:val="en-US"/>
        </w:rPr>
      </w:pPr>
      <w:r w:rsidRPr="00266204">
        <w:rPr>
          <w:rFonts w:ascii="Times New Roman" w:hAnsi="Times New Roman" w:cs="Times New Roman"/>
          <w:lang w:val="en-US"/>
        </w:rPr>
        <w:t>3.1 Sampling and Study Population</w:t>
      </w:r>
    </w:p>
    <w:p w14:paraId="3A302C16" w14:textId="5B5090F2" w:rsidR="007F4B3B"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lastRenderedPageBreak/>
        <w:t>The study targets the young urban population of Kenya, defined as individuals aged 18–40 residing in urban areas. This population is the primary audience for social media-delivered disinformation and the primary target of Russian recruitment campaigns in Kenya. The target sample is approximately 5,000 respondents, recruited through a commercial survey panel provider (GeoPoll) with stratification by age (18–30 and 31–40), education, gender</w:t>
      </w:r>
      <w:r w:rsidR="005A577B">
        <w:rPr>
          <w:rFonts w:ascii="Times New Roman" w:hAnsi="Times New Roman" w:cs="Times New Roman"/>
          <w:lang w:val="en-US"/>
        </w:rPr>
        <w:t>, and adm1 region</w:t>
      </w:r>
      <w:r w:rsidRPr="00266204">
        <w:rPr>
          <w:rFonts w:ascii="Times New Roman" w:hAnsi="Times New Roman" w:cs="Times New Roman"/>
          <w:lang w:val="en-US"/>
        </w:rPr>
        <w:t>.</w:t>
      </w:r>
    </w:p>
    <w:p w14:paraId="65181E28" w14:textId="77777777" w:rsidR="007F4B3B" w:rsidRPr="00266204" w:rsidRDefault="00000000" w:rsidP="00D22BD7">
      <w:pPr>
        <w:spacing w:after="160" w:line="360" w:lineRule="auto"/>
        <w:rPr>
          <w:rFonts w:ascii="Times New Roman" w:hAnsi="Times New Roman" w:cs="Times New Roman"/>
          <w:lang w:val="en-US"/>
        </w:rPr>
      </w:pPr>
      <w:r w:rsidRPr="00266204">
        <w:rPr>
          <w:rFonts w:ascii="Times New Roman" w:hAnsi="Times New Roman" w:cs="Times New Roman"/>
          <w:lang w:val="en-US"/>
        </w:rPr>
        <w:t>Respondents are recruited via mobile phone and complete the survey on their own devices, reflecting the primary medium through which disinformation circulates in urban Kenya. All instruments are available in English and Swahili. The survey is programmed to assign respondents randomly to treatment arms at the point of recruitment, prior to the start of the questionnaire.</w:t>
      </w:r>
    </w:p>
    <w:p w14:paraId="6949E063" w14:textId="77777777" w:rsidR="007F4B3B" w:rsidRPr="00266204" w:rsidRDefault="00000000" w:rsidP="00D22BD7">
      <w:pPr>
        <w:pStyle w:val="Rubrik2"/>
        <w:spacing w:line="360" w:lineRule="auto"/>
        <w:rPr>
          <w:rFonts w:ascii="Times New Roman" w:hAnsi="Times New Roman" w:cs="Times New Roman"/>
          <w:lang w:val="en-US"/>
        </w:rPr>
      </w:pPr>
      <w:r w:rsidRPr="00266204">
        <w:rPr>
          <w:rFonts w:ascii="Times New Roman" w:hAnsi="Times New Roman" w:cs="Times New Roman"/>
          <w:lang w:val="en-US"/>
        </w:rPr>
        <w:t>3.2 Experimental Design and Randomization</w:t>
      </w:r>
    </w:p>
    <w:p w14:paraId="52321978" w14:textId="5F6AF25D" w:rsidR="007F4B3B" w:rsidRPr="00D22BD7" w:rsidRDefault="00000000" w:rsidP="00D22BD7">
      <w:pPr>
        <w:spacing w:after="160" w:line="360" w:lineRule="auto"/>
        <w:rPr>
          <w:rFonts w:ascii="Times New Roman" w:hAnsi="Times New Roman" w:cs="Times New Roman"/>
        </w:rPr>
      </w:pPr>
      <w:r w:rsidRPr="00266204">
        <w:rPr>
          <w:rFonts w:ascii="Times New Roman" w:hAnsi="Times New Roman" w:cs="Times New Roman"/>
          <w:lang w:val="en-US"/>
        </w:rPr>
        <w:t xml:space="preserve">The study uses a 2×2×2 factorial design, crossing three binary treatment dimensions, plus a control group, yielding nine experimental arms. </w:t>
      </w:r>
      <w:r w:rsidRPr="00D22BD7">
        <w:rPr>
          <w:rFonts w:ascii="Times New Roman" w:hAnsi="Times New Roman" w:cs="Times New Roman"/>
        </w:rPr>
        <w:t>The three treatment dimensions are:</w:t>
      </w:r>
    </w:p>
    <w:p w14:paraId="6707F2D3" w14:textId="77777777" w:rsidR="007F4B3B" w:rsidRPr="00266204" w:rsidRDefault="00000000" w:rsidP="00D22BD7">
      <w:pPr>
        <w:pStyle w:val="Liststycke"/>
        <w:numPr>
          <w:ilvl w:val="0"/>
          <w:numId w:val="3"/>
        </w:numPr>
        <w:spacing w:after="80" w:line="360" w:lineRule="auto"/>
        <w:rPr>
          <w:rFonts w:ascii="Times New Roman" w:hAnsi="Times New Roman" w:cs="Times New Roman"/>
          <w:lang w:val="en-US"/>
        </w:rPr>
      </w:pPr>
      <w:r w:rsidRPr="00266204">
        <w:rPr>
          <w:rFonts w:ascii="Times New Roman" w:hAnsi="Times New Roman" w:cs="Times New Roman"/>
          <w:lang w:val="en-US"/>
        </w:rPr>
        <w:t>Warning source: European Union (EU) vs. local independent fact-checking organization (hereafter 'Local NGO')</w:t>
      </w:r>
    </w:p>
    <w:p w14:paraId="36FB6783" w14:textId="77777777" w:rsidR="007F4B3B" w:rsidRPr="00266204" w:rsidRDefault="00000000" w:rsidP="00D22BD7">
      <w:pPr>
        <w:pStyle w:val="Liststycke"/>
        <w:numPr>
          <w:ilvl w:val="0"/>
          <w:numId w:val="3"/>
        </w:numPr>
        <w:spacing w:after="80" w:line="360" w:lineRule="auto"/>
        <w:rPr>
          <w:rFonts w:ascii="Times New Roman" w:hAnsi="Times New Roman" w:cs="Times New Roman"/>
          <w:lang w:val="en-US"/>
        </w:rPr>
      </w:pPr>
      <w:r w:rsidRPr="00266204">
        <w:rPr>
          <w:rFonts w:ascii="Times New Roman" w:hAnsi="Times New Roman" w:cs="Times New Roman"/>
          <w:lang w:val="en-US"/>
        </w:rPr>
        <w:t>Actor attribution: the false message is attributed explicitly to Russia vs. attributed to a generic unspecified foreign power</w:t>
      </w:r>
    </w:p>
    <w:p w14:paraId="5F3D45EB" w14:textId="6A1B8B9E" w:rsidR="00336691" w:rsidRPr="00F536B3" w:rsidRDefault="00336691"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 xml:space="preserve">Warning medium: the warning is delivered as a social media post or a radio add. </w:t>
      </w:r>
    </w:p>
    <w:p w14:paraId="65BEE4C7" w14:textId="77777777" w:rsidR="007F4B3B" w:rsidRPr="00F536B3" w:rsidRDefault="007F4B3B" w:rsidP="00D22BD7">
      <w:pPr>
        <w:spacing w:line="360" w:lineRule="auto"/>
        <w:rPr>
          <w:rFonts w:ascii="Times New Roman" w:hAnsi="Times New Roman" w:cs="Times New Roman"/>
          <w:lang w:val="en-US"/>
        </w:rPr>
      </w:pPr>
    </w:p>
    <w:p w14:paraId="675B9E7A" w14:textId="665F78C1" w:rsidR="007F4B3B" w:rsidRPr="00D22BD7" w:rsidRDefault="00000000" w:rsidP="00D22BD7">
      <w:pPr>
        <w:spacing w:after="160" w:line="360" w:lineRule="auto"/>
        <w:rPr>
          <w:rFonts w:ascii="Times New Roman" w:hAnsi="Times New Roman" w:cs="Times New Roman"/>
        </w:rPr>
      </w:pPr>
      <w:r w:rsidRPr="00D22BD7">
        <w:rPr>
          <w:rFonts w:ascii="Times New Roman" w:hAnsi="Times New Roman" w:cs="Times New Roman"/>
        </w:rPr>
        <w:t>The nine groups are:</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8"/>
        <w:gridCol w:w="2171"/>
        <w:gridCol w:w="2497"/>
        <w:gridCol w:w="2171"/>
        <w:gridCol w:w="2171"/>
      </w:tblGrid>
      <w:tr w:rsidR="00336691" w:rsidRPr="00D22BD7" w14:paraId="020E6598" w14:textId="42F0EAC2" w:rsidTr="00336691">
        <w:trPr>
          <w:trHeight w:val="175"/>
        </w:trPr>
        <w:tc>
          <w:tcPr>
            <w:tcW w:w="1628"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tcPr>
          <w:p w14:paraId="40DB95A6"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b/>
                <w:bCs/>
                <w:sz w:val="20"/>
                <w:szCs w:val="20"/>
              </w:rPr>
              <w:t>Group</w:t>
            </w:r>
          </w:p>
        </w:tc>
        <w:tc>
          <w:tcPr>
            <w:tcW w:w="2171"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tcPr>
          <w:p w14:paraId="4308C74A"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b/>
                <w:bCs/>
                <w:sz w:val="20"/>
                <w:szCs w:val="20"/>
              </w:rPr>
              <w:t>Label</w:t>
            </w:r>
          </w:p>
        </w:tc>
        <w:tc>
          <w:tcPr>
            <w:tcW w:w="2497"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tcPr>
          <w:p w14:paraId="42D22E62"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b/>
                <w:bCs/>
                <w:sz w:val="20"/>
                <w:szCs w:val="20"/>
              </w:rPr>
              <w:t>Warning source</w:t>
            </w:r>
          </w:p>
        </w:tc>
        <w:tc>
          <w:tcPr>
            <w:tcW w:w="2171"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tcPr>
          <w:p w14:paraId="144A50E7"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b/>
                <w:bCs/>
                <w:sz w:val="20"/>
                <w:szCs w:val="20"/>
              </w:rPr>
              <w:t>Actor attribution</w:t>
            </w:r>
          </w:p>
        </w:tc>
        <w:tc>
          <w:tcPr>
            <w:tcW w:w="2171" w:type="dxa"/>
            <w:tcBorders>
              <w:top w:val="single" w:sz="1" w:space="0" w:color="CCCCCC"/>
              <w:left w:val="single" w:sz="1" w:space="0" w:color="CCCCCC"/>
              <w:bottom w:val="single" w:sz="1" w:space="0" w:color="CCCCCC"/>
              <w:right w:val="single" w:sz="1" w:space="0" w:color="CCCCCC"/>
            </w:tcBorders>
            <w:shd w:val="clear" w:color="auto" w:fill="E8EDF4"/>
          </w:tcPr>
          <w:p w14:paraId="2F6ADD4F" w14:textId="71067C57" w:rsidR="00336691" w:rsidRPr="00D22BD7" w:rsidRDefault="00336691" w:rsidP="00D22BD7">
            <w:pPr>
              <w:spacing w:line="360" w:lineRule="auto"/>
              <w:rPr>
                <w:rFonts w:ascii="Times New Roman" w:hAnsi="Times New Roman" w:cs="Times New Roman"/>
                <w:b/>
                <w:bCs/>
                <w:sz w:val="20"/>
                <w:szCs w:val="20"/>
              </w:rPr>
            </w:pPr>
            <w:r w:rsidRPr="00D22BD7">
              <w:rPr>
                <w:rFonts w:ascii="Times New Roman" w:hAnsi="Times New Roman" w:cs="Times New Roman"/>
                <w:b/>
                <w:bCs/>
                <w:sz w:val="20"/>
                <w:szCs w:val="20"/>
              </w:rPr>
              <w:t>Warning medium</w:t>
            </w:r>
          </w:p>
        </w:tc>
      </w:tr>
      <w:tr w:rsidR="00336691" w:rsidRPr="00D22BD7" w14:paraId="40A7EAB4" w14:textId="31B8E875"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5C2A1E"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G1</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C8C00E"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Control</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77CACEE"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No warning</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030A1D"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w:t>
            </w:r>
          </w:p>
        </w:tc>
        <w:tc>
          <w:tcPr>
            <w:tcW w:w="2171" w:type="dxa"/>
            <w:tcBorders>
              <w:top w:val="single" w:sz="1" w:space="0" w:color="CCCCCC"/>
              <w:left w:val="single" w:sz="1" w:space="0" w:color="CCCCCC"/>
              <w:bottom w:val="single" w:sz="1" w:space="0" w:color="CCCCCC"/>
              <w:right w:val="single" w:sz="1" w:space="0" w:color="CCCCCC"/>
            </w:tcBorders>
          </w:tcPr>
          <w:p w14:paraId="1DBA924B" w14:textId="708DBA80"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w:t>
            </w:r>
          </w:p>
        </w:tc>
      </w:tr>
      <w:tr w:rsidR="00336691" w:rsidRPr="00D22BD7" w14:paraId="78FBF3FF" w14:textId="198B0D28" w:rsidTr="00336691">
        <w:trPr>
          <w:trHeight w:val="183"/>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E3D203"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G2</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FC6FAB" w14:textId="2E51B328" w:rsidR="00336691" w:rsidRPr="00F536B3" w:rsidRDefault="00336691" w:rsidP="00D22BD7">
            <w:pPr>
              <w:spacing w:line="360" w:lineRule="auto"/>
              <w:rPr>
                <w:rFonts w:ascii="Times New Roman" w:hAnsi="Times New Roman" w:cs="Times New Roman"/>
                <w:lang w:val="en-US"/>
              </w:rPr>
            </w:pPr>
            <w:r w:rsidRPr="00F536B3">
              <w:rPr>
                <w:rFonts w:ascii="Times New Roman" w:hAnsi="Times New Roman" w:cs="Times New Roman"/>
                <w:sz w:val="20"/>
                <w:szCs w:val="20"/>
                <w:lang w:val="en-US"/>
              </w:rPr>
              <w:t xml:space="preserve">EU × Foreign Power × </w:t>
            </w:r>
            <w:r w:rsidR="005D172A" w:rsidRPr="00F536B3">
              <w:rPr>
                <w:rFonts w:ascii="Times New Roman" w:hAnsi="Times New Roman" w:cs="Times New Roman"/>
                <w:sz w:val="20"/>
                <w:szCs w:val="20"/>
                <w:lang w:val="en-US"/>
              </w:rPr>
              <w:t>SM post</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954BDE7"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European Union</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060508"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Generic foreign power</w:t>
            </w:r>
          </w:p>
        </w:tc>
        <w:tc>
          <w:tcPr>
            <w:tcW w:w="2171" w:type="dxa"/>
            <w:tcBorders>
              <w:top w:val="single" w:sz="1" w:space="0" w:color="CCCCCC"/>
              <w:left w:val="single" w:sz="1" w:space="0" w:color="CCCCCC"/>
              <w:bottom w:val="single" w:sz="1" w:space="0" w:color="CCCCCC"/>
              <w:right w:val="single" w:sz="1" w:space="0" w:color="CCCCCC"/>
            </w:tcBorders>
          </w:tcPr>
          <w:p w14:paraId="0526A624" w14:textId="77777777"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SM post</w:t>
            </w:r>
          </w:p>
          <w:p w14:paraId="06847D12" w14:textId="777F8E20" w:rsidR="00A11B9D" w:rsidRPr="00D22BD7" w:rsidRDefault="00A11B9D" w:rsidP="00D22BD7">
            <w:pPr>
              <w:spacing w:line="360" w:lineRule="auto"/>
              <w:rPr>
                <w:rFonts w:ascii="Times New Roman" w:hAnsi="Times New Roman" w:cs="Times New Roman"/>
                <w:sz w:val="20"/>
                <w:szCs w:val="20"/>
              </w:rPr>
            </w:pPr>
          </w:p>
        </w:tc>
      </w:tr>
      <w:tr w:rsidR="00336691" w:rsidRPr="00D22BD7" w14:paraId="7C68DC22" w14:textId="23BEBE3C"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4CC73A5"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G3</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7D8470" w14:textId="775907D0"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 xml:space="preserve">EU × Russia × </w:t>
            </w:r>
            <w:r w:rsidR="005D172A" w:rsidRPr="00D22BD7">
              <w:rPr>
                <w:rFonts w:ascii="Times New Roman" w:hAnsi="Times New Roman" w:cs="Times New Roman"/>
                <w:sz w:val="20"/>
                <w:szCs w:val="20"/>
              </w:rPr>
              <w:t>SM post</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4EB480"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European Union</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6F56FC"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Russia named explicitly</w:t>
            </w:r>
          </w:p>
        </w:tc>
        <w:tc>
          <w:tcPr>
            <w:tcW w:w="2171" w:type="dxa"/>
            <w:tcBorders>
              <w:top w:val="single" w:sz="1" w:space="0" w:color="CCCCCC"/>
              <w:left w:val="single" w:sz="1" w:space="0" w:color="CCCCCC"/>
              <w:bottom w:val="single" w:sz="1" w:space="0" w:color="CCCCCC"/>
              <w:right w:val="single" w:sz="1" w:space="0" w:color="CCCCCC"/>
            </w:tcBorders>
          </w:tcPr>
          <w:p w14:paraId="6794BB18" w14:textId="254D20FC"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SM post</w:t>
            </w:r>
          </w:p>
        </w:tc>
      </w:tr>
      <w:tr w:rsidR="00336691" w:rsidRPr="00D22BD7" w14:paraId="1FD460B9" w14:textId="4FDA6381" w:rsidTr="00336691">
        <w:trPr>
          <w:trHeight w:val="350"/>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D1F558"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lastRenderedPageBreak/>
              <w:t>G4</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BE0782" w14:textId="2F6FFCF9" w:rsidR="00336691" w:rsidRPr="00F536B3" w:rsidRDefault="00336691" w:rsidP="00D22BD7">
            <w:pPr>
              <w:spacing w:line="360" w:lineRule="auto"/>
              <w:rPr>
                <w:rFonts w:ascii="Times New Roman" w:hAnsi="Times New Roman" w:cs="Times New Roman"/>
                <w:lang w:val="en-US"/>
              </w:rPr>
            </w:pPr>
            <w:r w:rsidRPr="00F536B3">
              <w:rPr>
                <w:rFonts w:ascii="Times New Roman" w:hAnsi="Times New Roman" w:cs="Times New Roman"/>
                <w:sz w:val="20"/>
                <w:szCs w:val="20"/>
                <w:lang w:val="en-US"/>
              </w:rPr>
              <w:t xml:space="preserve">Local NGO × Foreign Power × </w:t>
            </w:r>
            <w:r w:rsidR="005D172A" w:rsidRPr="00F536B3">
              <w:rPr>
                <w:rFonts w:ascii="Times New Roman" w:hAnsi="Times New Roman" w:cs="Times New Roman"/>
                <w:sz w:val="20"/>
                <w:szCs w:val="20"/>
                <w:lang w:val="en-US"/>
              </w:rPr>
              <w:t>SM post</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32FE90"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Local NGO</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5CA937"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Generic foreign power</w:t>
            </w:r>
          </w:p>
        </w:tc>
        <w:tc>
          <w:tcPr>
            <w:tcW w:w="2171" w:type="dxa"/>
            <w:tcBorders>
              <w:top w:val="single" w:sz="1" w:space="0" w:color="CCCCCC"/>
              <w:left w:val="single" w:sz="1" w:space="0" w:color="CCCCCC"/>
              <w:bottom w:val="single" w:sz="1" w:space="0" w:color="CCCCCC"/>
              <w:right w:val="single" w:sz="1" w:space="0" w:color="CCCCCC"/>
            </w:tcBorders>
          </w:tcPr>
          <w:p w14:paraId="08283943" w14:textId="15D3407D"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SM post</w:t>
            </w:r>
          </w:p>
        </w:tc>
      </w:tr>
      <w:tr w:rsidR="00336691" w:rsidRPr="00D22BD7" w14:paraId="7BADB980" w14:textId="0A297A50"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8F6676"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G5</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5A7AC2" w14:textId="5CC8C753" w:rsidR="00336691" w:rsidRPr="00F536B3" w:rsidRDefault="00336691" w:rsidP="00D22BD7">
            <w:pPr>
              <w:spacing w:line="360" w:lineRule="auto"/>
              <w:rPr>
                <w:rFonts w:ascii="Times New Roman" w:hAnsi="Times New Roman" w:cs="Times New Roman"/>
                <w:lang w:val="en-US"/>
              </w:rPr>
            </w:pPr>
            <w:r w:rsidRPr="00F536B3">
              <w:rPr>
                <w:rFonts w:ascii="Times New Roman" w:hAnsi="Times New Roman" w:cs="Times New Roman"/>
                <w:sz w:val="20"/>
                <w:szCs w:val="20"/>
                <w:lang w:val="en-US"/>
              </w:rPr>
              <w:t xml:space="preserve">Local NGO × Russia × </w:t>
            </w:r>
            <w:r w:rsidR="005D172A" w:rsidRPr="00F536B3">
              <w:rPr>
                <w:rFonts w:ascii="Times New Roman" w:hAnsi="Times New Roman" w:cs="Times New Roman"/>
                <w:sz w:val="20"/>
                <w:szCs w:val="20"/>
                <w:lang w:val="en-US"/>
              </w:rPr>
              <w:t>SM post</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243FAA"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Local NGO</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AB38C6" w14:textId="77777777" w:rsidR="00336691" w:rsidRPr="00D22BD7" w:rsidRDefault="00336691" w:rsidP="00D22BD7">
            <w:pPr>
              <w:spacing w:line="360" w:lineRule="auto"/>
              <w:rPr>
                <w:rFonts w:ascii="Times New Roman" w:hAnsi="Times New Roman" w:cs="Times New Roman"/>
              </w:rPr>
            </w:pPr>
            <w:r w:rsidRPr="00D22BD7">
              <w:rPr>
                <w:rFonts w:ascii="Times New Roman" w:hAnsi="Times New Roman" w:cs="Times New Roman"/>
                <w:sz w:val="20"/>
                <w:szCs w:val="20"/>
              </w:rPr>
              <w:t>Russia named explicitly</w:t>
            </w:r>
          </w:p>
        </w:tc>
        <w:tc>
          <w:tcPr>
            <w:tcW w:w="2171" w:type="dxa"/>
            <w:tcBorders>
              <w:top w:val="single" w:sz="1" w:space="0" w:color="CCCCCC"/>
              <w:left w:val="single" w:sz="1" w:space="0" w:color="CCCCCC"/>
              <w:bottom w:val="single" w:sz="1" w:space="0" w:color="CCCCCC"/>
              <w:right w:val="single" w:sz="1" w:space="0" w:color="CCCCCC"/>
            </w:tcBorders>
          </w:tcPr>
          <w:p w14:paraId="744600AA" w14:textId="7D43DB82"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SM post</w:t>
            </w:r>
          </w:p>
        </w:tc>
      </w:tr>
      <w:tr w:rsidR="00336691" w:rsidRPr="00D22BD7" w14:paraId="6BD2BE61" w14:textId="77777777"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191A6A" w14:textId="53DA83E1"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G6</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174127" w14:textId="25965712"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EU × Foreign Power × </w:t>
            </w:r>
            <w:r w:rsidR="005D172A" w:rsidRPr="00D22BD7">
              <w:rPr>
                <w:rFonts w:ascii="Times New Roman" w:hAnsi="Times New Roman" w:cs="Times New Roman"/>
                <w:sz w:val="20"/>
                <w:szCs w:val="20"/>
              </w:rPr>
              <w:t>Radio</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2B5DB2" w14:textId="3B2DE189"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European Union</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B6380E" w14:textId="334590CE"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Generic foreign power</w:t>
            </w:r>
          </w:p>
        </w:tc>
        <w:tc>
          <w:tcPr>
            <w:tcW w:w="2171" w:type="dxa"/>
            <w:tcBorders>
              <w:top w:val="single" w:sz="1" w:space="0" w:color="CCCCCC"/>
              <w:left w:val="single" w:sz="1" w:space="0" w:color="CCCCCC"/>
              <w:bottom w:val="single" w:sz="1" w:space="0" w:color="CCCCCC"/>
              <w:right w:val="single" w:sz="1" w:space="0" w:color="CCCCCC"/>
            </w:tcBorders>
          </w:tcPr>
          <w:p w14:paraId="45912204" w14:textId="20C716B2"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Radio</w:t>
            </w:r>
          </w:p>
        </w:tc>
      </w:tr>
      <w:tr w:rsidR="00336691" w:rsidRPr="00D22BD7" w14:paraId="21203688" w14:textId="77777777"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FAC7D34" w14:textId="4A15305C"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G7</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74C00C4" w14:textId="26112578"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EU × Russia × </w:t>
            </w:r>
            <w:r w:rsidR="005D172A" w:rsidRPr="00D22BD7">
              <w:rPr>
                <w:rFonts w:ascii="Times New Roman" w:hAnsi="Times New Roman" w:cs="Times New Roman"/>
                <w:sz w:val="20"/>
                <w:szCs w:val="20"/>
              </w:rPr>
              <w:t>Radio</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9C646FB" w14:textId="6A322400"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European Union</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69DD49C" w14:textId="0474A474"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Russia named explicitly</w:t>
            </w:r>
          </w:p>
        </w:tc>
        <w:tc>
          <w:tcPr>
            <w:tcW w:w="2171" w:type="dxa"/>
            <w:tcBorders>
              <w:top w:val="single" w:sz="1" w:space="0" w:color="CCCCCC"/>
              <w:left w:val="single" w:sz="1" w:space="0" w:color="CCCCCC"/>
              <w:bottom w:val="single" w:sz="1" w:space="0" w:color="CCCCCC"/>
              <w:right w:val="single" w:sz="1" w:space="0" w:color="CCCCCC"/>
            </w:tcBorders>
          </w:tcPr>
          <w:p w14:paraId="4FF2652C" w14:textId="6E53E63F"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Radio</w:t>
            </w:r>
          </w:p>
        </w:tc>
      </w:tr>
      <w:tr w:rsidR="00336691" w:rsidRPr="00D22BD7" w14:paraId="7BE84041" w14:textId="77777777"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D81D599" w14:textId="095613F8"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G8</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EC1D56" w14:textId="2B1B5705" w:rsidR="00336691" w:rsidRPr="00F536B3" w:rsidRDefault="00336691" w:rsidP="00D22BD7">
            <w:pPr>
              <w:spacing w:line="360" w:lineRule="auto"/>
              <w:rPr>
                <w:rFonts w:ascii="Times New Roman" w:hAnsi="Times New Roman" w:cs="Times New Roman"/>
                <w:sz w:val="20"/>
                <w:szCs w:val="20"/>
                <w:lang w:val="en-US"/>
              </w:rPr>
            </w:pPr>
            <w:r w:rsidRPr="00F536B3">
              <w:rPr>
                <w:rFonts w:ascii="Times New Roman" w:hAnsi="Times New Roman" w:cs="Times New Roman"/>
                <w:sz w:val="20"/>
                <w:szCs w:val="20"/>
                <w:lang w:val="en-US"/>
              </w:rPr>
              <w:t xml:space="preserve">Local NGO × Foreign Power × </w:t>
            </w:r>
            <w:r w:rsidR="005D172A" w:rsidRPr="00F536B3">
              <w:rPr>
                <w:rFonts w:ascii="Times New Roman" w:hAnsi="Times New Roman" w:cs="Times New Roman"/>
                <w:sz w:val="20"/>
                <w:szCs w:val="20"/>
                <w:lang w:val="en-US"/>
              </w:rPr>
              <w:t>Radio</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2E1C0B" w14:textId="209C0F09"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Local NGO</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4F6CDDB" w14:textId="61A774D7"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Generic foreign power</w:t>
            </w:r>
          </w:p>
        </w:tc>
        <w:tc>
          <w:tcPr>
            <w:tcW w:w="2171" w:type="dxa"/>
            <w:tcBorders>
              <w:top w:val="single" w:sz="1" w:space="0" w:color="CCCCCC"/>
              <w:left w:val="single" w:sz="1" w:space="0" w:color="CCCCCC"/>
              <w:bottom w:val="single" w:sz="1" w:space="0" w:color="CCCCCC"/>
              <w:right w:val="single" w:sz="1" w:space="0" w:color="CCCCCC"/>
            </w:tcBorders>
          </w:tcPr>
          <w:p w14:paraId="7B4407B2" w14:textId="709F930D"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Radio</w:t>
            </w:r>
          </w:p>
        </w:tc>
      </w:tr>
      <w:tr w:rsidR="00336691" w:rsidRPr="00D22BD7" w14:paraId="35BAD206" w14:textId="77777777" w:rsidTr="00336691">
        <w:trPr>
          <w:trHeight w:val="175"/>
        </w:trPr>
        <w:tc>
          <w:tcPr>
            <w:tcW w:w="162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078B184" w14:textId="6F4576BF"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G9</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3EDC6F" w14:textId="64ACE0A2"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Local NGO × Russia × </w:t>
            </w:r>
            <w:r w:rsidR="005D172A" w:rsidRPr="00D22BD7">
              <w:rPr>
                <w:rFonts w:ascii="Times New Roman" w:hAnsi="Times New Roman" w:cs="Times New Roman"/>
                <w:sz w:val="20"/>
                <w:szCs w:val="20"/>
              </w:rPr>
              <w:t>Radio</w:t>
            </w:r>
          </w:p>
        </w:tc>
        <w:tc>
          <w:tcPr>
            <w:tcW w:w="249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39B731A" w14:textId="1DF9897D"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Local NGO</w:t>
            </w:r>
          </w:p>
        </w:tc>
        <w:tc>
          <w:tcPr>
            <w:tcW w:w="217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9B920D" w14:textId="4F3E1571"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Russia named explicitly</w:t>
            </w:r>
          </w:p>
        </w:tc>
        <w:tc>
          <w:tcPr>
            <w:tcW w:w="2171" w:type="dxa"/>
            <w:tcBorders>
              <w:top w:val="single" w:sz="1" w:space="0" w:color="CCCCCC"/>
              <w:left w:val="single" w:sz="1" w:space="0" w:color="CCCCCC"/>
              <w:bottom w:val="single" w:sz="1" w:space="0" w:color="CCCCCC"/>
              <w:right w:val="single" w:sz="1" w:space="0" w:color="CCCCCC"/>
            </w:tcBorders>
          </w:tcPr>
          <w:p w14:paraId="443EBBE3" w14:textId="113C0C32" w:rsidR="00336691" w:rsidRPr="00D22BD7" w:rsidRDefault="00336691" w:rsidP="00D22BD7">
            <w:pPr>
              <w:spacing w:line="360" w:lineRule="auto"/>
              <w:rPr>
                <w:rFonts w:ascii="Times New Roman" w:hAnsi="Times New Roman" w:cs="Times New Roman"/>
                <w:sz w:val="20"/>
                <w:szCs w:val="20"/>
              </w:rPr>
            </w:pPr>
            <w:r w:rsidRPr="00D22BD7">
              <w:rPr>
                <w:rFonts w:ascii="Times New Roman" w:hAnsi="Times New Roman" w:cs="Times New Roman"/>
                <w:sz w:val="20"/>
                <w:szCs w:val="20"/>
              </w:rPr>
              <w:t xml:space="preserve"> Radio</w:t>
            </w:r>
          </w:p>
        </w:tc>
      </w:tr>
    </w:tbl>
    <w:p w14:paraId="52B25ED5" w14:textId="77777777" w:rsidR="007F4B3B" w:rsidRPr="00D22BD7" w:rsidRDefault="00000000" w:rsidP="00D22BD7">
      <w:pPr>
        <w:spacing w:before="80" w:after="160" w:line="360" w:lineRule="auto"/>
        <w:jc w:val="center"/>
        <w:rPr>
          <w:rFonts w:ascii="Times New Roman" w:hAnsi="Times New Roman" w:cs="Times New Roman"/>
        </w:rPr>
      </w:pPr>
      <w:r w:rsidRPr="00D22BD7">
        <w:rPr>
          <w:rFonts w:ascii="Times New Roman" w:hAnsi="Times New Roman" w:cs="Times New Roman"/>
          <w:i/>
          <w:iCs/>
          <w:color w:val="666666"/>
          <w:sz w:val="20"/>
          <w:szCs w:val="20"/>
        </w:rPr>
        <w:t>Table 1: Experimental Arms</w:t>
      </w:r>
    </w:p>
    <w:p w14:paraId="1FECEA9F" w14:textId="2F76F1D6"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Randomization is implemented at the survey programming level, with 1,000 respondents assigned to the control group and 500 with equal probability to one of the eight treatment groups. Randomization is stratified by age group, education, </w:t>
      </w:r>
      <w:r w:rsidR="00E66ECB" w:rsidRPr="00F536B3">
        <w:rPr>
          <w:rFonts w:ascii="Times New Roman" w:hAnsi="Times New Roman" w:cs="Times New Roman"/>
          <w:lang w:val="en-US"/>
        </w:rPr>
        <w:t>admin1-region, and</w:t>
      </w:r>
      <w:r w:rsidRPr="00F536B3">
        <w:rPr>
          <w:rFonts w:ascii="Times New Roman" w:hAnsi="Times New Roman" w:cs="Times New Roman"/>
          <w:lang w:val="en-US"/>
        </w:rPr>
        <w:t xml:space="preserve"> gender to ensure balance on these dimensions across arms. Treatment assignment is recorded automatically by the survey platform.</w:t>
      </w:r>
    </w:p>
    <w:p w14:paraId="5EF1960C" w14:textId="77777777"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3.3 Survey Structure and Flow</w:t>
      </w:r>
    </w:p>
    <w:p w14:paraId="751644B7"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All respondents complete the following sections in order:</w:t>
      </w:r>
    </w:p>
    <w:p w14:paraId="72571212" w14:textId="77777777" w:rsidR="007F4B3B" w:rsidRPr="00D22BD7" w:rsidRDefault="00000000" w:rsidP="00D22BD7">
      <w:pPr>
        <w:pStyle w:val="Liststycke"/>
        <w:numPr>
          <w:ilvl w:val="0"/>
          <w:numId w:val="3"/>
        </w:numPr>
        <w:spacing w:after="80" w:line="360" w:lineRule="auto"/>
        <w:rPr>
          <w:rFonts w:ascii="Times New Roman" w:hAnsi="Times New Roman" w:cs="Times New Roman"/>
        </w:rPr>
      </w:pPr>
      <w:r w:rsidRPr="00D22BD7">
        <w:rPr>
          <w:rFonts w:ascii="Times New Roman" w:hAnsi="Times New Roman" w:cs="Times New Roman"/>
        </w:rPr>
        <w:t>Section A: Consent and introduction</w:t>
      </w:r>
    </w:p>
    <w:p w14:paraId="115D2478" w14:textId="77777777"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Section B: Demographics (gender, age, education, employment, income, urban/rural, region)</w:t>
      </w:r>
    </w:p>
    <w:p w14:paraId="3D4CC0AC" w14:textId="77777777"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Section C: Media consumption (frequency of use for TV, radio, Facebook, WhatsApp/Telegram, TikTok, YouTube, online news, print, friends/family; primary news source)</w:t>
      </w:r>
    </w:p>
    <w:p w14:paraId="44885F59" w14:textId="16DA26DA"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 xml:space="preserve">Section D: Trust battery (trust in people in general, </w:t>
      </w:r>
      <w:r w:rsidR="00EB7532" w:rsidRPr="00F536B3">
        <w:rPr>
          <w:rFonts w:ascii="Times New Roman" w:hAnsi="Times New Roman" w:cs="Times New Roman"/>
          <w:lang w:val="en-US"/>
        </w:rPr>
        <w:t>neighbours</w:t>
      </w:r>
      <w:r w:rsidRPr="00F536B3">
        <w:rPr>
          <w:rFonts w:ascii="Times New Roman" w:hAnsi="Times New Roman" w:cs="Times New Roman"/>
          <w:lang w:val="en-US"/>
        </w:rPr>
        <w:t>, national government, courts, police, civil society, media, United States, Russia, China, European Union, United Nations; scale 1–5)</w:t>
      </w:r>
    </w:p>
    <w:p w14:paraId="3EBEC381" w14:textId="16405853"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lastRenderedPageBreak/>
        <w:t>Section E: Messages and evaluation task</w:t>
      </w:r>
      <w:r w:rsidR="0081084F" w:rsidRPr="00F536B3">
        <w:rPr>
          <w:rFonts w:ascii="Times New Roman" w:hAnsi="Times New Roman" w:cs="Times New Roman"/>
          <w:lang w:val="en-US"/>
        </w:rPr>
        <w:t xml:space="preserve"> (</w:t>
      </w:r>
      <w:r w:rsidRPr="00F536B3">
        <w:rPr>
          <w:rFonts w:ascii="Times New Roman" w:hAnsi="Times New Roman" w:cs="Times New Roman"/>
          <w:lang w:val="en-US"/>
        </w:rPr>
        <w:t>all respondents read two social media posts and evaluate them on writing quality</w:t>
      </w:r>
      <w:r w:rsidR="0081084F" w:rsidRPr="00F536B3">
        <w:rPr>
          <w:rFonts w:ascii="Times New Roman" w:hAnsi="Times New Roman" w:cs="Times New Roman"/>
          <w:lang w:val="en-US"/>
        </w:rPr>
        <w:t>,</w:t>
      </w:r>
      <w:r w:rsidRPr="00F536B3">
        <w:rPr>
          <w:rFonts w:ascii="Times New Roman" w:hAnsi="Times New Roman" w:cs="Times New Roman"/>
          <w:lang w:val="en-US"/>
        </w:rPr>
        <w:t xml:space="preserve"> see Section 3.4)</w:t>
      </w:r>
    </w:p>
    <w:p w14:paraId="375F1477" w14:textId="5B29C1E7"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 xml:space="preserve">Section F: Warning treatment </w:t>
      </w:r>
      <w:r w:rsidR="0081084F" w:rsidRPr="00F536B3">
        <w:rPr>
          <w:rFonts w:ascii="Times New Roman" w:hAnsi="Times New Roman" w:cs="Times New Roman"/>
          <w:lang w:val="en-US"/>
        </w:rPr>
        <w:t>(</w:t>
      </w:r>
      <w:r w:rsidRPr="00F536B3">
        <w:rPr>
          <w:rFonts w:ascii="Times New Roman" w:hAnsi="Times New Roman" w:cs="Times New Roman"/>
          <w:lang w:val="en-US"/>
        </w:rPr>
        <w:t>treatment groups G2–G9 receive a warning message attributed to the relevant source, relevant actor attribution, and using the assigned medium</w:t>
      </w:r>
      <w:r w:rsidR="0081084F" w:rsidRPr="00F536B3">
        <w:rPr>
          <w:rFonts w:ascii="Times New Roman" w:hAnsi="Times New Roman" w:cs="Times New Roman"/>
          <w:lang w:val="en-US"/>
        </w:rPr>
        <w:t xml:space="preserve"> whereas</w:t>
      </w:r>
      <w:r w:rsidRPr="00F536B3">
        <w:rPr>
          <w:rFonts w:ascii="Times New Roman" w:hAnsi="Times New Roman" w:cs="Times New Roman"/>
          <w:lang w:val="en-US"/>
        </w:rPr>
        <w:t xml:space="preserve"> the control group (G1) receives no warning</w:t>
      </w:r>
      <w:r w:rsidR="0081084F" w:rsidRPr="00F536B3">
        <w:rPr>
          <w:rFonts w:ascii="Times New Roman" w:hAnsi="Times New Roman" w:cs="Times New Roman"/>
          <w:lang w:val="en-US"/>
        </w:rPr>
        <w:t>)</w:t>
      </w:r>
    </w:p>
    <w:p w14:paraId="55A0E296" w14:textId="6C992FBD"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 xml:space="preserve">Section G: Primary outcome measures </w:t>
      </w:r>
      <w:r w:rsidR="0081084F" w:rsidRPr="00F536B3">
        <w:rPr>
          <w:rFonts w:ascii="Times New Roman" w:hAnsi="Times New Roman" w:cs="Times New Roman"/>
          <w:lang w:val="en-US"/>
        </w:rPr>
        <w:t>(</w:t>
      </w:r>
      <w:r w:rsidRPr="00F536B3">
        <w:rPr>
          <w:rFonts w:ascii="Times New Roman" w:hAnsi="Times New Roman" w:cs="Times New Roman"/>
          <w:lang w:val="en-US"/>
        </w:rPr>
        <w:t>sharing intention and offline discussion intention for each message</w:t>
      </w:r>
      <w:r w:rsidR="0081084F" w:rsidRPr="00F536B3">
        <w:rPr>
          <w:rFonts w:ascii="Times New Roman" w:hAnsi="Times New Roman" w:cs="Times New Roman"/>
          <w:lang w:val="en-US"/>
        </w:rPr>
        <w:t>)</w:t>
      </w:r>
    </w:p>
    <w:p w14:paraId="182167AA" w14:textId="6CD22C6D"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 xml:space="preserve">Section H: Secondary outcome measures </w:t>
      </w:r>
      <w:r w:rsidR="0081084F" w:rsidRPr="00F536B3">
        <w:rPr>
          <w:rFonts w:ascii="Times New Roman" w:hAnsi="Times New Roman" w:cs="Times New Roman"/>
          <w:lang w:val="en-US"/>
        </w:rPr>
        <w:t>(</w:t>
      </w:r>
      <w:r w:rsidRPr="00F536B3">
        <w:rPr>
          <w:rFonts w:ascii="Times New Roman" w:hAnsi="Times New Roman" w:cs="Times New Roman"/>
          <w:lang w:val="en-US"/>
        </w:rPr>
        <w:t>agreement with international affairs statements (belief battery); suspicion ratings for each message; warning credibility rating)</w:t>
      </w:r>
    </w:p>
    <w:p w14:paraId="5492B00F" w14:textId="77777777" w:rsidR="007F4B3B" w:rsidRPr="00F536B3" w:rsidRDefault="007F4B3B" w:rsidP="00D22BD7">
      <w:pPr>
        <w:spacing w:line="360" w:lineRule="auto"/>
        <w:rPr>
          <w:rFonts w:ascii="Times New Roman" w:hAnsi="Times New Roman" w:cs="Times New Roman"/>
          <w:lang w:val="en-US"/>
        </w:rPr>
      </w:pPr>
    </w:p>
    <w:p w14:paraId="1A791E59"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The order of the two messages in Section E is randomized across respondents. The order of items in the international affairs battery (Section H) is also randomized.</w:t>
      </w:r>
    </w:p>
    <w:p w14:paraId="338DE937" w14:textId="77777777"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3.4 Disinformation Stimuli</w:t>
      </w:r>
    </w:p>
    <w:p w14:paraId="6638B540" w14:textId="07B093B8"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All respondents are exposed to two disinformation messages, presented as social media posts, in Section E. The messages represent two distinct categories of Russian disinformation that are relevant to the Kenyan context, see below.</w:t>
      </w:r>
    </w:p>
    <w:p w14:paraId="79597E7D" w14:textId="77777777" w:rsidR="00EB7532" w:rsidRPr="00F536B3" w:rsidRDefault="00EB7532" w:rsidP="00D22BD7">
      <w:pPr>
        <w:spacing w:after="160" w:line="360" w:lineRule="auto"/>
        <w:rPr>
          <w:rFonts w:ascii="Times New Roman" w:hAnsi="Times New Roman" w:cs="Times New Roman"/>
          <w:lang w:val="en-US"/>
        </w:rPr>
      </w:pPr>
    </w:p>
    <w:p w14:paraId="03DC1066" w14:textId="3B0C3B71" w:rsidR="003D251B" w:rsidRPr="00D22BD7" w:rsidRDefault="003D251B" w:rsidP="00D22BD7">
      <w:pPr>
        <w:spacing w:after="160" w:line="360" w:lineRule="auto"/>
        <w:jc w:val="center"/>
        <w:rPr>
          <w:rFonts w:ascii="Times New Roman" w:hAnsi="Times New Roman" w:cs="Times New Roman"/>
        </w:rPr>
      </w:pPr>
      <w:r w:rsidRPr="00D22BD7">
        <w:rPr>
          <w:rFonts w:ascii="Times New Roman" w:hAnsi="Times New Roman" w:cs="Times New Roman"/>
          <w:noProof/>
        </w:rPr>
        <w:drawing>
          <wp:inline distT="0" distB="0" distL="0" distR="0" wp14:anchorId="0C660268" wp14:editId="06889D9B">
            <wp:extent cx="2433484" cy="2794000"/>
            <wp:effectExtent l="0" t="0" r="5080" b="6350"/>
            <wp:docPr id="168424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4370" name=""/>
                    <pic:cNvPicPr/>
                  </pic:nvPicPr>
                  <pic:blipFill>
                    <a:blip r:embed="rId9"/>
                    <a:stretch>
                      <a:fillRect/>
                    </a:stretch>
                  </pic:blipFill>
                  <pic:spPr>
                    <a:xfrm>
                      <a:off x="0" y="0"/>
                      <a:ext cx="2450642" cy="2813700"/>
                    </a:xfrm>
                    <a:prstGeom prst="rect">
                      <a:avLst/>
                    </a:prstGeom>
                  </pic:spPr>
                </pic:pic>
              </a:graphicData>
            </a:graphic>
          </wp:inline>
        </w:drawing>
      </w:r>
      <w:r w:rsidR="0081084F">
        <w:rPr>
          <w:rFonts w:ascii="Times New Roman" w:hAnsi="Times New Roman" w:cs="Times New Roman"/>
        </w:rPr>
        <w:t xml:space="preserve">       </w:t>
      </w:r>
      <w:r w:rsidRPr="00D22BD7">
        <w:rPr>
          <w:rFonts w:ascii="Times New Roman" w:hAnsi="Times New Roman" w:cs="Times New Roman"/>
          <w:noProof/>
        </w:rPr>
        <w:drawing>
          <wp:inline distT="0" distB="0" distL="0" distR="0" wp14:anchorId="03753B2E" wp14:editId="62F03E38">
            <wp:extent cx="2422171" cy="2667000"/>
            <wp:effectExtent l="0" t="0" r="0" b="0"/>
            <wp:docPr id="209200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07193" name=""/>
                    <pic:cNvPicPr/>
                  </pic:nvPicPr>
                  <pic:blipFill>
                    <a:blip r:embed="rId10"/>
                    <a:stretch>
                      <a:fillRect/>
                    </a:stretch>
                  </pic:blipFill>
                  <pic:spPr>
                    <a:xfrm>
                      <a:off x="0" y="0"/>
                      <a:ext cx="2433113" cy="2679048"/>
                    </a:xfrm>
                    <a:prstGeom prst="rect">
                      <a:avLst/>
                    </a:prstGeom>
                  </pic:spPr>
                </pic:pic>
              </a:graphicData>
            </a:graphic>
          </wp:inline>
        </w:drawing>
      </w:r>
    </w:p>
    <w:p w14:paraId="288E4306" w14:textId="77777777" w:rsidR="007F4B3B" w:rsidRPr="00D22BD7" w:rsidRDefault="007F4B3B" w:rsidP="00D22BD7">
      <w:pPr>
        <w:spacing w:after="160" w:line="360" w:lineRule="auto"/>
        <w:rPr>
          <w:rFonts w:ascii="Times New Roman" w:hAnsi="Times New Roman" w:cs="Times New Roman"/>
        </w:rPr>
      </w:pPr>
    </w:p>
    <w:p w14:paraId="42F375BD" w14:textId="7E6BD23F"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These stimuli were selected following a piloting exercise designed to identify messages that avoid floor and ceiling effects in believability and sharing intention. The general message targets anti-Western sentiment around food sovereignty and GMO concerns; the recruitment message targets the documented deceptive recruitment operations in Kenya in which criminal syndicates posing as legitimate work-abroad recruiters directed job seekers toward Russian military service.</w:t>
      </w:r>
    </w:p>
    <w:p w14:paraId="10F8B332" w14:textId="6F470F85"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To ensure that respondents read each message carefully before outcome questions are asked, the task is framed as a writing quality evaluation: respondents are asked to rate each message on a 1–7 scale for how professionally written it is. This provides a plausible cover task that requires careful reading without the dual-task interference of orthographic correction </w:t>
      </w:r>
      <w:r w:rsidR="0081084F" w:rsidRPr="00F536B3">
        <w:rPr>
          <w:rFonts w:ascii="Times New Roman" w:hAnsi="Times New Roman" w:cs="Times New Roman"/>
          <w:lang w:val="en-US"/>
        </w:rPr>
        <w:t>tasks and</w:t>
      </w:r>
      <w:r w:rsidRPr="00F536B3">
        <w:rPr>
          <w:rFonts w:ascii="Times New Roman" w:hAnsi="Times New Roman" w:cs="Times New Roman"/>
          <w:lang w:val="en-US"/>
        </w:rPr>
        <w:t xml:space="preserve"> generates a behavioral engagement covariate (response time and quality rating) that can be used to identify inattentive respondents.</w:t>
      </w:r>
    </w:p>
    <w:p w14:paraId="6B7AD4A6" w14:textId="50872059"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3.5 Warning Treatments</w:t>
      </w:r>
    </w:p>
    <w:p w14:paraId="623CE7F4" w14:textId="71BAEC25" w:rsidR="007F4B3B" w:rsidRPr="00D22BD7" w:rsidRDefault="00000000" w:rsidP="00D22BD7">
      <w:pPr>
        <w:spacing w:after="160" w:line="360" w:lineRule="auto"/>
        <w:rPr>
          <w:rFonts w:ascii="Times New Roman" w:hAnsi="Times New Roman" w:cs="Times New Roman"/>
        </w:rPr>
      </w:pPr>
      <w:r w:rsidRPr="00F536B3">
        <w:rPr>
          <w:rFonts w:ascii="Times New Roman" w:hAnsi="Times New Roman" w:cs="Times New Roman"/>
          <w:lang w:val="en-US"/>
        </w:rPr>
        <w:t xml:space="preserve">Respondents in treatment arms G2–G9 receive a warning message in Section F, after completing the message evaluation task in Section E. The warning is presented as a social media post for groups G2–G5, and as a radio announcement for groups G6–G9 in alternative medium conditions. </w:t>
      </w:r>
      <w:r w:rsidRPr="00D22BD7">
        <w:rPr>
          <w:rFonts w:ascii="Times New Roman" w:hAnsi="Times New Roman" w:cs="Times New Roman"/>
        </w:rPr>
        <w:t>The warning content varies by arm:</w:t>
      </w:r>
    </w:p>
    <w:p w14:paraId="559B5B06" w14:textId="5FE85679"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EU × Foreign Power (G2</w:t>
      </w:r>
      <w:r w:rsidRPr="00D22BD7">
        <w:rPr>
          <w:rFonts w:ascii="Times New Roman" w:hAnsi="Times New Roman" w:cs="Times New Roman"/>
          <w:lang w:val="en-US"/>
        </w:rPr>
        <w:t xml:space="preserve"> and G6</w:t>
      </w:r>
      <w:r w:rsidRPr="00F536B3">
        <w:rPr>
          <w:rFonts w:ascii="Times New Roman" w:hAnsi="Times New Roman" w:cs="Times New Roman"/>
          <w:lang w:val="en-US"/>
        </w:rPr>
        <w:t>): A warning from the European Union indicating that unspecified foreign powers are spreading disinformation on social media indicating that the preceding posts may contain false information</w:t>
      </w:r>
    </w:p>
    <w:p w14:paraId="43FFD7C9" w14:textId="045684A6"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EU × Russia (G3</w:t>
      </w:r>
      <w:r w:rsidRPr="00D22BD7">
        <w:rPr>
          <w:rFonts w:ascii="Times New Roman" w:hAnsi="Times New Roman" w:cs="Times New Roman"/>
          <w:lang w:val="en-US"/>
        </w:rPr>
        <w:t xml:space="preserve"> and G7</w:t>
      </w:r>
      <w:r w:rsidRPr="00F536B3">
        <w:rPr>
          <w:rFonts w:ascii="Times New Roman" w:hAnsi="Times New Roman" w:cs="Times New Roman"/>
          <w:lang w:val="en-US"/>
        </w:rPr>
        <w:t>): Identical to G2 but with Russia named explicitly as the source of the disinformation</w:t>
      </w:r>
    </w:p>
    <w:p w14:paraId="4906155B" w14:textId="195B5281"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Local NGO × Foreign Power (G4</w:t>
      </w:r>
      <w:r w:rsidRPr="00D22BD7">
        <w:rPr>
          <w:rFonts w:ascii="Times New Roman" w:hAnsi="Times New Roman" w:cs="Times New Roman"/>
          <w:lang w:val="en-US"/>
        </w:rPr>
        <w:t xml:space="preserve"> and G8</w:t>
      </w:r>
      <w:r w:rsidRPr="00F536B3">
        <w:rPr>
          <w:rFonts w:ascii="Times New Roman" w:hAnsi="Times New Roman" w:cs="Times New Roman"/>
          <w:lang w:val="en-US"/>
        </w:rPr>
        <w:t>): Identical warning content to G2 but attributed to a named local independent fact-checking organization</w:t>
      </w:r>
    </w:p>
    <w:p w14:paraId="096E2E03" w14:textId="22137BCB" w:rsidR="007F4B3B" w:rsidRPr="00F536B3" w:rsidRDefault="00000000" w:rsidP="00D22BD7">
      <w:pPr>
        <w:pStyle w:val="Liststycke"/>
        <w:numPr>
          <w:ilvl w:val="0"/>
          <w:numId w:val="3"/>
        </w:numPr>
        <w:spacing w:after="80" w:line="360" w:lineRule="auto"/>
        <w:rPr>
          <w:rFonts w:ascii="Times New Roman" w:hAnsi="Times New Roman" w:cs="Times New Roman"/>
          <w:lang w:val="en-US"/>
        </w:rPr>
      </w:pPr>
      <w:r w:rsidRPr="00F536B3">
        <w:rPr>
          <w:rFonts w:ascii="Times New Roman" w:hAnsi="Times New Roman" w:cs="Times New Roman"/>
          <w:lang w:val="en-US"/>
        </w:rPr>
        <w:t>Local NGO × Russia (G5</w:t>
      </w:r>
      <w:r w:rsidRPr="00D22BD7">
        <w:rPr>
          <w:rFonts w:ascii="Times New Roman" w:hAnsi="Times New Roman" w:cs="Times New Roman"/>
          <w:lang w:val="en-US"/>
        </w:rPr>
        <w:t xml:space="preserve"> and G9</w:t>
      </w:r>
      <w:r w:rsidRPr="00F536B3">
        <w:rPr>
          <w:rFonts w:ascii="Times New Roman" w:hAnsi="Times New Roman" w:cs="Times New Roman"/>
          <w:lang w:val="en-US"/>
        </w:rPr>
        <w:t>): Identical to G4 but with Russia named explicitly</w:t>
      </w:r>
    </w:p>
    <w:p w14:paraId="62E7D66B" w14:textId="77777777" w:rsidR="007F4B3B" w:rsidRPr="00F536B3" w:rsidRDefault="007F4B3B" w:rsidP="00D22BD7">
      <w:pPr>
        <w:spacing w:line="360" w:lineRule="auto"/>
        <w:rPr>
          <w:rFonts w:ascii="Times New Roman" w:hAnsi="Times New Roman" w:cs="Times New Roman"/>
          <w:lang w:val="en-US"/>
        </w:rPr>
      </w:pPr>
    </w:p>
    <w:p w14:paraId="7319C2F3" w14:textId="17E9B9DA"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Control respondents (G1) proceed directly from Section E to Section G with no intervening warning. </w:t>
      </w:r>
    </w:p>
    <w:p w14:paraId="3E58DCB0" w14:textId="77777777" w:rsidR="007F4B3B" w:rsidRPr="00F536B3" w:rsidRDefault="007F4B3B" w:rsidP="00D22BD7">
      <w:pPr>
        <w:spacing w:line="360" w:lineRule="auto"/>
        <w:rPr>
          <w:rFonts w:ascii="Times New Roman" w:hAnsi="Times New Roman" w:cs="Times New Roman"/>
          <w:lang w:val="en-US"/>
        </w:rPr>
      </w:pPr>
    </w:p>
    <w:p w14:paraId="721721E1" w14:textId="77777777"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4. Hypotheses</w:t>
      </w:r>
    </w:p>
    <w:p w14:paraId="2343C9DD" w14:textId="372164BD"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The study tests five pre-registered hypotheses, organized around the three treatment dimensions</w:t>
      </w:r>
      <w:r w:rsidR="008100F2" w:rsidRPr="00F536B3">
        <w:rPr>
          <w:rFonts w:ascii="Times New Roman" w:hAnsi="Times New Roman" w:cs="Times New Roman"/>
          <w:lang w:val="en-US"/>
        </w:rPr>
        <w:t xml:space="preserve"> - </w:t>
      </w:r>
      <w:r w:rsidRPr="00F536B3">
        <w:rPr>
          <w:rFonts w:ascii="Times New Roman" w:hAnsi="Times New Roman" w:cs="Times New Roman"/>
          <w:lang w:val="en-US"/>
        </w:rPr>
        <w:t xml:space="preserve"> warning source, actor attribution, and medium</w:t>
      </w:r>
      <w:r w:rsidR="008100F2" w:rsidRPr="00F536B3">
        <w:rPr>
          <w:rFonts w:ascii="Times New Roman" w:hAnsi="Times New Roman" w:cs="Times New Roman"/>
          <w:lang w:val="en-US"/>
        </w:rPr>
        <w:t xml:space="preserve"> -</w:t>
      </w:r>
      <w:r w:rsidR="00CC7F76" w:rsidRPr="00F536B3">
        <w:rPr>
          <w:rFonts w:ascii="Times New Roman" w:hAnsi="Times New Roman" w:cs="Times New Roman"/>
          <w:lang w:val="en-US"/>
        </w:rPr>
        <w:t xml:space="preserve"> </w:t>
      </w:r>
      <w:r w:rsidRPr="00F536B3">
        <w:rPr>
          <w:rFonts w:ascii="Times New Roman" w:hAnsi="Times New Roman" w:cs="Times New Roman"/>
          <w:lang w:val="en-US"/>
        </w:rPr>
        <w:t>and their interaction</w:t>
      </w:r>
      <w:r w:rsidR="00CC7F76" w:rsidRPr="00F536B3">
        <w:rPr>
          <w:rFonts w:ascii="Times New Roman" w:hAnsi="Times New Roman" w:cs="Times New Roman"/>
          <w:lang w:val="en-US"/>
        </w:rPr>
        <w:t>s</w:t>
      </w:r>
      <w:r w:rsidRPr="00F536B3">
        <w:rPr>
          <w:rFonts w:ascii="Times New Roman" w:hAnsi="Times New Roman" w:cs="Times New Roman"/>
          <w:lang w:val="en-US"/>
        </w:rPr>
        <w:t xml:space="preserve">. </w:t>
      </w:r>
      <w:r w:rsidR="00CC7F76" w:rsidRPr="00F536B3">
        <w:rPr>
          <w:rFonts w:ascii="Times New Roman" w:hAnsi="Times New Roman" w:cs="Times New Roman"/>
          <w:lang w:val="en-US"/>
        </w:rPr>
        <w:t xml:space="preserve">Since </w:t>
      </w:r>
      <w:r w:rsidRPr="00F536B3">
        <w:rPr>
          <w:rFonts w:ascii="Times New Roman" w:hAnsi="Times New Roman" w:cs="Times New Roman"/>
          <w:lang w:val="en-US"/>
        </w:rPr>
        <w:t>our warnings name a specific claim and a specific source rather than offering a content-neutral reminder</w:t>
      </w:r>
      <w:r w:rsidR="00CC7F76" w:rsidRPr="00F536B3">
        <w:rPr>
          <w:rFonts w:ascii="Times New Roman" w:hAnsi="Times New Roman" w:cs="Times New Roman"/>
          <w:lang w:val="en-US"/>
        </w:rPr>
        <w:t xml:space="preserve"> of the existence of disinformation</w:t>
      </w:r>
      <w:r w:rsidRPr="00F536B3">
        <w:rPr>
          <w:rFonts w:ascii="Times New Roman" w:hAnsi="Times New Roman" w:cs="Times New Roman"/>
          <w:lang w:val="en-US"/>
        </w:rPr>
        <w:t xml:space="preserve">, they most closely resemble the source-attributed fact-check treatment in </w:t>
      </w:r>
      <w:r w:rsidR="00CC7F76" w:rsidRPr="00F536B3">
        <w:rPr>
          <w:rFonts w:ascii="Times New Roman" w:hAnsi="Times New Roman" w:cs="Times New Roman"/>
          <w:lang w:val="en-US"/>
        </w:rPr>
        <w:t>Guriev et al (forthcoming). This allows us to learn about the role of the credibility of the source</w:t>
      </w:r>
      <w:r w:rsidRPr="00F536B3">
        <w:rPr>
          <w:rFonts w:ascii="Times New Roman" w:hAnsi="Times New Roman" w:cs="Times New Roman"/>
          <w:lang w:val="en-US"/>
        </w:rPr>
        <w:t xml:space="preserve">, and </w:t>
      </w:r>
      <w:r w:rsidR="00CC7F76" w:rsidRPr="00F536B3">
        <w:rPr>
          <w:rFonts w:ascii="Times New Roman" w:hAnsi="Times New Roman" w:cs="Times New Roman"/>
          <w:lang w:val="en-US"/>
        </w:rPr>
        <w:t xml:space="preserve">perceived partisanship, </w:t>
      </w:r>
      <w:r w:rsidR="000152AD" w:rsidRPr="00F536B3">
        <w:rPr>
          <w:rFonts w:ascii="Times New Roman" w:hAnsi="Times New Roman" w:cs="Times New Roman"/>
          <w:lang w:val="en-US"/>
        </w:rPr>
        <w:t xml:space="preserve">in sharing intention. </w:t>
      </w:r>
    </w:p>
    <w:p w14:paraId="7AA3D868" w14:textId="77777777" w:rsidR="00E03358"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H1: Main effect of debunking warnings</w:t>
      </w:r>
    </w:p>
    <w:p w14:paraId="7AB205AA" w14:textId="21F57472" w:rsidR="00E03358" w:rsidRPr="00F536B3" w:rsidRDefault="000152AD"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We expect the warnings to reduce sharing intention at least in part by updating respondents' beliefs about the veracity of each post, rather than through a purely generic reluctance to engage. We will use the post-level suspicion rating (Section 5.2) as a secondary, descriptive check on whether warnings shift perceived veracity and not only stated sharing intentions. We expect </w:t>
      </w:r>
      <w:r w:rsidR="00343AC2" w:rsidRPr="00F536B3">
        <w:rPr>
          <w:rFonts w:ascii="Times New Roman" w:hAnsi="Times New Roman" w:cs="Times New Roman"/>
          <w:lang w:val="en-US"/>
        </w:rPr>
        <w:t xml:space="preserve">negative </w:t>
      </w:r>
      <w:r w:rsidRPr="00F536B3">
        <w:rPr>
          <w:rFonts w:ascii="Times New Roman" w:hAnsi="Times New Roman" w:cs="Times New Roman"/>
          <w:lang w:val="en-US"/>
        </w:rPr>
        <w:t>effects (i.e., reduced sharing) across both message types, and we anticipate larger effects for the recruitment message (Message 1), where the warning content more directly contradicts the stimulus and where sharing misleading information may be considered more risky for personal reputation, consistent with the role reputational concerns play in sharing decisions more generally (Guriev et al., forthcoming).</w:t>
      </w:r>
    </w:p>
    <w:p w14:paraId="1A903C94" w14:textId="77777777" w:rsidR="00E03358"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H2: Source credibility effect</w:t>
      </w:r>
    </w:p>
    <w:p w14:paraId="2A70A9F2" w14:textId="2158B01A"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This hypothesis is grounded in source-credibility theory and in the specific context of Kenya, where the EU may be perceived as a self-interested actor with a political stake in the Ukraine conflict. </w:t>
      </w:r>
      <w:r w:rsidR="000152AD" w:rsidRPr="00F536B3">
        <w:rPr>
          <w:rFonts w:ascii="Times New Roman" w:hAnsi="Times New Roman" w:cs="Times New Roman"/>
          <w:lang w:val="en-US"/>
        </w:rPr>
        <w:t>Much of p</w:t>
      </w:r>
      <w:r w:rsidRPr="00F536B3">
        <w:rPr>
          <w:rFonts w:ascii="Times New Roman" w:hAnsi="Times New Roman" w:cs="Times New Roman"/>
          <w:lang w:val="en-US"/>
        </w:rPr>
        <w:t>rior experimental work on debunking interventions</w:t>
      </w:r>
      <w:r w:rsidR="000152AD" w:rsidRPr="00F536B3">
        <w:rPr>
          <w:rFonts w:ascii="Times New Roman" w:hAnsi="Times New Roman" w:cs="Times New Roman"/>
          <w:lang w:val="en-US"/>
        </w:rPr>
        <w:t xml:space="preserve"> </w:t>
      </w:r>
      <w:r w:rsidRPr="00F536B3">
        <w:rPr>
          <w:rFonts w:ascii="Times New Roman" w:hAnsi="Times New Roman" w:cs="Times New Roman"/>
          <w:lang w:val="en-US"/>
        </w:rPr>
        <w:t>holds the identity of the fact-checking source fixed and so cannot speak to this dimension</w:t>
      </w:r>
      <w:r w:rsidR="000152AD" w:rsidRPr="00F536B3">
        <w:rPr>
          <w:rFonts w:ascii="Times New Roman" w:hAnsi="Times New Roman" w:cs="Times New Roman"/>
          <w:lang w:val="en-US"/>
        </w:rPr>
        <w:t>. W</w:t>
      </w:r>
      <w:r w:rsidRPr="00F536B3">
        <w:rPr>
          <w:rFonts w:ascii="Times New Roman" w:hAnsi="Times New Roman" w:cs="Times New Roman"/>
          <w:lang w:val="en-US"/>
        </w:rPr>
        <w:t>e test it directly by crossing warning source with the other two treatment arms. Prior work in European contexts finds mixed results on the domestic vs. supranational source dimension</w:t>
      </w:r>
      <w:r w:rsidR="000152AD" w:rsidRPr="00F536B3">
        <w:rPr>
          <w:rFonts w:ascii="Times New Roman" w:hAnsi="Times New Roman" w:cs="Times New Roman"/>
          <w:lang w:val="en-US"/>
        </w:rPr>
        <w:t>.</w:t>
      </w:r>
      <w:r w:rsidRPr="00F536B3">
        <w:rPr>
          <w:rFonts w:ascii="Times New Roman" w:hAnsi="Times New Roman" w:cs="Times New Roman"/>
          <w:lang w:val="en-US"/>
        </w:rPr>
        <w:t xml:space="preserve"> </w:t>
      </w:r>
      <w:r w:rsidR="000152AD" w:rsidRPr="00F536B3">
        <w:rPr>
          <w:rFonts w:ascii="Times New Roman" w:hAnsi="Times New Roman" w:cs="Times New Roman"/>
          <w:lang w:val="en-US"/>
        </w:rPr>
        <w:t>W</w:t>
      </w:r>
      <w:r w:rsidRPr="00F536B3">
        <w:rPr>
          <w:rFonts w:ascii="Times New Roman" w:hAnsi="Times New Roman" w:cs="Times New Roman"/>
          <w:lang w:val="en-US"/>
        </w:rPr>
        <w:t>e expect the domestic-source advantage to be larger in Kenya given the salience of anti-colonial and pan-African identity framings.</w:t>
      </w:r>
    </w:p>
    <w:p w14:paraId="3F347AE3" w14:textId="77777777" w:rsidR="00E03358"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lastRenderedPageBreak/>
        <w:t>H3: Actor attribution effect</w:t>
      </w:r>
    </w:p>
    <w:p w14:paraId="5B5B255D" w14:textId="6488DB34"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This hypothesis departs from a simple directional prediction because the effect of naming Russia is theoretically ambiguous: it may increase warning effectiveness for respondents who are already </w:t>
      </w:r>
      <w:r w:rsidR="00DA6AF2" w:rsidRPr="00F536B3">
        <w:rPr>
          <w:rFonts w:ascii="Times New Roman" w:hAnsi="Times New Roman" w:cs="Times New Roman"/>
          <w:lang w:val="en-US"/>
        </w:rPr>
        <w:t>sceptical</w:t>
      </w:r>
      <w:r w:rsidRPr="00F536B3">
        <w:rPr>
          <w:rFonts w:ascii="Times New Roman" w:hAnsi="Times New Roman" w:cs="Times New Roman"/>
          <w:lang w:val="en-US"/>
        </w:rPr>
        <w:t xml:space="preserve"> of Russia but may trigger reactance or disbelief among respondents who hold favorable views of Russia as a geopolitical actor. We therefore frame this as an interaction hypothesis, tested through heterogeneity analysis by respondents' baseline relative trust in Russia versus Western institutions (Section 8), rather than through a directional main-effect prediction.</w:t>
      </w:r>
    </w:p>
    <w:p w14:paraId="52B544E3" w14:textId="77777777" w:rsidR="00E03358"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H4: Interaction of source and attribution</w:t>
      </w:r>
    </w:p>
    <w:p w14:paraId="0F20AC15" w14:textId="60468D16"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This hypothesis captures the possibility that the source and attribution dimensions interact: an EU warning that also names Russia may be read as political messaging rather than neutral fact-checking, amplifying the source-credibility disadvantage of EU attribution documented under H2. We test this interaction directly within each warning source (see Table 2).</w:t>
      </w:r>
    </w:p>
    <w:p w14:paraId="73765F84" w14:textId="77777777" w:rsidR="00E03358"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H5: Medium effect</w:t>
      </w:r>
    </w:p>
    <w:p w14:paraId="1F3B4C82" w14:textId="10B28733"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This hypothesis captures the possibility that debunking messages carry different credibility, and impose different demands on attention, depending on the medium through which they are delivered. Radio remains a widely trusted source of news in Kenya, distinct from its entertainment function, and a radio advertisement heard in the course of normal listening may impose a different engagement cost than a social media post that must be actively read and dismissed</w:t>
      </w:r>
      <w:r w:rsidR="00DA6AF2" w:rsidRPr="00F536B3">
        <w:rPr>
          <w:rFonts w:ascii="Times New Roman" w:hAnsi="Times New Roman" w:cs="Times New Roman"/>
          <w:lang w:val="en-US"/>
        </w:rPr>
        <w:t xml:space="preserve">, </w:t>
      </w:r>
      <w:r w:rsidRPr="00F536B3">
        <w:rPr>
          <w:rFonts w:ascii="Times New Roman" w:hAnsi="Times New Roman" w:cs="Times New Roman"/>
          <w:lang w:val="en-US"/>
        </w:rPr>
        <w:t>in the language of the cost-of-engagement channel identified by Guriev et al. (forthcoming; see also Ershov &amp; Morales, 2024, on sharing frictions on Twitter/X). We hypothesize that radio warnings will be perceived as more credible than social-media warnings, though the net effect on sharing intention is, a priori, ambiguous given this offsetting cost channel.</w:t>
      </w:r>
    </w:p>
    <w:p w14:paraId="117A3C78" w14:textId="77777777"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5. Outcome Measures</w:t>
      </w:r>
    </w:p>
    <w:p w14:paraId="196E8D0E" w14:textId="77777777"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5.1 Primary Outcomes</w:t>
      </w:r>
    </w:p>
    <w:p w14:paraId="78D9C686" w14:textId="3696ABA9" w:rsidR="00301CB7" w:rsidRPr="00F536B3" w:rsidRDefault="00301CB7" w:rsidP="00301CB7">
      <w:pPr>
        <w:pStyle w:val="Rubrik2"/>
        <w:spacing w:line="360" w:lineRule="auto"/>
        <w:rPr>
          <w:rFonts w:ascii="Times New Roman" w:hAnsi="Times New Roman" w:cs="Times New Roman"/>
          <w:b w:val="0"/>
          <w:bCs w:val="0"/>
          <w:color w:val="auto"/>
          <w:sz w:val="24"/>
          <w:szCs w:val="24"/>
          <w:lang w:val="en-US"/>
        </w:rPr>
      </w:pPr>
      <w:r w:rsidRPr="00F536B3">
        <w:rPr>
          <w:rFonts w:ascii="Times New Roman" w:hAnsi="Times New Roman" w:cs="Times New Roman"/>
          <w:b w:val="0"/>
          <w:bCs w:val="0"/>
          <w:color w:val="auto"/>
          <w:sz w:val="24"/>
          <w:szCs w:val="24"/>
          <w:lang w:val="en-US"/>
        </w:rPr>
        <w:lastRenderedPageBreak/>
        <w:t>The study has two primary outcomes, both measuring intention to share content on social media:</w:t>
      </w:r>
    </w:p>
    <w:p w14:paraId="55A20B7F" w14:textId="64D631DC" w:rsidR="00301CB7" w:rsidRPr="00301CB7" w:rsidRDefault="00301CB7" w:rsidP="00301CB7">
      <w:pPr>
        <w:pStyle w:val="Rubrik2"/>
        <w:numPr>
          <w:ilvl w:val="0"/>
          <w:numId w:val="7"/>
        </w:numPr>
        <w:spacing w:line="360" w:lineRule="auto"/>
        <w:rPr>
          <w:rFonts w:ascii="Times New Roman" w:hAnsi="Times New Roman" w:cs="Times New Roman"/>
          <w:b w:val="0"/>
          <w:bCs w:val="0"/>
          <w:color w:val="auto"/>
          <w:sz w:val="24"/>
          <w:szCs w:val="24"/>
        </w:rPr>
      </w:pPr>
      <w:r w:rsidRPr="00301CB7">
        <w:rPr>
          <w:rFonts w:ascii="Times New Roman" w:hAnsi="Times New Roman" w:cs="Times New Roman"/>
          <w:b w:val="0"/>
          <w:bCs w:val="0"/>
          <w:color w:val="auto"/>
          <w:sz w:val="24"/>
          <w:szCs w:val="24"/>
        </w:rPr>
        <w:t>Sharing intention for Message 1</w:t>
      </w:r>
    </w:p>
    <w:p w14:paraId="449FFAE7" w14:textId="1C1B5B34" w:rsidR="00301CB7" w:rsidRPr="00301CB7" w:rsidRDefault="00301CB7" w:rsidP="00301CB7">
      <w:pPr>
        <w:pStyle w:val="Rubrik2"/>
        <w:numPr>
          <w:ilvl w:val="0"/>
          <w:numId w:val="7"/>
        </w:numPr>
        <w:spacing w:line="360" w:lineRule="auto"/>
        <w:rPr>
          <w:rFonts w:ascii="Times New Roman" w:hAnsi="Times New Roman" w:cs="Times New Roman"/>
          <w:b w:val="0"/>
          <w:bCs w:val="0"/>
          <w:color w:val="auto"/>
          <w:sz w:val="24"/>
          <w:szCs w:val="24"/>
        </w:rPr>
      </w:pPr>
      <w:r w:rsidRPr="00301CB7">
        <w:rPr>
          <w:rFonts w:ascii="Times New Roman" w:hAnsi="Times New Roman" w:cs="Times New Roman"/>
          <w:b w:val="0"/>
          <w:bCs w:val="0"/>
          <w:color w:val="auto"/>
          <w:sz w:val="24"/>
          <w:szCs w:val="24"/>
        </w:rPr>
        <w:t>Sharing intention for Message 2</w:t>
      </w:r>
    </w:p>
    <w:p w14:paraId="682DF252" w14:textId="74FCBFA2" w:rsidR="009A29C1" w:rsidRPr="00F536B3" w:rsidRDefault="00301CB7" w:rsidP="00301CB7">
      <w:pPr>
        <w:pStyle w:val="Rubrik2"/>
        <w:spacing w:line="360" w:lineRule="auto"/>
        <w:rPr>
          <w:rFonts w:ascii="Times New Roman" w:hAnsi="Times New Roman" w:cs="Times New Roman"/>
          <w:b w:val="0"/>
          <w:bCs w:val="0"/>
          <w:color w:val="auto"/>
          <w:sz w:val="24"/>
          <w:szCs w:val="24"/>
          <w:lang w:val="en-US"/>
        </w:rPr>
      </w:pPr>
      <w:r w:rsidRPr="00F536B3">
        <w:rPr>
          <w:rFonts w:ascii="Times New Roman" w:hAnsi="Times New Roman" w:cs="Times New Roman"/>
          <w:b w:val="0"/>
          <w:bCs w:val="0"/>
          <w:color w:val="auto"/>
          <w:sz w:val="24"/>
          <w:szCs w:val="24"/>
          <w:lang w:val="en-US"/>
        </w:rPr>
        <w:t xml:space="preserve">For each message, the outcome is a binary indicator equal to one if the respondent indicates that they would share the post on their social media feed, and zero otherwise. The two outcomes will be </w:t>
      </w:r>
      <w:r w:rsidR="00F536B3" w:rsidRPr="00F536B3">
        <w:rPr>
          <w:rFonts w:ascii="Times New Roman" w:hAnsi="Times New Roman" w:cs="Times New Roman"/>
          <w:b w:val="0"/>
          <w:bCs w:val="0"/>
          <w:color w:val="auto"/>
          <w:sz w:val="24"/>
          <w:szCs w:val="24"/>
          <w:lang w:val="en-US"/>
        </w:rPr>
        <w:t>analyzed</w:t>
      </w:r>
      <w:r w:rsidRPr="00F536B3">
        <w:rPr>
          <w:rFonts w:ascii="Times New Roman" w:hAnsi="Times New Roman" w:cs="Times New Roman"/>
          <w:b w:val="0"/>
          <w:bCs w:val="0"/>
          <w:color w:val="auto"/>
          <w:sz w:val="24"/>
          <w:szCs w:val="24"/>
          <w:lang w:val="en-US"/>
        </w:rPr>
        <w:t xml:space="preserve"> separately.</w:t>
      </w:r>
    </w:p>
    <w:p w14:paraId="72B6CA39" w14:textId="5B29A864"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5.2 Secondary Outcomes</w:t>
      </w:r>
    </w:p>
    <w:p w14:paraId="000D88AC" w14:textId="77777777" w:rsidR="009A29C1" w:rsidRPr="00F536B3" w:rsidRDefault="009A29C1" w:rsidP="009A29C1">
      <w:pPr>
        <w:spacing w:after="160" w:line="360" w:lineRule="auto"/>
        <w:rPr>
          <w:rFonts w:ascii="Times New Roman" w:hAnsi="Times New Roman" w:cs="Times New Roman"/>
          <w:lang w:val="en-US"/>
        </w:rPr>
      </w:pPr>
      <w:r w:rsidRPr="00F536B3">
        <w:rPr>
          <w:rFonts w:ascii="Times New Roman" w:hAnsi="Times New Roman" w:cs="Times New Roman"/>
          <w:lang w:val="en-US"/>
        </w:rPr>
        <w:t>Secondary outcomes include intention to discuss the messages with friends, family, or colleagues. Discussion intention will be measured separately for each of the two posts. For each post, the outcome is a binary indicator equal to one if the respondent indicates that they would discuss the post with friends, family, or colleagues, and zero otherwise.</w:t>
      </w:r>
    </w:p>
    <w:p w14:paraId="35CDF312" w14:textId="1F508D35" w:rsidR="00106F3A" w:rsidRPr="00F536B3" w:rsidRDefault="00106F3A" w:rsidP="00106F3A">
      <w:pPr>
        <w:spacing w:line="360" w:lineRule="auto"/>
        <w:rPr>
          <w:rFonts w:ascii="Times New Roman" w:hAnsi="Times New Roman" w:cs="Times New Roman"/>
          <w:lang w:val="en-US"/>
        </w:rPr>
      </w:pPr>
      <w:r w:rsidRPr="00F536B3">
        <w:rPr>
          <w:rFonts w:ascii="Times New Roman" w:hAnsi="Times New Roman" w:cs="Times New Roman"/>
          <w:lang w:val="en-US"/>
        </w:rPr>
        <w:t xml:space="preserve">We will also </w:t>
      </w:r>
      <w:r w:rsidR="001878E7" w:rsidRPr="00F536B3">
        <w:rPr>
          <w:rFonts w:ascii="Times New Roman" w:hAnsi="Times New Roman" w:cs="Times New Roman"/>
          <w:lang w:val="en-US"/>
        </w:rPr>
        <w:t>analyze</w:t>
      </w:r>
      <w:r w:rsidRPr="00F536B3">
        <w:rPr>
          <w:rFonts w:ascii="Times New Roman" w:hAnsi="Times New Roman" w:cs="Times New Roman"/>
          <w:lang w:val="en-US"/>
        </w:rPr>
        <w:t xml:space="preserve"> whether the treatments affect respondents’ views of major global powers. We are primarily interested in attitudes toward Russia and the European Union, while China is included as a reference case because it is not mentioned in either the experimental messages or the debunking warnings.</w:t>
      </w:r>
    </w:p>
    <w:p w14:paraId="38F2C9A3" w14:textId="74AFDB43" w:rsidR="00106F3A" w:rsidRPr="00F536B3" w:rsidRDefault="00106F3A" w:rsidP="00106F3A">
      <w:pPr>
        <w:spacing w:line="360" w:lineRule="auto"/>
        <w:rPr>
          <w:rFonts w:ascii="Times New Roman" w:hAnsi="Times New Roman" w:cs="Times New Roman"/>
          <w:lang w:val="en-US"/>
        </w:rPr>
      </w:pPr>
      <w:r w:rsidRPr="00F536B3">
        <w:rPr>
          <w:rFonts w:ascii="Times New Roman" w:hAnsi="Times New Roman" w:cs="Times New Roman"/>
          <w:lang w:val="en-US"/>
        </w:rPr>
        <w:t xml:space="preserve">Respondents will be asked to indicate their agreement with three statements, presented in random order, using a five-point scale ranging from Strongly agree (1) to Strongly disagree (5). </w:t>
      </w:r>
      <w:r w:rsidR="00717047" w:rsidRPr="00717047">
        <w:rPr>
          <w:rFonts w:ascii="Times New Roman" w:hAnsi="Times New Roman" w:cs="Times New Roman"/>
        </w:rPr>
        <w:t>“Don’t know” responses will be retained as a distinct response category rather than coded as missing or treated as equivalent to the scale midpoint. For analyses using the five-point agreement scale, “Don’t know” responses will be excluded, and we will separately test whether treatment assignment affects the probability of responding “Don’t know.”</w:t>
      </w:r>
      <w:r w:rsidRPr="00F536B3">
        <w:rPr>
          <w:rFonts w:ascii="Times New Roman" w:hAnsi="Times New Roman" w:cs="Times New Roman"/>
          <w:lang w:val="en-US"/>
        </w:rPr>
        <w:t xml:space="preserve"> Each statement will be </w:t>
      </w:r>
      <w:r w:rsidR="001878E7" w:rsidRPr="00F536B3">
        <w:rPr>
          <w:rFonts w:ascii="Times New Roman" w:hAnsi="Times New Roman" w:cs="Times New Roman"/>
          <w:lang w:val="en-US"/>
        </w:rPr>
        <w:t>analyzed</w:t>
      </w:r>
      <w:r w:rsidRPr="00F536B3">
        <w:rPr>
          <w:rFonts w:ascii="Times New Roman" w:hAnsi="Times New Roman" w:cs="Times New Roman"/>
          <w:lang w:val="en-US"/>
        </w:rPr>
        <w:t xml:space="preserve"> as a separate outcome.</w:t>
      </w:r>
    </w:p>
    <w:p w14:paraId="75C5650F" w14:textId="77777777" w:rsidR="00D01CEB" w:rsidRPr="00F536B3" w:rsidRDefault="00D01CEB" w:rsidP="00D22BD7">
      <w:pPr>
        <w:spacing w:line="360" w:lineRule="auto"/>
        <w:rPr>
          <w:rFonts w:ascii="Times New Roman" w:hAnsi="Times New Roman" w:cs="Times New Roman"/>
          <w:lang w:val="en-US"/>
        </w:rPr>
      </w:pPr>
    </w:p>
    <w:p w14:paraId="39371460" w14:textId="77777777" w:rsidR="00D01CEB" w:rsidRPr="00F536B3" w:rsidRDefault="00D01CEB" w:rsidP="00D22BD7">
      <w:pPr>
        <w:spacing w:line="360" w:lineRule="auto"/>
        <w:ind w:left="720"/>
        <w:rPr>
          <w:rFonts w:ascii="Times New Roman" w:hAnsi="Times New Roman" w:cs="Times New Roman"/>
          <w:lang w:val="en-US"/>
        </w:rPr>
      </w:pPr>
      <w:r w:rsidRPr="00F536B3">
        <w:rPr>
          <w:rFonts w:ascii="Times New Roman" w:hAnsi="Times New Roman" w:cs="Times New Roman"/>
          <w:lang w:val="en-US"/>
        </w:rPr>
        <w:t>1. China gave Kenya huge loans to build the railway between Mombasa and Nairobi, knowing the country might struggle to repay them, so that China could eventually gain control over Mombasa port and other strategic assets.</w:t>
      </w:r>
    </w:p>
    <w:p w14:paraId="11157CAC" w14:textId="77777777" w:rsidR="00D01CEB" w:rsidRPr="00F536B3" w:rsidRDefault="00D01CEB" w:rsidP="00D22BD7">
      <w:pPr>
        <w:spacing w:line="360" w:lineRule="auto"/>
        <w:rPr>
          <w:rFonts w:ascii="Times New Roman" w:hAnsi="Times New Roman" w:cs="Times New Roman"/>
          <w:lang w:val="en-US"/>
        </w:rPr>
      </w:pPr>
    </w:p>
    <w:p w14:paraId="005C8524" w14:textId="77777777" w:rsidR="00D01CEB" w:rsidRPr="00F536B3" w:rsidRDefault="00D01CEB" w:rsidP="00D22BD7">
      <w:pPr>
        <w:spacing w:line="360" w:lineRule="auto"/>
        <w:ind w:left="720"/>
        <w:rPr>
          <w:rFonts w:ascii="Times New Roman" w:hAnsi="Times New Roman" w:cs="Times New Roman"/>
          <w:lang w:val="en-US"/>
        </w:rPr>
      </w:pPr>
      <w:r w:rsidRPr="00F536B3">
        <w:rPr>
          <w:rFonts w:ascii="Times New Roman" w:hAnsi="Times New Roman" w:cs="Times New Roman"/>
          <w:lang w:val="en-US"/>
        </w:rPr>
        <w:lastRenderedPageBreak/>
        <w:t>2. NATO began the Ukraine war by promising Ukraine membership and placing weapons on Russia's border. Russia had no choice but to defend itself.</w:t>
      </w:r>
    </w:p>
    <w:p w14:paraId="786C6175" w14:textId="77777777" w:rsidR="00D01CEB" w:rsidRPr="00F536B3" w:rsidRDefault="00D01CEB" w:rsidP="00D22BD7">
      <w:pPr>
        <w:spacing w:line="360" w:lineRule="auto"/>
        <w:rPr>
          <w:rFonts w:ascii="Times New Roman" w:hAnsi="Times New Roman" w:cs="Times New Roman"/>
          <w:lang w:val="en-US"/>
        </w:rPr>
      </w:pPr>
    </w:p>
    <w:p w14:paraId="70E3CC39" w14:textId="77777777" w:rsidR="00D01CEB" w:rsidRPr="00F536B3" w:rsidRDefault="00D01CEB" w:rsidP="00D22BD7">
      <w:pPr>
        <w:spacing w:line="360" w:lineRule="auto"/>
        <w:ind w:left="720"/>
        <w:rPr>
          <w:rFonts w:ascii="Times New Roman" w:hAnsi="Times New Roman" w:cs="Times New Roman"/>
          <w:lang w:val="en-US"/>
        </w:rPr>
      </w:pPr>
      <w:r w:rsidRPr="00F536B3">
        <w:rPr>
          <w:rFonts w:ascii="Times New Roman" w:hAnsi="Times New Roman" w:cs="Times New Roman"/>
          <w:lang w:val="en-US"/>
        </w:rPr>
        <w:t>3. European countries grew wealthy by colonizing and exploiting Africa for centuries, and the aid and trade deals they offer African countries today are really just a new way to keep control over Africa's resources and economy.</w:t>
      </w:r>
    </w:p>
    <w:p w14:paraId="6E1EA58F" w14:textId="77777777" w:rsidR="00D01CEB" w:rsidRPr="00F536B3" w:rsidRDefault="00D01CEB" w:rsidP="00D22BD7">
      <w:pPr>
        <w:spacing w:line="360" w:lineRule="auto"/>
        <w:rPr>
          <w:rFonts w:ascii="Times New Roman" w:hAnsi="Times New Roman" w:cs="Times New Roman"/>
          <w:lang w:val="en-US"/>
        </w:rPr>
      </w:pPr>
    </w:p>
    <w:p w14:paraId="337CD5D0" w14:textId="6CFFAB69" w:rsidR="007F4B3B" w:rsidRPr="00F536B3" w:rsidRDefault="00347D78" w:rsidP="00D22BD7">
      <w:pPr>
        <w:spacing w:line="360" w:lineRule="auto"/>
        <w:rPr>
          <w:rFonts w:ascii="Times New Roman" w:hAnsi="Times New Roman" w:cs="Times New Roman"/>
          <w:lang w:val="en-US"/>
        </w:rPr>
      </w:pPr>
      <w:r w:rsidRPr="00F536B3">
        <w:rPr>
          <w:rFonts w:ascii="Times New Roman" w:hAnsi="Times New Roman" w:cs="Times New Roman"/>
          <w:lang w:val="en-US"/>
        </w:rPr>
        <w:t>We will additionally measure perceived suspiciousness of each experimental message on a five-point scale, with higher values indicating greater perceived suspiciousness. Among respondents assigned to a treatment condition, we will also measure perceived credibility of the debunking warning on a five-point scale, with higher values indicating greater credibility.</w:t>
      </w:r>
    </w:p>
    <w:p w14:paraId="6A253FB0" w14:textId="77777777"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6. Empirical Strategy</w:t>
      </w:r>
    </w:p>
    <w:p w14:paraId="320921CC" w14:textId="77777777"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6.1 Average Treatment Effects</w:t>
      </w:r>
    </w:p>
    <w:p w14:paraId="0CD42705" w14:textId="5360DFCF" w:rsidR="00347D78" w:rsidRPr="00F536B3" w:rsidRDefault="00347D78" w:rsidP="00347D78">
      <w:pPr>
        <w:spacing w:after="160" w:line="360" w:lineRule="auto"/>
        <w:rPr>
          <w:rFonts w:ascii="Times New Roman" w:hAnsi="Times New Roman" w:cs="Times New Roman"/>
          <w:lang w:val="en-US"/>
        </w:rPr>
      </w:pPr>
      <w:r w:rsidRPr="00F536B3">
        <w:rPr>
          <w:rFonts w:ascii="Times New Roman" w:hAnsi="Times New Roman" w:cs="Times New Roman"/>
          <w:lang w:val="en-US"/>
        </w:rPr>
        <w:t>We estimate average treatment effects (ATEs) using OLS regressions with robust standard errors. Let Y</w:t>
      </w:r>
      <w:r w:rsidR="001878E7" w:rsidRPr="007659A4">
        <w:rPr>
          <w:rFonts w:ascii="Times New Roman" w:hAnsi="Times New Roman" w:cs="Times New Roman"/>
          <w:vertAlign w:val="subscript"/>
          <w:lang w:val="en-US"/>
        </w:rPr>
        <w:t>i</w:t>
      </w:r>
      <w:r w:rsidRPr="00F536B3">
        <w:rPr>
          <w:rFonts w:ascii="Times New Roman" w:hAnsi="Times New Roman" w:cs="Times New Roman"/>
          <w:lang w:val="en-US"/>
        </w:rPr>
        <w:t> denote the outcome of interest for respondent </w:t>
      </w:r>
      <w:r w:rsidR="007A0D5D" w:rsidRPr="00F536B3">
        <w:rPr>
          <w:rFonts w:ascii="Times New Roman" w:hAnsi="Times New Roman" w:cs="Times New Roman"/>
          <w:lang w:val="en-US"/>
        </w:rPr>
        <w:t>i</w:t>
      </w:r>
      <w:r w:rsidRPr="00F536B3">
        <w:rPr>
          <w:rFonts w:ascii="Times New Roman" w:hAnsi="Times New Roman" w:cs="Times New Roman"/>
          <w:lang w:val="en-US"/>
        </w:rPr>
        <w:t>. For the primary outcome, Y</w:t>
      </w:r>
      <w:r w:rsidRPr="007659A4">
        <w:rPr>
          <w:rFonts w:ascii="Times New Roman" w:hAnsi="Times New Roman" w:cs="Times New Roman"/>
          <w:vertAlign w:val="subscript"/>
          <w:lang w:val="en-US"/>
        </w:rPr>
        <w:t>i</w:t>
      </w:r>
      <w:r w:rsidRPr="00F536B3">
        <w:rPr>
          <w:rFonts w:ascii="Times New Roman" w:hAnsi="Times New Roman" w:cs="Times New Roman"/>
          <w:lang w:val="en-US"/>
        </w:rPr>
        <w:t> is the binary indicator of sharing intention defined in Section 5.1.</w:t>
      </w:r>
    </w:p>
    <w:p w14:paraId="41E9B020" w14:textId="77777777" w:rsidR="00347D78" w:rsidRPr="00F536B3" w:rsidRDefault="00347D78" w:rsidP="00347D78">
      <w:pPr>
        <w:spacing w:after="160" w:line="360" w:lineRule="auto"/>
        <w:rPr>
          <w:rFonts w:ascii="Times New Roman" w:hAnsi="Times New Roman" w:cs="Times New Roman"/>
          <w:lang w:val="en-US"/>
        </w:rPr>
      </w:pPr>
      <w:r w:rsidRPr="00F536B3">
        <w:rPr>
          <w:rFonts w:ascii="Times New Roman" w:hAnsi="Times New Roman" w:cs="Times New Roman"/>
          <w:lang w:val="en-US"/>
        </w:rPr>
        <w:t>Our primary specification is a fully saturated treatment-arm specification, in which each of the eight treatment groups is represented by a separate indicator variable:</w:t>
      </w:r>
    </w:p>
    <w:p w14:paraId="5AA122E2" w14:textId="778ED199" w:rsidR="00347D78" w:rsidRPr="00347D78" w:rsidRDefault="00000000" w:rsidP="00347D78">
      <w:pPr>
        <w:spacing w:after="160" w:line="360" w:lineRule="auto"/>
        <w:rPr>
          <w:rFonts w:ascii="Times New Roman" w:hAnsi="Times New Roman" w:cs="Times New Roman"/>
        </w:rPr>
      </w:pPr>
      <m:oMathPara>
        <m:oMath>
          <m:sSub>
            <m:sSubPr>
              <m:ctrlPr>
                <w:rPr>
                  <w:rStyle w:val="mord"/>
                  <w:rFonts w:ascii="Cambria Math" w:hAnsi="Cambria Math"/>
                  <w:color w:val="000000"/>
                </w:rPr>
              </m:ctrlPr>
            </m:sSubPr>
            <m:e>
              <m:r>
                <m:rPr>
                  <m:sty m:val="p"/>
                </m:rPr>
                <w:rPr>
                  <w:rStyle w:val="mord"/>
                  <w:rFonts w:ascii="Cambria Math" w:hAnsi="Cambria Math"/>
                  <w:color w:val="000000"/>
                </w:rPr>
                <m:t>Y</m:t>
              </m:r>
            </m:e>
            <m:sub>
              <m:r>
                <w:rPr>
                  <w:rStyle w:val="mord"/>
                  <w:rFonts w:ascii="Cambria Math" w:hAnsi="Cambria Math"/>
                  <w:color w:val="000000"/>
                </w:rPr>
                <m:t>i</m:t>
              </m:r>
            </m:sub>
          </m:sSub>
          <m:r>
            <m:rPr>
              <m:sty m:val="p"/>
            </m:rPr>
            <w:rPr>
              <w:rStyle w:val="mrel"/>
              <w:rFonts w:ascii="Cambria Math" w:hAnsi="Cambria Math"/>
              <w:color w:val="000000"/>
            </w:rPr>
            <m:t>=</m:t>
          </m:r>
          <m:r>
            <m:rPr>
              <m:sty m:val="p"/>
            </m:rPr>
            <w:rPr>
              <w:rStyle w:val="mord"/>
              <w:rFonts w:ascii="Cambria Math" w:hAnsi="Cambria Math"/>
              <w:color w:val="000000"/>
            </w:rPr>
            <m:t>α</m:t>
          </m:r>
          <m:r>
            <m:rPr>
              <m:sty m:val="p"/>
            </m:rPr>
            <w:rPr>
              <w:rStyle w:val="mbin"/>
              <w:rFonts w:ascii="Cambria Math" w:hAnsi="Cambria Math"/>
              <w:color w:val="000000"/>
            </w:rPr>
            <m:t>+</m:t>
          </m:r>
          <m:nary>
            <m:naryPr>
              <m:chr m:val="∑"/>
              <m:limLoc m:val="undOvr"/>
              <m:ctrlPr>
                <w:rPr>
                  <w:rStyle w:val="mop"/>
                  <w:rFonts w:ascii="Cambria Math" w:hAnsi="Cambria Math"/>
                  <w:color w:val="000000"/>
                </w:rPr>
              </m:ctrlPr>
            </m:naryPr>
            <m:sub>
              <m:r>
                <m:rPr>
                  <m:sty m:val="p"/>
                </m:rPr>
                <w:rPr>
                  <w:rStyle w:val="mord"/>
                  <w:rFonts w:ascii="Cambria Math" w:hAnsi="Cambria Math"/>
                  <w:color w:val="000000"/>
                </w:rPr>
                <m:t>g</m:t>
              </m:r>
              <m:r>
                <m:rPr>
                  <m:sty m:val="p"/>
                </m:rPr>
                <w:rPr>
                  <w:rStyle w:val="mrel"/>
                  <w:rFonts w:ascii="Cambria Math" w:hAnsi="Cambria Math"/>
                  <w:color w:val="000000"/>
                </w:rPr>
                <m:t>=</m:t>
              </m:r>
              <m:r>
                <w:rPr>
                  <w:rStyle w:val="mop"/>
                  <w:rFonts w:ascii="Cambria Math" w:hAnsi="Cambria Math"/>
                  <w:color w:val="000000"/>
                </w:rPr>
                <m:t>2</m:t>
              </m:r>
            </m:sub>
            <m:sup>
              <m:r>
                <w:rPr>
                  <w:rStyle w:val="mop"/>
                  <w:rFonts w:ascii="Cambria Math" w:hAnsi="Cambria Math"/>
                  <w:color w:val="000000"/>
                </w:rPr>
                <m:t>9</m:t>
              </m:r>
            </m:sup>
            <m:e>
              <m:sSub>
                <m:sSubPr>
                  <m:ctrlPr>
                    <w:rPr>
                      <w:rStyle w:val="mord"/>
                      <w:rFonts w:ascii="Cambria Math" w:hAnsi="Cambria Math"/>
                      <w:color w:val="000000"/>
                    </w:rPr>
                  </m:ctrlPr>
                </m:sSubPr>
                <m:e>
                  <m:r>
                    <m:rPr>
                      <m:sty m:val="p"/>
                    </m:rPr>
                    <w:rPr>
                      <w:rStyle w:val="mord"/>
                      <w:rFonts w:ascii="Cambria Math" w:hAnsi="Cambria Math"/>
                      <w:color w:val="000000"/>
                    </w:rPr>
                    <m:t>β</m:t>
                  </m:r>
                </m:e>
                <m:sub>
                  <m:r>
                    <w:rPr>
                      <w:rStyle w:val="mord"/>
                      <w:rFonts w:ascii="Cambria Math" w:hAnsi="Cambria Math"/>
                      <w:color w:val="000000"/>
                    </w:rPr>
                    <m:t>g</m:t>
                  </m:r>
                </m:sub>
              </m:sSub>
              <m:sSub>
                <m:sSubPr>
                  <m:ctrlPr>
                    <w:rPr>
                      <w:rStyle w:val="mord"/>
                      <w:rFonts w:ascii="Cambria Math" w:hAnsi="Cambria Math"/>
                      <w:color w:val="000000"/>
                    </w:rPr>
                  </m:ctrlPr>
                </m:sSubPr>
                <m:e>
                  <m:r>
                    <m:rPr>
                      <m:sty m:val="p"/>
                    </m:rPr>
                    <w:rPr>
                      <w:rStyle w:val="mord"/>
                      <w:rFonts w:ascii="Cambria Math" w:hAnsi="Cambria Math"/>
                      <w:color w:val="000000"/>
                    </w:rPr>
                    <m:t>G</m:t>
                  </m:r>
                </m:e>
                <m:sub>
                  <m:r>
                    <m:rPr>
                      <m:sty m:val="p"/>
                    </m:rPr>
                    <w:rPr>
                      <w:rStyle w:val="mord"/>
                      <w:rFonts w:ascii="Cambria Math" w:hAnsi="Cambria Math"/>
                      <w:color w:val="000000"/>
                    </w:rPr>
                    <m:t>ig</m:t>
                  </m:r>
                </m:sub>
              </m:sSub>
            </m:e>
          </m:nary>
          <m:r>
            <m:rPr>
              <m:sty m:val="p"/>
            </m:rPr>
            <w:rPr>
              <w:rStyle w:val="vlist-s"/>
              <w:rFonts w:ascii="Cambria Math" w:hAnsi="Cambria Math"/>
              <w:color w:val="000000"/>
            </w:rPr>
            <m:t>​​</m:t>
          </m:r>
          <m:r>
            <m:rPr>
              <m:sty m:val="p"/>
            </m:rPr>
            <w:rPr>
              <w:rStyle w:val="mbin"/>
              <w:rFonts w:ascii="Cambria Math" w:hAnsi="Cambria Math"/>
              <w:color w:val="000000"/>
            </w:rPr>
            <m:t>+</m:t>
          </m:r>
          <m:sSub>
            <m:sSubPr>
              <m:ctrlPr>
                <w:rPr>
                  <w:rStyle w:val="mord"/>
                  <w:rFonts w:ascii="Cambria Math" w:hAnsi="Cambria Math"/>
                  <w:color w:val="000000"/>
                </w:rPr>
              </m:ctrlPr>
            </m:sSubPr>
            <m:e>
              <m:r>
                <m:rPr>
                  <m:sty m:val="p"/>
                </m:rPr>
                <w:rPr>
                  <w:rStyle w:val="mord"/>
                  <w:rFonts w:ascii="Cambria Math" w:hAnsi="Cambria Math"/>
                  <w:color w:val="000000"/>
                </w:rPr>
                <m:t>X</m:t>
              </m:r>
            </m:e>
            <m:sub>
              <m:r>
                <w:rPr>
                  <w:rStyle w:val="mord"/>
                  <w:rFonts w:ascii="Cambria Math" w:hAnsi="Cambria Math"/>
                  <w:color w:val="000000"/>
                </w:rPr>
                <m:t>i</m:t>
              </m:r>
            </m:sub>
          </m:sSub>
          <m:r>
            <m:rPr>
              <m:sty m:val="p"/>
            </m:rPr>
            <w:rPr>
              <w:rStyle w:val="mord"/>
              <w:rFonts w:ascii="Cambria Math" w:hAnsi="Cambria Math"/>
              <w:color w:val="000000"/>
            </w:rPr>
            <m:t>'</m:t>
          </m:r>
          <m:r>
            <m:rPr>
              <m:sty m:val="p"/>
            </m:rPr>
            <w:rPr>
              <w:rStyle w:val="vlist-s"/>
              <w:rFonts w:ascii="Cambria Math" w:hAnsi="Cambria Math"/>
              <w:color w:val="000000"/>
            </w:rPr>
            <m:t>​</m:t>
          </m:r>
          <m:r>
            <m:rPr>
              <m:sty m:val="p"/>
            </m:rPr>
            <w:rPr>
              <w:rStyle w:val="mord"/>
              <w:rFonts w:ascii="Cambria Math" w:hAnsi="Cambria Math"/>
              <w:color w:val="000000"/>
            </w:rPr>
            <m:t>γ</m:t>
          </m:r>
          <m:r>
            <m:rPr>
              <m:sty m:val="p"/>
            </m:rPr>
            <w:rPr>
              <w:rStyle w:val="mbin"/>
              <w:rFonts w:ascii="Cambria Math" w:hAnsi="Cambria Math"/>
              <w:color w:val="000000"/>
            </w:rPr>
            <m:t>+</m:t>
          </m:r>
          <m:sSub>
            <m:sSubPr>
              <m:ctrlPr>
                <w:rPr>
                  <w:rStyle w:val="mord"/>
                  <w:rFonts w:ascii="Cambria Math" w:hAnsi="Cambria Math"/>
                  <w:color w:val="000000"/>
                </w:rPr>
              </m:ctrlPr>
            </m:sSubPr>
            <m:e>
              <m:r>
                <m:rPr>
                  <m:sty m:val="p"/>
                </m:rPr>
                <w:rPr>
                  <w:rStyle w:val="mord"/>
                  <w:rFonts w:ascii="Cambria Math" w:hAnsi="Cambria Math"/>
                  <w:color w:val="000000"/>
                </w:rPr>
                <m:t>δ</m:t>
              </m:r>
            </m:e>
            <m:sub>
              <m:r>
                <w:rPr>
                  <w:rStyle w:val="mord"/>
                  <w:rFonts w:ascii="Cambria Math" w:hAnsi="Cambria Math"/>
                  <w:color w:val="000000"/>
                </w:rPr>
                <m:t>c</m:t>
              </m:r>
            </m:sub>
          </m:sSub>
          <m:r>
            <m:rPr>
              <m:sty m:val="p"/>
            </m:rPr>
            <w:rPr>
              <w:rStyle w:val="mbin"/>
              <w:rFonts w:ascii="Cambria Math" w:hAnsi="Cambria Math"/>
              <w:color w:val="000000"/>
            </w:rPr>
            <m:t>+</m:t>
          </m:r>
          <m:sSub>
            <m:sSubPr>
              <m:ctrlPr>
                <w:rPr>
                  <w:rStyle w:val="mord"/>
                  <w:rFonts w:ascii="Cambria Math" w:hAnsi="Cambria Math"/>
                  <w:color w:val="000000"/>
                </w:rPr>
              </m:ctrlPr>
            </m:sSubPr>
            <m:e>
              <m:r>
                <m:rPr>
                  <m:sty m:val="p"/>
                </m:rPr>
                <w:rPr>
                  <w:rStyle w:val="mord"/>
                  <w:rFonts w:ascii="Cambria Math" w:hAnsi="Cambria Math"/>
                  <w:color w:val="000000"/>
                </w:rPr>
                <m:t>ε</m:t>
              </m:r>
            </m:e>
            <m:sub>
              <m:r>
                <w:rPr>
                  <w:rStyle w:val="mord"/>
                  <w:rFonts w:ascii="Cambria Math" w:hAnsi="Cambria Math"/>
                  <w:color w:val="000000"/>
                </w:rPr>
                <m:t>i</m:t>
              </m:r>
            </m:sub>
          </m:sSub>
          <m:r>
            <m:rPr>
              <m:sty m:val="p"/>
            </m:rPr>
            <w:rPr>
              <w:rStyle w:val="mpunct"/>
              <w:rFonts w:ascii="Cambria Math" w:hAnsi="Cambria Math"/>
              <w:color w:val="000000"/>
            </w:rPr>
            <m:t>,</m:t>
          </m:r>
        </m:oMath>
      </m:oMathPara>
    </w:p>
    <w:p w14:paraId="3D169624" w14:textId="7C3D4EF9" w:rsidR="00347D78" w:rsidRPr="00F536B3" w:rsidRDefault="00347D78" w:rsidP="00347D78">
      <w:pPr>
        <w:spacing w:after="160" w:line="360" w:lineRule="auto"/>
        <w:rPr>
          <w:rFonts w:ascii="Times New Roman" w:hAnsi="Times New Roman" w:cs="Times New Roman"/>
          <w:lang w:val="en-US"/>
        </w:rPr>
      </w:pPr>
      <w:r w:rsidRPr="00F536B3">
        <w:rPr>
          <w:rFonts w:ascii="Times New Roman" w:hAnsi="Times New Roman" w:cs="Times New Roman"/>
          <w:lang w:val="en-US"/>
        </w:rPr>
        <w:t>where </w:t>
      </w:r>
      <m:oMath>
        <m:sSub>
          <m:sSubPr>
            <m:ctrlPr>
              <w:rPr>
                <w:rStyle w:val="mord"/>
                <w:rFonts w:ascii="Cambria Math" w:hAnsi="Cambria Math"/>
                <w:color w:val="000000"/>
              </w:rPr>
            </m:ctrlPr>
          </m:sSubPr>
          <m:e>
            <m:r>
              <m:rPr>
                <m:sty m:val="p"/>
              </m:rPr>
              <w:rPr>
                <w:rStyle w:val="mord"/>
                <w:rFonts w:ascii="Cambria Math" w:hAnsi="Cambria Math"/>
                <w:color w:val="000000"/>
                <w:lang w:val="en-US"/>
              </w:rPr>
              <m:t>G</m:t>
            </m:r>
          </m:e>
          <m:sub>
            <m:r>
              <m:rPr>
                <m:sty m:val="p"/>
              </m:rPr>
              <w:rPr>
                <w:rStyle w:val="mord"/>
                <w:rFonts w:ascii="Cambria Math" w:hAnsi="Cambria Math"/>
                <w:color w:val="000000"/>
                <w:lang w:val="en-US"/>
              </w:rPr>
              <m:t>ig</m:t>
            </m:r>
          </m:sub>
        </m:sSub>
      </m:oMath>
      <w:r w:rsidRPr="00F536B3">
        <w:rPr>
          <w:rFonts w:ascii="Times New Roman" w:hAnsi="Times New Roman" w:cs="Times New Roman"/>
          <w:lang w:val="en-US"/>
        </w:rPr>
        <w:t> is an indicator equal to one if respondent </w:t>
      </w:r>
      <w:r w:rsidR="006B35E3" w:rsidRPr="00F536B3">
        <w:rPr>
          <w:rFonts w:ascii="Times New Roman" w:hAnsi="Times New Roman" w:cs="Times New Roman"/>
          <w:lang w:val="en-US"/>
        </w:rPr>
        <w:t>i</w:t>
      </w:r>
      <w:r w:rsidRPr="00F536B3">
        <w:rPr>
          <w:rFonts w:ascii="Times New Roman" w:hAnsi="Times New Roman" w:cs="Times New Roman"/>
          <w:lang w:val="en-US"/>
        </w:rPr>
        <w:t> is assigned to treatment group </w:t>
      </w:r>
      <w:r w:rsidR="002C21C5" w:rsidRPr="00F536B3">
        <w:rPr>
          <w:rFonts w:ascii="Times New Roman" w:hAnsi="Times New Roman" w:cs="Times New Roman"/>
          <w:lang w:val="en-US"/>
        </w:rPr>
        <w:t>g</w:t>
      </w:r>
      <w:r w:rsidRPr="00F536B3">
        <w:rPr>
          <w:rFonts w:ascii="Times New Roman" w:hAnsi="Times New Roman" w:cs="Times New Roman"/>
          <w:lang w:val="en-US"/>
        </w:rPr>
        <w:t>, for </w:t>
      </w:r>
      <w:r w:rsidR="002C21C5" w:rsidRPr="00F536B3">
        <w:rPr>
          <w:rFonts w:ascii="Times New Roman" w:hAnsi="Times New Roman" w:cs="Times New Roman"/>
          <w:lang w:val="en-US"/>
        </w:rPr>
        <w:t>g=2,…9</w:t>
      </w:r>
      <w:r w:rsidRPr="00F536B3">
        <w:rPr>
          <w:rFonts w:ascii="Times New Roman" w:hAnsi="Times New Roman" w:cs="Times New Roman"/>
          <w:lang w:val="en-US"/>
        </w:rPr>
        <w:t>. The control group (</w:t>
      </w:r>
      <m:oMath>
        <m:sSub>
          <m:sSubPr>
            <m:ctrlPr>
              <w:rPr>
                <w:rStyle w:val="mord"/>
                <w:rFonts w:ascii="Cambria Math" w:hAnsi="Cambria Math"/>
                <w:color w:val="000000"/>
              </w:rPr>
            </m:ctrlPr>
          </m:sSubPr>
          <m:e>
            <m:r>
              <m:rPr>
                <m:sty m:val="p"/>
              </m:rPr>
              <w:rPr>
                <w:rStyle w:val="mord"/>
                <w:rFonts w:ascii="Cambria Math" w:hAnsi="Cambria Math"/>
                <w:color w:val="000000"/>
                <w:lang w:val="en-US"/>
              </w:rPr>
              <m:t>G</m:t>
            </m:r>
          </m:e>
          <m:sub>
            <m:r>
              <m:rPr>
                <m:sty m:val="p"/>
              </m:rPr>
              <w:rPr>
                <w:rStyle w:val="mord"/>
                <w:rFonts w:ascii="Cambria Math" w:hAnsi="Cambria Math"/>
                <w:color w:val="000000"/>
                <w:lang w:val="en-US"/>
              </w:rPr>
              <m:t>1</m:t>
            </m:r>
          </m:sub>
        </m:sSub>
      </m:oMath>
      <w:r w:rsidRPr="00F536B3">
        <w:rPr>
          <w:rFonts w:ascii="Times New Roman" w:hAnsi="Times New Roman" w:cs="Times New Roman"/>
          <w:lang w:val="en-US"/>
        </w:rPr>
        <w:t>) is the omitted reference category. Thus, each coefficient </w:t>
      </w:r>
      <m:oMath>
        <m:sSub>
          <m:sSubPr>
            <m:ctrlPr>
              <w:rPr>
                <w:rStyle w:val="mord"/>
                <w:rFonts w:ascii="Cambria Math" w:hAnsi="Cambria Math"/>
                <w:color w:val="000000"/>
              </w:rPr>
            </m:ctrlPr>
          </m:sSubPr>
          <m:e>
            <m:r>
              <m:rPr>
                <m:sty m:val="p"/>
              </m:rPr>
              <w:rPr>
                <w:rStyle w:val="mord"/>
                <w:rFonts w:ascii="Cambria Math" w:hAnsi="Cambria Math"/>
                <w:color w:val="000000"/>
              </w:rPr>
              <m:t>β</m:t>
            </m:r>
          </m:e>
          <m:sub>
            <m:r>
              <w:rPr>
                <w:rStyle w:val="mord"/>
                <w:rFonts w:ascii="Cambria Math" w:hAnsi="Cambria Math"/>
                <w:color w:val="000000"/>
              </w:rPr>
              <m:t>g</m:t>
            </m:r>
          </m:sub>
        </m:sSub>
      </m:oMath>
      <w:r w:rsidRPr="00F536B3">
        <w:rPr>
          <w:rFonts w:ascii="Times New Roman" w:hAnsi="Times New Roman" w:cs="Times New Roman"/>
          <w:lang w:val="en-US"/>
        </w:rPr>
        <w:t> captures the average treatment effect of assignment to treatment arm </w:t>
      </w:r>
      <m:oMath>
        <m:sSub>
          <m:sSubPr>
            <m:ctrlPr>
              <w:rPr>
                <w:rStyle w:val="mord"/>
                <w:rFonts w:ascii="Cambria Math" w:hAnsi="Cambria Math"/>
                <w:color w:val="000000"/>
              </w:rPr>
            </m:ctrlPr>
          </m:sSubPr>
          <m:e>
            <m:r>
              <m:rPr>
                <m:sty m:val="p"/>
              </m:rPr>
              <w:rPr>
                <w:rStyle w:val="mord"/>
                <w:rFonts w:ascii="Cambria Math" w:hAnsi="Cambria Math"/>
                <w:color w:val="000000"/>
                <w:lang w:val="en-US"/>
              </w:rPr>
              <m:t>G</m:t>
            </m:r>
          </m:e>
          <m:sub>
            <m:r>
              <m:rPr>
                <m:sty m:val="p"/>
              </m:rPr>
              <w:rPr>
                <w:rStyle w:val="mord"/>
                <w:rFonts w:ascii="Cambria Math" w:hAnsi="Cambria Math"/>
                <w:color w:val="000000"/>
                <w:lang w:val="en-US"/>
              </w:rPr>
              <m:t>g</m:t>
            </m:r>
          </m:sub>
        </m:sSub>
      </m:oMath>
      <w:r w:rsidRPr="00F536B3">
        <w:rPr>
          <w:rFonts w:ascii="Times New Roman" w:hAnsi="Times New Roman" w:cs="Times New Roman"/>
          <w:lang w:val="en-US"/>
        </w:rPr>
        <w:t> relative to the control group, without imposing any restrictions on how the effects vary across warning source, attribution, or message medium.</w:t>
      </w:r>
    </w:p>
    <w:p w14:paraId="43A8799E" w14:textId="5A32EC33" w:rsidR="00581845" w:rsidRPr="00F536B3" w:rsidRDefault="00000000" w:rsidP="00347D78">
      <w:pPr>
        <w:spacing w:after="160" w:line="360" w:lineRule="auto"/>
        <w:rPr>
          <w:rFonts w:ascii="Times New Roman" w:hAnsi="Times New Roman" w:cs="Times New Roman"/>
          <w:lang w:val="en-US"/>
        </w:rPr>
      </w:pPr>
      <m:oMath>
        <m:sSub>
          <m:sSubPr>
            <m:ctrlPr>
              <w:rPr>
                <w:rStyle w:val="mord"/>
                <w:rFonts w:ascii="Cambria Math" w:hAnsi="Cambria Math"/>
                <w:color w:val="000000"/>
              </w:rPr>
            </m:ctrlPr>
          </m:sSubPr>
          <m:e>
            <m:r>
              <m:rPr>
                <m:sty m:val="p"/>
              </m:rPr>
              <w:rPr>
                <w:rStyle w:val="mord"/>
                <w:rFonts w:ascii="Cambria Math" w:hAnsi="Cambria Math"/>
                <w:color w:val="000000"/>
                <w:lang w:val="en-US"/>
              </w:rPr>
              <m:t>X</m:t>
            </m:r>
          </m:e>
          <m:sub>
            <m:r>
              <w:rPr>
                <w:rStyle w:val="mord"/>
                <w:rFonts w:ascii="Cambria Math" w:hAnsi="Cambria Math"/>
                <w:color w:val="000000"/>
              </w:rPr>
              <m:t>i</m:t>
            </m:r>
          </m:sub>
        </m:sSub>
      </m:oMath>
      <w:r w:rsidR="00347D78" w:rsidRPr="00F536B3">
        <w:rPr>
          <w:rFonts w:ascii="Times New Roman" w:hAnsi="Times New Roman" w:cs="Times New Roman"/>
          <w:lang w:val="en-US"/>
        </w:rPr>
        <w:t> is a vector of pre-treatment covariates including age, gender, education, income decile, and primary news source. All regressions also include urban-centre fixed effects, </w:t>
      </w:r>
      <m:oMath>
        <m:sSub>
          <m:sSubPr>
            <m:ctrlPr>
              <w:rPr>
                <w:rStyle w:val="mord"/>
                <w:rFonts w:ascii="Cambria Math" w:hAnsi="Cambria Math"/>
                <w:color w:val="000000"/>
              </w:rPr>
            </m:ctrlPr>
          </m:sSubPr>
          <m:e>
            <m:r>
              <m:rPr>
                <m:sty m:val="p"/>
              </m:rPr>
              <w:rPr>
                <w:rStyle w:val="mord"/>
                <w:rFonts w:ascii="Cambria Math" w:hAnsi="Cambria Math"/>
                <w:color w:val="000000"/>
              </w:rPr>
              <m:t>δ</m:t>
            </m:r>
          </m:e>
          <m:sub>
            <m:r>
              <w:rPr>
                <w:rStyle w:val="mord"/>
                <w:rFonts w:ascii="Cambria Math" w:hAnsi="Cambria Math"/>
                <w:color w:val="000000"/>
              </w:rPr>
              <m:t>c</m:t>
            </m:r>
          </m:sub>
        </m:sSub>
      </m:oMath>
      <w:r w:rsidR="00347D78" w:rsidRPr="00F536B3">
        <w:rPr>
          <w:rFonts w:ascii="Times New Roman" w:hAnsi="Times New Roman" w:cs="Times New Roman"/>
          <w:lang w:val="en-US"/>
        </w:rPr>
        <w:t>. The base specification is a linear probability model for the binary sharing-intention outcome</w:t>
      </w:r>
      <w:r w:rsidR="004B08C0" w:rsidRPr="00F536B3">
        <w:rPr>
          <w:rFonts w:ascii="Times New Roman" w:hAnsi="Times New Roman" w:cs="Times New Roman"/>
          <w:lang w:val="en-US"/>
        </w:rPr>
        <w:t>s</w:t>
      </w:r>
      <w:r w:rsidR="00347D78" w:rsidRPr="00F536B3">
        <w:rPr>
          <w:rFonts w:ascii="Times New Roman" w:hAnsi="Times New Roman" w:cs="Times New Roman"/>
          <w:lang w:val="en-US"/>
        </w:rPr>
        <w:t>.</w:t>
      </w:r>
      <w:r w:rsidR="00581845" w:rsidRPr="00F536B3">
        <w:rPr>
          <w:rFonts w:ascii="Times New Roman" w:hAnsi="Times New Roman" w:cs="Times New Roman"/>
          <w:lang w:val="en-US"/>
        </w:rPr>
        <w:t xml:space="preserve"> We will also report logit/probit average marginal effects as a robustness check. </w:t>
      </w:r>
    </w:p>
    <w:p w14:paraId="302B7B53" w14:textId="3B480958" w:rsidR="00347D78" w:rsidRPr="00F536B3" w:rsidRDefault="00347D78" w:rsidP="00347D78">
      <w:pPr>
        <w:spacing w:after="160" w:line="360" w:lineRule="auto"/>
        <w:rPr>
          <w:rFonts w:ascii="Times New Roman" w:hAnsi="Times New Roman" w:cs="Times New Roman"/>
          <w:lang w:val="en-US"/>
        </w:rPr>
      </w:pPr>
      <w:r w:rsidRPr="00F536B3">
        <w:rPr>
          <w:rFonts w:ascii="Times New Roman" w:hAnsi="Times New Roman" w:cs="Times New Roman"/>
          <w:lang w:val="en-US"/>
        </w:rPr>
        <w:t>Because the specification includes a separate indicator for every treatment arm, it is fully flexible with respect to treatment assignment: no assumptions of additivity or common effects across the experimental dimensions are imposed. Comparisons corresponding to the study's hypotheses</w:t>
      </w:r>
      <w:r w:rsidR="00581845" w:rsidRPr="00F536B3">
        <w:rPr>
          <w:rFonts w:ascii="Times New Roman" w:hAnsi="Times New Roman" w:cs="Times New Roman"/>
          <w:lang w:val="en-US"/>
        </w:rPr>
        <w:t xml:space="preserve"> </w:t>
      </w:r>
      <w:r w:rsidRPr="00F536B3">
        <w:rPr>
          <w:rFonts w:ascii="Times New Roman" w:hAnsi="Times New Roman" w:cs="Times New Roman"/>
          <w:lang w:val="en-US"/>
        </w:rPr>
        <w:t>will be estimated as linear contrasts of the treatment-arm coefficients</w:t>
      </w:r>
      <w:r w:rsidR="00581845" w:rsidRPr="00F536B3">
        <w:rPr>
          <w:rFonts w:ascii="Times New Roman" w:hAnsi="Times New Roman" w:cs="Times New Roman"/>
          <w:lang w:val="en-US"/>
        </w:rPr>
        <w:t>, see next section</w:t>
      </w:r>
      <w:r w:rsidRPr="00F536B3">
        <w:rPr>
          <w:rFonts w:ascii="Times New Roman" w:hAnsi="Times New Roman" w:cs="Times New Roman"/>
          <w:lang w:val="en-US"/>
        </w:rPr>
        <w:t>.</w:t>
      </w:r>
    </w:p>
    <w:p w14:paraId="04D13BE4" w14:textId="0F26F0C1" w:rsidR="007F4B3B" w:rsidRPr="00F536B3" w:rsidRDefault="007F4B3B" w:rsidP="00D22BD7">
      <w:pPr>
        <w:spacing w:after="160" w:line="360" w:lineRule="auto"/>
        <w:rPr>
          <w:rFonts w:ascii="Times New Roman" w:hAnsi="Times New Roman" w:cs="Times New Roman"/>
          <w:lang w:val="en-US"/>
        </w:rPr>
      </w:pPr>
    </w:p>
    <w:p w14:paraId="69F33FF7" w14:textId="77777777" w:rsidR="007F4B3B" w:rsidRPr="00F536B3" w:rsidRDefault="00000000" w:rsidP="00D22BD7">
      <w:pPr>
        <w:pStyle w:val="Rubrik2"/>
        <w:spacing w:line="360" w:lineRule="auto"/>
        <w:rPr>
          <w:rFonts w:ascii="Times New Roman" w:hAnsi="Times New Roman" w:cs="Times New Roman"/>
          <w:lang w:val="en-US"/>
        </w:rPr>
      </w:pPr>
      <w:r w:rsidRPr="00F536B3">
        <w:rPr>
          <w:rFonts w:ascii="Times New Roman" w:hAnsi="Times New Roman" w:cs="Times New Roman"/>
          <w:lang w:val="en-US"/>
        </w:rPr>
        <w:t>6.2 Specification of Pre-Registered Contrasts</w:t>
      </w:r>
    </w:p>
    <w:p w14:paraId="13582486" w14:textId="4095B64E" w:rsidR="00AE2A56" w:rsidRPr="00F536B3" w:rsidRDefault="00AE2A56"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The following contrasts are pre-specified and will be tested.</w:t>
      </w:r>
    </w:p>
    <w:p w14:paraId="69DE0E82" w14:textId="77777777" w:rsidR="00BE325E" w:rsidRPr="00F536B3" w:rsidRDefault="00BE325E" w:rsidP="00D22BD7">
      <w:pPr>
        <w:spacing w:after="160" w:line="360" w:lineRule="auto"/>
        <w:rPr>
          <w:rFonts w:ascii="Times New Roman" w:hAnsi="Times New Roman" w:cs="Times New Roman"/>
          <w:lang w:val="en-US"/>
        </w:rPr>
      </w:pPr>
    </w:p>
    <w:tbl>
      <w:tblPr>
        <w:tblW w:w="10829" w:type="dxa"/>
        <w:tblInd w:w="-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66"/>
        <w:gridCol w:w="3402"/>
        <w:gridCol w:w="3686"/>
        <w:gridCol w:w="1275"/>
      </w:tblGrid>
      <w:tr w:rsidR="00372EA3" w:rsidRPr="00D22BD7" w14:paraId="224948DF" w14:textId="77777777" w:rsidTr="0036726D">
        <w:tc>
          <w:tcPr>
            <w:tcW w:w="2466"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2C2B3494" w14:textId="58DB6D23" w:rsidR="00372EA3" w:rsidRPr="00372EA3" w:rsidRDefault="00372EA3" w:rsidP="00372EA3">
            <w:pPr>
              <w:spacing w:line="360" w:lineRule="auto"/>
              <w:rPr>
                <w:rFonts w:ascii="Times New Roman" w:hAnsi="Times New Roman" w:cs="Times New Roman"/>
                <w:sz w:val="18"/>
                <w:szCs w:val="18"/>
              </w:rPr>
            </w:pPr>
            <w:r w:rsidRPr="00372EA3">
              <w:rPr>
                <w:b/>
                <w:bCs/>
                <w:color w:val="000000"/>
                <w:sz w:val="18"/>
                <w:szCs w:val="18"/>
              </w:rPr>
              <w:t>Contrast</w:t>
            </w:r>
          </w:p>
        </w:tc>
        <w:tc>
          <w:tcPr>
            <w:tcW w:w="3402" w:type="dxa"/>
            <w:tcBorders>
              <w:top w:val="single" w:sz="1" w:space="0" w:color="CCCCCC"/>
              <w:left w:val="single" w:sz="1" w:space="0" w:color="CCCCCC"/>
              <w:bottom w:val="single" w:sz="1" w:space="0" w:color="CCCCCC"/>
              <w:right w:val="single" w:sz="1" w:space="0" w:color="CCCCCC"/>
            </w:tcBorders>
            <w:shd w:val="clear" w:color="auto" w:fill="E8EDF4"/>
            <w:vAlign w:val="center"/>
          </w:tcPr>
          <w:p w14:paraId="65CF5AE2" w14:textId="74F6CF39" w:rsidR="00372EA3" w:rsidRPr="00372EA3" w:rsidRDefault="00372EA3" w:rsidP="00372EA3">
            <w:pPr>
              <w:spacing w:line="360" w:lineRule="auto"/>
              <w:rPr>
                <w:rFonts w:ascii="Times New Roman" w:hAnsi="Times New Roman" w:cs="Times New Roman"/>
                <w:b/>
                <w:bCs/>
                <w:sz w:val="18"/>
                <w:szCs w:val="18"/>
              </w:rPr>
            </w:pPr>
            <w:r w:rsidRPr="00372EA3">
              <w:rPr>
                <w:b/>
                <w:bCs/>
                <w:color w:val="000000"/>
                <w:sz w:val="18"/>
                <w:szCs w:val="18"/>
              </w:rPr>
              <w:t>Groups compared</w:t>
            </w:r>
          </w:p>
        </w:tc>
        <w:tc>
          <w:tcPr>
            <w:tcW w:w="3686"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108CEA09" w14:textId="20799812" w:rsidR="00372EA3" w:rsidRPr="00372EA3" w:rsidRDefault="00372EA3" w:rsidP="00372EA3">
            <w:pPr>
              <w:spacing w:line="360" w:lineRule="auto"/>
              <w:rPr>
                <w:rFonts w:ascii="Times New Roman" w:hAnsi="Times New Roman" w:cs="Times New Roman"/>
                <w:sz w:val="18"/>
                <w:szCs w:val="18"/>
              </w:rPr>
            </w:pPr>
            <w:r w:rsidRPr="00372EA3">
              <w:rPr>
                <w:b/>
                <w:bCs/>
                <w:color w:val="000000"/>
                <w:sz w:val="18"/>
                <w:szCs w:val="18"/>
              </w:rPr>
              <w:t>Contrast in β coefficients</w:t>
            </w:r>
          </w:p>
        </w:tc>
        <w:tc>
          <w:tcPr>
            <w:tcW w:w="1275"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08FB0DB3" w14:textId="68B88BBF" w:rsidR="00372EA3" w:rsidRPr="00372EA3" w:rsidRDefault="00372EA3" w:rsidP="00372EA3">
            <w:pPr>
              <w:spacing w:line="360" w:lineRule="auto"/>
              <w:rPr>
                <w:rFonts w:ascii="Times New Roman" w:hAnsi="Times New Roman" w:cs="Times New Roman"/>
                <w:sz w:val="18"/>
                <w:szCs w:val="18"/>
              </w:rPr>
            </w:pPr>
            <w:r w:rsidRPr="00372EA3">
              <w:rPr>
                <w:b/>
                <w:bCs/>
                <w:color w:val="000000"/>
                <w:sz w:val="18"/>
                <w:szCs w:val="18"/>
              </w:rPr>
              <w:t>Hypothesis</w:t>
            </w:r>
          </w:p>
        </w:tc>
      </w:tr>
      <w:tr w:rsidR="00372EA3" w:rsidRPr="00D22BD7" w14:paraId="1BDCF6E2" w14:textId="77777777" w:rsidTr="0036726D">
        <w:tc>
          <w:tcPr>
            <w:tcW w:w="246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07D595E" w14:textId="530FDC26"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Any warning vs. Control</w:t>
            </w:r>
          </w:p>
        </w:tc>
        <w:tc>
          <w:tcPr>
            <w:tcW w:w="3402" w:type="dxa"/>
            <w:tcBorders>
              <w:top w:val="single" w:sz="1" w:space="0" w:color="CCCCCC"/>
              <w:left w:val="single" w:sz="1" w:space="0" w:color="CCCCCC"/>
              <w:bottom w:val="single" w:sz="1" w:space="0" w:color="CCCCCC"/>
              <w:right w:val="single" w:sz="1" w:space="0" w:color="CCCCCC"/>
            </w:tcBorders>
            <w:vAlign w:val="center"/>
          </w:tcPr>
          <w:p w14:paraId="195BC8A4" w14:textId="227D777F" w:rsidR="00372EA3" w:rsidRPr="00372EA3" w:rsidRDefault="00372EA3" w:rsidP="00372EA3">
            <w:pPr>
              <w:spacing w:line="360" w:lineRule="auto"/>
              <w:rPr>
                <w:rFonts w:ascii="Times New Roman" w:hAnsi="Times New Roman" w:cs="Times New Roman"/>
                <w:sz w:val="18"/>
                <w:szCs w:val="18"/>
              </w:rPr>
            </w:pPr>
            <w:r w:rsidRPr="00372EA3">
              <w:rPr>
                <w:color w:val="000000"/>
                <w:sz w:val="18"/>
                <w:szCs w:val="18"/>
              </w:rPr>
              <w:t>G2–G9 vs. G1</w:t>
            </w:r>
          </w:p>
        </w:tc>
        <w:tc>
          <w:tcPr>
            <w:tcW w:w="368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3DA5A7F" w14:textId="0DE9A246" w:rsidR="00372EA3" w:rsidRPr="005D172A" w:rsidRDefault="00372EA3" w:rsidP="00372EA3">
            <w:pPr>
              <w:spacing w:line="360" w:lineRule="auto"/>
              <w:rPr>
                <w:rFonts w:ascii="Times New Roman" w:hAnsi="Times New Roman" w:cs="Times New Roman"/>
                <w:sz w:val="18"/>
                <w:szCs w:val="18"/>
              </w:rPr>
            </w:pPr>
            <w:r w:rsidRPr="00372EA3">
              <w:rPr>
                <w:color w:val="000000"/>
                <w:sz w:val="18"/>
                <w:szCs w:val="18"/>
              </w:rPr>
              <w:t>(</w:t>
            </w:r>
            <w:r>
              <w:rPr>
                <w:color w:val="000000"/>
                <w:sz w:val="18"/>
                <w:szCs w:val="18"/>
              </w:rPr>
              <w:t>β</w:t>
            </w:r>
            <w:r w:rsidRPr="00372EA3">
              <w:rPr>
                <w:color w:val="000000"/>
                <w:sz w:val="18"/>
                <w:szCs w:val="18"/>
              </w:rPr>
              <w:t>2+</w:t>
            </w:r>
            <w:r>
              <w:rPr>
                <w:color w:val="000000"/>
                <w:sz w:val="18"/>
                <w:szCs w:val="18"/>
              </w:rPr>
              <w:t>β</w:t>
            </w:r>
            <w:r w:rsidRPr="00372EA3">
              <w:rPr>
                <w:color w:val="000000"/>
                <w:sz w:val="18"/>
                <w:szCs w:val="18"/>
              </w:rPr>
              <w:t>3+</w:t>
            </w:r>
            <w:r>
              <w:rPr>
                <w:color w:val="000000"/>
                <w:sz w:val="18"/>
                <w:szCs w:val="18"/>
              </w:rPr>
              <w:t>β</w:t>
            </w:r>
            <w:r w:rsidRPr="00372EA3">
              <w:rPr>
                <w:color w:val="000000"/>
                <w:sz w:val="18"/>
                <w:szCs w:val="18"/>
              </w:rPr>
              <w:t>4+</w:t>
            </w:r>
            <w:r>
              <w:rPr>
                <w:color w:val="000000"/>
                <w:sz w:val="18"/>
                <w:szCs w:val="18"/>
              </w:rPr>
              <w:t>β</w:t>
            </w:r>
            <w:r w:rsidRPr="00372EA3">
              <w:rPr>
                <w:color w:val="000000"/>
                <w:sz w:val="18"/>
                <w:szCs w:val="18"/>
              </w:rPr>
              <w:t>5+</w:t>
            </w:r>
            <w:r>
              <w:rPr>
                <w:color w:val="000000"/>
                <w:sz w:val="18"/>
                <w:szCs w:val="18"/>
              </w:rPr>
              <w:t>β</w:t>
            </w:r>
            <w:r w:rsidRPr="00372EA3">
              <w:rPr>
                <w:color w:val="000000"/>
                <w:sz w:val="18"/>
                <w:szCs w:val="18"/>
              </w:rPr>
              <w:t>6+</w:t>
            </w:r>
            <w:r>
              <w:rPr>
                <w:color w:val="000000"/>
                <w:sz w:val="18"/>
                <w:szCs w:val="18"/>
              </w:rPr>
              <w:t>β</w:t>
            </w:r>
            <w:r w:rsidRPr="00372EA3">
              <w:rPr>
                <w:color w:val="000000"/>
                <w:sz w:val="18"/>
                <w:szCs w:val="18"/>
              </w:rPr>
              <w:t>7+</w:t>
            </w:r>
            <w:r>
              <w:rPr>
                <w:color w:val="000000"/>
                <w:sz w:val="18"/>
                <w:szCs w:val="18"/>
              </w:rPr>
              <w:t>β</w:t>
            </w:r>
            <w:r w:rsidRPr="00372EA3">
              <w:rPr>
                <w:color w:val="000000"/>
                <w:sz w:val="18"/>
                <w:szCs w:val="18"/>
              </w:rPr>
              <w:t>8+</w:t>
            </w:r>
            <w:r>
              <w:rPr>
                <w:color w:val="000000"/>
                <w:sz w:val="18"/>
                <w:szCs w:val="18"/>
              </w:rPr>
              <w:t>β</w:t>
            </w:r>
            <w:r w:rsidRPr="00372EA3">
              <w:rPr>
                <w:color w:val="000000"/>
                <w:sz w:val="18"/>
                <w:szCs w:val="18"/>
              </w:rPr>
              <w:t>9)/8</w:t>
            </w:r>
          </w:p>
        </w:tc>
        <w:tc>
          <w:tcPr>
            <w:tcW w:w="127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ACE6A9E" w14:textId="75C4B0AA"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H1</w:t>
            </w:r>
          </w:p>
        </w:tc>
      </w:tr>
      <w:tr w:rsidR="00372EA3" w:rsidRPr="00D22BD7" w14:paraId="74B2472B" w14:textId="77777777" w:rsidTr="0036726D">
        <w:tc>
          <w:tcPr>
            <w:tcW w:w="246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6F7FA85" w14:textId="29D9470D"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EU vs. Local NGO</w:t>
            </w:r>
          </w:p>
        </w:tc>
        <w:tc>
          <w:tcPr>
            <w:tcW w:w="3402" w:type="dxa"/>
            <w:tcBorders>
              <w:top w:val="single" w:sz="1" w:space="0" w:color="CCCCCC"/>
              <w:left w:val="single" w:sz="1" w:space="0" w:color="CCCCCC"/>
              <w:bottom w:val="single" w:sz="1" w:space="0" w:color="CCCCCC"/>
              <w:right w:val="single" w:sz="1" w:space="0" w:color="CCCCCC"/>
            </w:tcBorders>
            <w:vAlign w:val="center"/>
          </w:tcPr>
          <w:p w14:paraId="686229A3" w14:textId="0F878F19" w:rsidR="00372EA3" w:rsidRPr="00372EA3" w:rsidRDefault="00372EA3" w:rsidP="00372EA3">
            <w:pPr>
              <w:spacing w:line="360" w:lineRule="auto"/>
              <w:rPr>
                <w:rFonts w:ascii="Times New Roman" w:hAnsi="Times New Roman" w:cs="Times New Roman"/>
                <w:sz w:val="18"/>
                <w:szCs w:val="18"/>
              </w:rPr>
            </w:pPr>
            <w:r w:rsidRPr="00372EA3">
              <w:rPr>
                <w:color w:val="000000"/>
                <w:sz w:val="18"/>
                <w:szCs w:val="18"/>
              </w:rPr>
              <w:t>G2, G3, G6, G7 vs. G4, G5, G8, G9</w:t>
            </w:r>
          </w:p>
        </w:tc>
        <w:tc>
          <w:tcPr>
            <w:tcW w:w="368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2527F8E" w14:textId="2C7284AF" w:rsidR="00372EA3" w:rsidRPr="005D172A" w:rsidRDefault="00372EA3" w:rsidP="00372EA3">
            <w:pPr>
              <w:spacing w:line="360" w:lineRule="auto"/>
              <w:rPr>
                <w:rFonts w:ascii="Times New Roman" w:hAnsi="Times New Roman" w:cs="Times New Roman"/>
                <w:sz w:val="18"/>
                <w:szCs w:val="18"/>
              </w:rPr>
            </w:pPr>
            <w:r w:rsidRPr="00372EA3">
              <w:rPr>
                <w:color w:val="000000"/>
                <w:sz w:val="18"/>
                <w:szCs w:val="18"/>
              </w:rPr>
              <w:t>(</w:t>
            </w:r>
            <w:r>
              <w:rPr>
                <w:color w:val="000000"/>
                <w:sz w:val="18"/>
                <w:szCs w:val="18"/>
              </w:rPr>
              <w:t>β</w:t>
            </w:r>
            <w:r w:rsidRPr="00372EA3">
              <w:rPr>
                <w:color w:val="000000"/>
                <w:sz w:val="18"/>
                <w:szCs w:val="18"/>
              </w:rPr>
              <w:t>2+</w:t>
            </w:r>
            <w:r>
              <w:rPr>
                <w:color w:val="000000"/>
                <w:sz w:val="18"/>
                <w:szCs w:val="18"/>
              </w:rPr>
              <w:t>β</w:t>
            </w:r>
            <w:r w:rsidRPr="00372EA3">
              <w:rPr>
                <w:color w:val="000000"/>
                <w:sz w:val="18"/>
                <w:szCs w:val="18"/>
              </w:rPr>
              <w:t>3+</w:t>
            </w:r>
            <w:r>
              <w:rPr>
                <w:color w:val="000000"/>
                <w:sz w:val="18"/>
                <w:szCs w:val="18"/>
              </w:rPr>
              <w:t>β</w:t>
            </w:r>
            <w:r w:rsidRPr="00372EA3">
              <w:rPr>
                <w:color w:val="000000"/>
                <w:sz w:val="18"/>
                <w:szCs w:val="18"/>
              </w:rPr>
              <w:t>6+</w:t>
            </w:r>
            <w:r>
              <w:rPr>
                <w:color w:val="000000"/>
                <w:sz w:val="18"/>
                <w:szCs w:val="18"/>
              </w:rPr>
              <w:t>β</w:t>
            </w:r>
            <w:r w:rsidRPr="00372EA3">
              <w:rPr>
                <w:color w:val="000000"/>
                <w:sz w:val="18"/>
                <w:szCs w:val="18"/>
              </w:rPr>
              <w:t>7)/4-(</w:t>
            </w:r>
            <w:r>
              <w:rPr>
                <w:color w:val="000000"/>
                <w:sz w:val="18"/>
                <w:szCs w:val="18"/>
              </w:rPr>
              <w:t>β</w:t>
            </w:r>
            <w:r w:rsidRPr="00372EA3">
              <w:rPr>
                <w:color w:val="000000"/>
                <w:sz w:val="18"/>
                <w:szCs w:val="18"/>
              </w:rPr>
              <w:t>4+</w:t>
            </w:r>
            <w:r>
              <w:rPr>
                <w:color w:val="000000"/>
                <w:sz w:val="18"/>
                <w:szCs w:val="18"/>
              </w:rPr>
              <w:t>β</w:t>
            </w:r>
            <w:r w:rsidRPr="00372EA3">
              <w:rPr>
                <w:color w:val="000000"/>
                <w:sz w:val="18"/>
                <w:szCs w:val="18"/>
              </w:rPr>
              <w:t>5+</w:t>
            </w:r>
            <w:r>
              <w:rPr>
                <w:color w:val="000000"/>
                <w:sz w:val="18"/>
                <w:szCs w:val="18"/>
              </w:rPr>
              <w:t>β</w:t>
            </w:r>
            <w:r w:rsidRPr="00372EA3">
              <w:rPr>
                <w:color w:val="000000"/>
                <w:sz w:val="18"/>
                <w:szCs w:val="18"/>
              </w:rPr>
              <w:t>8+</w:t>
            </w:r>
            <w:r>
              <w:rPr>
                <w:color w:val="000000"/>
                <w:sz w:val="18"/>
                <w:szCs w:val="18"/>
              </w:rPr>
              <w:t>β</w:t>
            </w:r>
            <w:r w:rsidRPr="00372EA3">
              <w:rPr>
                <w:color w:val="000000"/>
                <w:sz w:val="18"/>
                <w:szCs w:val="18"/>
              </w:rPr>
              <w:t>9)/4</w:t>
            </w:r>
          </w:p>
        </w:tc>
        <w:tc>
          <w:tcPr>
            <w:tcW w:w="127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1F4501D" w14:textId="2902EA91"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H2</w:t>
            </w:r>
          </w:p>
        </w:tc>
      </w:tr>
      <w:tr w:rsidR="00372EA3" w:rsidRPr="00D22BD7" w14:paraId="1F56AA58" w14:textId="77777777" w:rsidTr="0036726D">
        <w:tc>
          <w:tcPr>
            <w:tcW w:w="246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6612644" w14:textId="04DD03DC"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Russia attribution vs. Generic</w:t>
            </w:r>
          </w:p>
        </w:tc>
        <w:tc>
          <w:tcPr>
            <w:tcW w:w="3402" w:type="dxa"/>
            <w:tcBorders>
              <w:top w:val="single" w:sz="1" w:space="0" w:color="CCCCCC"/>
              <w:left w:val="single" w:sz="1" w:space="0" w:color="CCCCCC"/>
              <w:bottom w:val="single" w:sz="1" w:space="0" w:color="CCCCCC"/>
              <w:right w:val="single" w:sz="1" w:space="0" w:color="CCCCCC"/>
            </w:tcBorders>
            <w:vAlign w:val="center"/>
          </w:tcPr>
          <w:p w14:paraId="087FF876" w14:textId="2DE9B7E9" w:rsidR="00372EA3" w:rsidRPr="00372EA3" w:rsidRDefault="00372EA3" w:rsidP="00372EA3">
            <w:pPr>
              <w:spacing w:line="360" w:lineRule="auto"/>
              <w:rPr>
                <w:rFonts w:ascii="Times New Roman" w:hAnsi="Times New Roman" w:cs="Times New Roman"/>
                <w:sz w:val="18"/>
                <w:szCs w:val="18"/>
              </w:rPr>
            </w:pPr>
            <w:r w:rsidRPr="00372EA3">
              <w:rPr>
                <w:color w:val="000000"/>
                <w:sz w:val="18"/>
                <w:szCs w:val="18"/>
              </w:rPr>
              <w:t>G3, G5, G7, G9 vs. G2, G4, G6, G8</w:t>
            </w:r>
          </w:p>
        </w:tc>
        <w:tc>
          <w:tcPr>
            <w:tcW w:w="368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8060368" w14:textId="32646058" w:rsidR="00372EA3" w:rsidRPr="005D172A" w:rsidRDefault="00372EA3" w:rsidP="00372EA3">
            <w:pPr>
              <w:spacing w:line="360" w:lineRule="auto"/>
              <w:rPr>
                <w:rFonts w:ascii="Times New Roman" w:hAnsi="Times New Roman" w:cs="Times New Roman"/>
                <w:sz w:val="18"/>
                <w:szCs w:val="18"/>
              </w:rPr>
            </w:pPr>
            <w:r w:rsidRPr="00372EA3">
              <w:rPr>
                <w:color w:val="000000"/>
                <w:sz w:val="18"/>
                <w:szCs w:val="18"/>
              </w:rPr>
              <w:t>(</w:t>
            </w:r>
            <w:r>
              <w:rPr>
                <w:color w:val="000000"/>
                <w:sz w:val="18"/>
                <w:szCs w:val="18"/>
              </w:rPr>
              <w:t>β</w:t>
            </w:r>
            <w:r w:rsidRPr="00372EA3">
              <w:rPr>
                <w:color w:val="000000"/>
                <w:sz w:val="18"/>
                <w:szCs w:val="18"/>
              </w:rPr>
              <w:t>3+</w:t>
            </w:r>
            <w:r>
              <w:rPr>
                <w:color w:val="000000"/>
                <w:sz w:val="18"/>
                <w:szCs w:val="18"/>
              </w:rPr>
              <w:t>β</w:t>
            </w:r>
            <w:r w:rsidRPr="00372EA3">
              <w:rPr>
                <w:color w:val="000000"/>
                <w:sz w:val="18"/>
                <w:szCs w:val="18"/>
              </w:rPr>
              <w:t>5+</w:t>
            </w:r>
            <w:r>
              <w:rPr>
                <w:color w:val="000000"/>
                <w:sz w:val="18"/>
                <w:szCs w:val="18"/>
              </w:rPr>
              <w:t>β</w:t>
            </w:r>
            <w:r w:rsidRPr="00372EA3">
              <w:rPr>
                <w:color w:val="000000"/>
                <w:sz w:val="18"/>
                <w:szCs w:val="18"/>
              </w:rPr>
              <w:t>7+</w:t>
            </w:r>
            <w:r>
              <w:rPr>
                <w:color w:val="000000"/>
                <w:sz w:val="18"/>
                <w:szCs w:val="18"/>
              </w:rPr>
              <w:t>β</w:t>
            </w:r>
            <w:r w:rsidRPr="00372EA3">
              <w:rPr>
                <w:color w:val="000000"/>
                <w:sz w:val="18"/>
                <w:szCs w:val="18"/>
              </w:rPr>
              <w:t>9)/4-(</w:t>
            </w:r>
            <w:r>
              <w:rPr>
                <w:color w:val="000000"/>
                <w:sz w:val="18"/>
                <w:szCs w:val="18"/>
              </w:rPr>
              <w:t>β</w:t>
            </w:r>
            <w:r w:rsidRPr="00372EA3">
              <w:rPr>
                <w:color w:val="000000"/>
                <w:sz w:val="18"/>
                <w:szCs w:val="18"/>
              </w:rPr>
              <w:t>2+</w:t>
            </w:r>
            <w:r>
              <w:rPr>
                <w:color w:val="000000"/>
                <w:sz w:val="18"/>
                <w:szCs w:val="18"/>
              </w:rPr>
              <w:t>β</w:t>
            </w:r>
            <w:r w:rsidRPr="00372EA3">
              <w:rPr>
                <w:color w:val="000000"/>
                <w:sz w:val="18"/>
                <w:szCs w:val="18"/>
              </w:rPr>
              <w:t>4+</w:t>
            </w:r>
            <w:r>
              <w:rPr>
                <w:color w:val="000000"/>
                <w:sz w:val="18"/>
                <w:szCs w:val="18"/>
              </w:rPr>
              <w:t>β</w:t>
            </w:r>
            <w:r w:rsidRPr="00372EA3">
              <w:rPr>
                <w:color w:val="000000"/>
                <w:sz w:val="18"/>
                <w:szCs w:val="18"/>
              </w:rPr>
              <w:t>6+</w:t>
            </w:r>
            <w:r>
              <w:rPr>
                <w:color w:val="000000"/>
                <w:sz w:val="18"/>
                <w:szCs w:val="18"/>
              </w:rPr>
              <w:t>β</w:t>
            </w:r>
            <w:r w:rsidRPr="00372EA3">
              <w:rPr>
                <w:color w:val="000000"/>
                <w:sz w:val="18"/>
                <w:szCs w:val="18"/>
              </w:rPr>
              <w:t>8)/4</w:t>
            </w:r>
          </w:p>
        </w:tc>
        <w:tc>
          <w:tcPr>
            <w:tcW w:w="127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9BD5444" w14:textId="70E96A30"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H3</w:t>
            </w:r>
            <w:r w:rsidRPr="00372EA3">
              <w:rPr>
                <w:rStyle w:val="apple-converted-space"/>
                <w:color w:val="000000"/>
                <w:sz w:val="18"/>
                <w:szCs w:val="18"/>
              </w:rPr>
              <w:t> </w:t>
            </w:r>
          </w:p>
        </w:tc>
      </w:tr>
      <w:tr w:rsidR="00372EA3" w:rsidRPr="00D22BD7" w14:paraId="4350B913" w14:textId="77777777" w:rsidTr="0036726D">
        <w:tc>
          <w:tcPr>
            <w:tcW w:w="246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AD1AC30" w14:textId="108B1ECA"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Source × Attribution</w:t>
            </w:r>
          </w:p>
        </w:tc>
        <w:tc>
          <w:tcPr>
            <w:tcW w:w="3402" w:type="dxa"/>
            <w:tcBorders>
              <w:top w:val="single" w:sz="1" w:space="0" w:color="CCCCCC"/>
              <w:left w:val="single" w:sz="1" w:space="0" w:color="CCCCCC"/>
              <w:bottom w:val="single" w:sz="1" w:space="0" w:color="CCCCCC"/>
              <w:right w:val="single" w:sz="1" w:space="0" w:color="CCCCCC"/>
            </w:tcBorders>
            <w:vAlign w:val="center"/>
          </w:tcPr>
          <w:p w14:paraId="294F3077" w14:textId="4428DFE8" w:rsidR="00372EA3" w:rsidRPr="00F536B3" w:rsidRDefault="00372EA3" w:rsidP="00372EA3">
            <w:pPr>
              <w:spacing w:line="360" w:lineRule="auto"/>
              <w:rPr>
                <w:rFonts w:ascii="Times New Roman" w:hAnsi="Times New Roman" w:cs="Times New Roman"/>
                <w:sz w:val="18"/>
                <w:szCs w:val="18"/>
                <w:lang w:val="en-US"/>
              </w:rPr>
            </w:pPr>
            <w:r w:rsidRPr="00F536B3">
              <w:rPr>
                <w:color w:val="000000"/>
                <w:sz w:val="18"/>
                <w:szCs w:val="18"/>
                <w:lang w:val="en-US"/>
              </w:rPr>
              <w:t>Difference in Russia-attribution effect between EU and NGO warnings</w:t>
            </w:r>
          </w:p>
        </w:tc>
        <w:tc>
          <w:tcPr>
            <w:tcW w:w="368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8C78C73" w14:textId="1C645ED9" w:rsidR="00372EA3" w:rsidRPr="005D172A" w:rsidRDefault="00372EA3" w:rsidP="00372EA3">
            <w:pPr>
              <w:spacing w:line="360" w:lineRule="auto"/>
              <w:rPr>
                <w:rFonts w:ascii="Times New Roman" w:hAnsi="Times New Roman" w:cs="Times New Roman"/>
                <w:sz w:val="18"/>
                <w:szCs w:val="18"/>
              </w:rPr>
            </w:pPr>
            <w:r w:rsidRPr="00372EA3">
              <w:rPr>
                <w:color w:val="000000"/>
                <w:sz w:val="18"/>
                <w:szCs w:val="18"/>
              </w:rPr>
              <w:t>[(</w:t>
            </w:r>
            <w:r>
              <w:rPr>
                <w:color w:val="000000"/>
                <w:sz w:val="18"/>
                <w:szCs w:val="18"/>
              </w:rPr>
              <w:t>β</w:t>
            </w:r>
            <w:r w:rsidRPr="00372EA3">
              <w:rPr>
                <w:color w:val="000000"/>
                <w:sz w:val="18"/>
                <w:szCs w:val="18"/>
              </w:rPr>
              <w:t>3-</w:t>
            </w:r>
            <w:r>
              <w:rPr>
                <w:color w:val="000000"/>
                <w:sz w:val="18"/>
                <w:szCs w:val="18"/>
              </w:rPr>
              <w:t>β</w:t>
            </w:r>
            <w:r w:rsidRPr="00372EA3">
              <w:rPr>
                <w:color w:val="000000"/>
                <w:sz w:val="18"/>
                <w:szCs w:val="18"/>
              </w:rPr>
              <w:t>2)+(</w:t>
            </w:r>
            <w:r>
              <w:rPr>
                <w:color w:val="000000"/>
                <w:sz w:val="18"/>
                <w:szCs w:val="18"/>
              </w:rPr>
              <w:t>β</w:t>
            </w:r>
            <w:r w:rsidRPr="00372EA3">
              <w:rPr>
                <w:color w:val="000000"/>
                <w:sz w:val="18"/>
                <w:szCs w:val="18"/>
              </w:rPr>
              <w:t>7-</w:t>
            </w:r>
            <w:r>
              <w:rPr>
                <w:color w:val="000000"/>
                <w:sz w:val="18"/>
                <w:szCs w:val="18"/>
              </w:rPr>
              <w:t>β</w:t>
            </w:r>
            <w:r w:rsidRPr="00372EA3">
              <w:rPr>
                <w:color w:val="000000"/>
                <w:sz w:val="18"/>
                <w:szCs w:val="18"/>
              </w:rPr>
              <w:t>6)]/2 - [(</w:t>
            </w:r>
            <w:r>
              <w:rPr>
                <w:color w:val="000000"/>
                <w:sz w:val="18"/>
                <w:szCs w:val="18"/>
              </w:rPr>
              <w:t>β</w:t>
            </w:r>
            <w:r w:rsidRPr="00372EA3">
              <w:rPr>
                <w:color w:val="000000"/>
                <w:sz w:val="18"/>
                <w:szCs w:val="18"/>
              </w:rPr>
              <w:t>5-</w:t>
            </w:r>
            <w:r>
              <w:rPr>
                <w:color w:val="000000"/>
                <w:sz w:val="18"/>
                <w:szCs w:val="18"/>
              </w:rPr>
              <w:t>β</w:t>
            </w:r>
            <w:r w:rsidRPr="00372EA3">
              <w:rPr>
                <w:color w:val="000000"/>
                <w:sz w:val="18"/>
                <w:szCs w:val="18"/>
              </w:rPr>
              <w:t>4)+(</w:t>
            </w:r>
            <w:r>
              <w:rPr>
                <w:color w:val="000000"/>
                <w:sz w:val="18"/>
                <w:szCs w:val="18"/>
              </w:rPr>
              <w:t>β</w:t>
            </w:r>
            <w:r w:rsidRPr="00372EA3">
              <w:rPr>
                <w:color w:val="000000"/>
                <w:sz w:val="18"/>
                <w:szCs w:val="18"/>
              </w:rPr>
              <w:t>9-</w:t>
            </w:r>
            <w:r>
              <w:rPr>
                <w:color w:val="000000"/>
                <w:sz w:val="18"/>
                <w:szCs w:val="18"/>
              </w:rPr>
              <w:t>β</w:t>
            </w:r>
            <w:r w:rsidRPr="00372EA3">
              <w:rPr>
                <w:color w:val="000000"/>
                <w:sz w:val="18"/>
                <w:szCs w:val="18"/>
              </w:rPr>
              <w:t>8)]/2</w:t>
            </w:r>
          </w:p>
        </w:tc>
        <w:tc>
          <w:tcPr>
            <w:tcW w:w="127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A63D78A" w14:textId="7DAB6B57"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H4</w:t>
            </w:r>
          </w:p>
        </w:tc>
      </w:tr>
      <w:tr w:rsidR="00372EA3" w:rsidRPr="00D22BD7" w14:paraId="5DB3B8D6" w14:textId="77777777" w:rsidTr="0036726D">
        <w:tc>
          <w:tcPr>
            <w:tcW w:w="246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AD8F5FB" w14:textId="5F9E5E2B"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Radio vs. SM post</w:t>
            </w:r>
          </w:p>
        </w:tc>
        <w:tc>
          <w:tcPr>
            <w:tcW w:w="3402" w:type="dxa"/>
            <w:tcBorders>
              <w:top w:val="single" w:sz="1" w:space="0" w:color="CCCCCC"/>
              <w:left w:val="single" w:sz="1" w:space="0" w:color="CCCCCC"/>
              <w:bottom w:val="single" w:sz="1" w:space="0" w:color="CCCCCC"/>
              <w:right w:val="single" w:sz="1" w:space="0" w:color="CCCCCC"/>
            </w:tcBorders>
            <w:vAlign w:val="center"/>
          </w:tcPr>
          <w:p w14:paraId="37789679" w14:textId="598F859D" w:rsidR="00372EA3" w:rsidRPr="00372EA3" w:rsidRDefault="00372EA3" w:rsidP="00372EA3">
            <w:pPr>
              <w:spacing w:line="360" w:lineRule="auto"/>
              <w:rPr>
                <w:rFonts w:ascii="Times New Roman" w:hAnsi="Times New Roman" w:cs="Times New Roman"/>
                <w:sz w:val="18"/>
                <w:szCs w:val="18"/>
              </w:rPr>
            </w:pPr>
            <w:r w:rsidRPr="00372EA3">
              <w:rPr>
                <w:color w:val="000000"/>
                <w:sz w:val="18"/>
                <w:szCs w:val="18"/>
              </w:rPr>
              <w:t>G6–G9 vs. G2–G5</w:t>
            </w:r>
          </w:p>
        </w:tc>
        <w:tc>
          <w:tcPr>
            <w:tcW w:w="368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0615D20" w14:textId="39AD4FFB" w:rsidR="00372EA3" w:rsidRPr="005D172A" w:rsidRDefault="00372EA3" w:rsidP="00372EA3">
            <w:pPr>
              <w:spacing w:line="360" w:lineRule="auto"/>
              <w:rPr>
                <w:rFonts w:ascii="Times New Roman" w:hAnsi="Times New Roman" w:cs="Times New Roman"/>
                <w:sz w:val="18"/>
                <w:szCs w:val="18"/>
              </w:rPr>
            </w:pPr>
            <w:r w:rsidRPr="00372EA3">
              <w:rPr>
                <w:color w:val="000000"/>
                <w:sz w:val="18"/>
                <w:szCs w:val="18"/>
              </w:rPr>
              <w:t>(</w:t>
            </w:r>
            <w:r>
              <w:rPr>
                <w:color w:val="000000"/>
                <w:sz w:val="18"/>
                <w:szCs w:val="18"/>
              </w:rPr>
              <w:t>β</w:t>
            </w:r>
            <w:r w:rsidRPr="00372EA3">
              <w:rPr>
                <w:color w:val="000000"/>
                <w:sz w:val="18"/>
                <w:szCs w:val="18"/>
              </w:rPr>
              <w:t>6+</w:t>
            </w:r>
            <w:r>
              <w:rPr>
                <w:color w:val="000000"/>
                <w:sz w:val="18"/>
                <w:szCs w:val="18"/>
              </w:rPr>
              <w:t>β</w:t>
            </w:r>
            <w:r w:rsidRPr="00372EA3">
              <w:rPr>
                <w:color w:val="000000"/>
                <w:sz w:val="18"/>
                <w:szCs w:val="18"/>
              </w:rPr>
              <w:t>7+</w:t>
            </w:r>
            <w:r>
              <w:rPr>
                <w:color w:val="000000"/>
                <w:sz w:val="18"/>
                <w:szCs w:val="18"/>
              </w:rPr>
              <w:t>β</w:t>
            </w:r>
            <w:r w:rsidRPr="00372EA3">
              <w:rPr>
                <w:color w:val="000000"/>
                <w:sz w:val="18"/>
                <w:szCs w:val="18"/>
              </w:rPr>
              <w:t>8+</w:t>
            </w:r>
            <w:r>
              <w:rPr>
                <w:color w:val="000000"/>
                <w:sz w:val="18"/>
                <w:szCs w:val="18"/>
              </w:rPr>
              <w:t>β</w:t>
            </w:r>
            <w:r w:rsidRPr="00372EA3">
              <w:rPr>
                <w:color w:val="000000"/>
                <w:sz w:val="18"/>
                <w:szCs w:val="18"/>
              </w:rPr>
              <w:t>9)/4-(</w:t>
            </w:r>
            <w:r>
              <w:rPr>
                <w:color w:val="000000"/>
                <w:sz w:val="18"/>
                <w:szCs w:val="18"/>
              </w:rPr>
              <w:t>β</w:t>
            </w:r>
            <w:r w:rsidRPr="00372EA3">
              <w:rPr>
                <w:color w:val="000000"/>
                <w:sz w:val="18"/>
                <w:szCs w:val="18"/>
              </w:rPr>
              <w:t>2+</w:t>
            </w:r>
            <w:r>
              <w:rPr>
                <w:color w:val="000000"/>
                <w:sz w:val="18"/>
                <w:szCs w:val="18"/>
              </w:rPr>
              <w:t>β</w:t>
            </w:r>
            <w:r w:rsidRPr="00372EA3">
              <w:rPr>
                <w:color w:val="000000"/>
                <w:sz w:val="18"/>
                <w:szCs w:val="18"/>
              </w:rPr>
              <w:t>3+</w:t>
            </w:r>
            <w:r>
              <w:rPr>
                <w:color w:val="000000"/>
                <w:sz w:val="18"/>
                <w:szCs w:val="18"/>
              </w:rPr>
              <w:t>β</w:t>
            </w:r>
            <w:r w:rsidRPr="00372EA3">
              <w:rPr>
                <w:color w:val="000000"/>
                <w:sz w:val="18"/>
                <w:szCs w:val="18"/>
              </w:rPr>
              <w:t>4+</w:t>
            </w:r>
            <w:r>
              <w:rPr>
                <w:color w:val="000000"/>
                <w:sz w:val="18"/>
                <w:szCs w:val="18"/>
              </w:rPr>
              <w:t>β</w:t>
            </w:r>
            <w:r w:rsidRPr="00372EA3">
              <w:rPr>
                <w:color w:val="000000"/>
                <w:sz w:val="18"/>
                <w:szCs w:val="18"/>
              </w:rPr>
              <w:t>5)/4</w:t>
            </w:r>
          </w:p>
        </w:tc>
        <w:tc>
          <w:tcPr>
            <w:tcW w:w="127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23E5E47" w14:textId="65D8B84B" w:rsidR="00372EA3" w:rsidRPr="00372EA3" w:rsidRDefault="00372EA3" w:rsidP="00372EA3">
            <w:pPr>
              <w:spacing w:line="360" w:lineRule="auto"/>
              <w:rPr>
                <w:rFonts w:ascii="Times New Roman" w:hAnsi="Times New Roman" w:cs="Times New Roman"/>
                <w:sz w:val="18"/>
                <w:szCs w:val="18"/>
              </w:rPr>
            </w:pPr>
            <w:r w:rsidRPr="00372EA3">
              <w:rPr>
                <w:rStyle w:val="Stark"/>
                <w:color w:val="000000"/>
                <w:sz w:val="18"/>
                <w:szCs w:val="18"/>
              </w:rPr>
              <w:t>H5</w:t>
            </w:r>
          </w:p>
        </w:tc>
      </w:tr>
    </w:tbl>
    <w:p w14:paraId="1CB52BB3" w14:textId="77777777" w:rsidR="007F4B3B" w:rsidRPr="00D22BD7" w:rsidRDefault="00000000" w:rsidP="00D22BD7">
      <w:pPr>
        <w:spacing w:before="80" w:after="160" w:line="360" w:lineRule="auto"/>
        <w:jc w:val="center"/>
        <w:rPr>
          <w:rFonts w:ascii="Times New Roman" w:hAnsi="Times New Roman" w:cs="Times New Roman"/>
        </w:rPr>
      </w:pPr>
      <w:r w:rsidRPr="00D22BD7">
        <w:rPr>
          <w:rFonts w:ascii="Times New Roman" w:hAnsi="Times New Roman" w:cs="Times New Roman"/>
          <w:i/>
          <w:iCs/>
          <w:color w:val="666666"/>
          <w:sz w:val="20"/>
          <w:szCs w:val="20"/>
        </w:rPr>
        <w:t>Table 2: Pre-Specified Contrasts</w:t>
      </w:r>
    </w:p>
    <w:p w14:paraId="6D5A44AC" w14:textId="5C3DCCB6" w:rsidR="007F4B3B" w:rsidRPr="00EC3C4D" w:rsidRDefault="00000000" w:rsidP="00EC3C4D">
      <w:pPr>
        <w:pStyle w:val="Rubrik2"/>
        <w:rPr>
          <w:rFonts w:ascii="Times New Roman" w:hAnsi="Times New Roman" w:cs="Times New Roman"/>
          <w:lang w:val="en-US"/>
        </w:rPr>
      </w:pPr>
      <w:r w:rsidRPr="00D22BD7">
        <w:rPr>
          <w:rFonts w:ascii="Times New Roman" w:hAnsi="Times New Roman" w:cs="Times New Roman"/>
        </w:rPr>
        <w:t xml:space="preserve">6.3 </w:t>
      </w:r>
      <w:r w:rsidR="00EC3C4D" w:rsidRPr="00EC3C4D">
        <w:rPr>
          <w:rFonts w:ascii="Times New Roman" w:hAnsi="Times New Roman" w:cs="Times New Roman"/>
          <w:lang w:val="en-US"/>
        </w:rPr>
        <w:t>Multiple Hypothesis Testing</w:t>
      </w:r>
    </w:p>
    <w:p w14:paraId="728F4A10" w14:textId="32756329" w:rsidR="00EC3C4D" w:rsidRPr="00F536B3" w:rsidRDefault="00301CB7" w:rsidP="00D22BD7">
      <w:pPr>
        <w:pStyle w:val="Rubrik1"/>
        <w:spacing w:line="360" w:lineRule="auto"/>
        <w:rPr>
          <w:rFonts w:ascii="Times New Roman" w:hAnsi="Times New Roman" w:cs="Times New Roman"/>
          <w:b w:val="0"/>
          <w:bCs w:val="0"/>
          <w:color w:val="auto"/>
          <w:sz w:val="24"/>
          <w:szCs w:val="24"/>
          <w:lang w:val="en-US"/>
        </w:rPr>
      </w:pPr>
      <w:r w:rsidRPr="00F536B3">
        <w:rPr>
          <w:rFonts w:ascii="Times New Roman" w:hAnsi="Times New Roman" w:cs="Times New Roman"/>
          <w:b w:val="0"/>
          <w:bCs w:val="0"/>
          <w:color w:val="auto"/>
          <w:sz w:val="24"/>
          <w:szCs w:val="24"/>
          <w:lang w:val="en-US"/>
        </w:rPr>
        <w:t xml:space="preserve">The primary family consists of ten prespecified tests: the five hypotheses H1–H5 are tested separately for each of the two primary outcomes, corresponding to sharing intention for Message 1 and Message 2. The treatment effects are tested using the prespecified linear contrasts of the treatment-arm coefficients reported in Table 2. All tests are two-sided. </w:t>
      </w:r>
      <w:r w:rsidR="009274F5" w:rsidRPr="009274F5">
        <w:rPr>
          <w:rFonts w:ascii="Times New Roman" w:hAnsi="Times New Roman" w:cs="Times New Roman"/>
          <w:b w:val="0"/>
          <w:bCs w:val="0"/>
          <w:color w:val="auto"/>
          <w:sz w:val="24"/>
          <w:szCs w:val="24"/>
        </w:rPr>
        <w:t>The ten primary tests are adjusted jointly using the Romano–Wolf step-down procedure. Because the two message-</w:t>
      </w:r>
      <w:r w:rsidR="009274F5" w:rsidRPr="009274F5">
        <w:rPr>
          <w:rFonts w:ascii="Times New Roman" w:hAnsi="Times New Roman" w:cs="Times New Roman"/>
          <w:b w:val="0"/>
          <w:bCs w:val="0"/>
          <w:color w:val="auto"/>
          <w:sz w:val="24"/>
          <w:szCs w:val="24"/>
        </w:rPr>
        <w:lastRenderedPageBreak/>
        <w:t>specific sharing outcomes are expected to be positively correlated, the resampling procedure will account for the dependence across test statistics, yielding a less conservative adjustment than methods such as Bonferroni that do not exploit this correlation structure.</w:t>
      </w:r>
      <w:r w:rsidRPr="00F536B3">
        <w:rPr>
          <w:rFonts w:ascii="Times New Roman" w:hAnsi="Times New Roman" w:cs="Times New Roman"/>
          <w:b w:val="0"/>
          <w:bCs w:val="0"/>
          <w:color w:val="auto"/>
          <w:sz w:val="24"/>
          <w:szCs w:val="24"/>
          <w:lang w:val="en-US"/>
        </w:rPr>
        <w:t xml:space="preserve">We will </w:t>
      </w:r>
      <w:r w:rsidR="009274F5">
        <w:rPr>
          <w:rFonts w:ascii="Times New Roman" w:hAnsi="Times New Roman" w:cs="Times New Roman"/>
          <w:b w:val="0"/>
          <w:bCs w:val="0"/>
          <w:color w:val="auto"/>
          <w:sz w:val="24"/>
          <w:szCs w:val="24"/>
          <w:lang w:val="en-US"/>
        </w:rPr>
        <w:t>report</w:t>
      </w:r>
      <w:r w:rsidRPr="00F536B3">
        <w:rPr>
          <w:rFonts w:ascii="Times New Roman" w:hAnsi="Times New Roman" w:cs="Times New Roman"/>
          <w:b w:val="0"/>
          <w:bCs w:val="0"/>
          <w:color w:val="auto"/>
          <w:sz w:val="24"/>
          <w:szCs w:val="24"/>
          <w:lang w:val="en-US"/>
        </w:rPr>
        <w:t xml:space="preserve"> Bonferroni-adjusted p-values alongside as a simpler benchmark. </w:t>
      </w:r>
    </w:p>
    <w:p w14:paraId="1E463638" w14:textId="5FAC5D97"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7. Statistical Power</w:t>
      </w:r>
    </w:p>
    <w:p w14:paraId="255ED067" w14:textId="3602B793" w:rsidR="00AE2A56" w:rsidRPr="00F536B3" w:rsidRDefault="00AE2A56"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Power calculations assume two-sided tests at </w:t>
      </w:r>
      <w:r w:rsidRPr="00D22BD7">
        <w:rPr>
          <w:rFonts w:ascii="Times New Roman" w:hAnsi="Times New Roman" w:cs="Times New Roman"/>
        </w:rPr>
        <w:t>α</w:t>
      </w:r>
      <w:r w:rsidRPr="00F536B3">
        <w:rPr>
          <w:rFonts w:ascii="Times New Roman" w:hAnsi="Times New Roman" w:cs="Times New Roman"/>
          <w:lang w:val="en-US"/>
        </w:rPr>
        <w:t xml:space="preserve"> = 0.05 and 80% power (z</w:t>
      </w:r>
      <w:r w:rsidRPr="00D22BD7">
        <w:rPr>
          <w:rFonts w:ascii="Times New Roman" w:hAnsi="Times New Roman" w:cs="Times New Roman"/>
        </w:rPr>
        <w:t>α</w:t>
      </w:r>
      <w:r w:rsidRPr="00F536B3">
        <w:rPr>
          <w:rFonts w:ascii="Times New Roman" w:hAnsi="Times New Roman" w:cs="Times New Roman"/>
          <w:lang w:val="en-US"/>
        </w:rPr>
        <w:t xml:space="preserve">/2 = 1.96, z_power = 0.84, sum = 2.80). For </w:t>
      </w:r>
      <w:r w:rsidR="00C52DA7" w:rsidRPr="00F536B3">
        <w:rPr>
          <w:rFonts w:ascii="Times New Roman" w:hAnsi="Times New Roman" w:cs="Times New Roman"/>
          <w:lang w:val="en-US"/>
        </w:rPr>
        <w:t>simple differences in proportions</w:t>
      </w:r>
      <w:r w:rsidRPr="00F536B3">
        <w:rPr>
          <w:rFonts w:ascii="Times New Roman" w:hAnsi="Times New Roman" w:cs="Times New Roman"/>
          <w:lang w:val="en-US"/>
        </w:rPr>
        <w:t xml:space="preserve"> with baseline probability Pr(Y=1), the MDE is:</w:t>
      </w:r>
    </w:p>
    <w:p w14:paraId="416DC301" w14:textId="77777777" w:rsidR="00AE2A56" w:rsidRPr="00DA4932" w:rsidRDefault="00AE2A56" w:rsidP="00D22BD7">
      <w:pPr>
        <w:spacing w:before="120" w:after="120" w:line="360" w:lineRule="auto"/>
        <w:ind w:left="720"/>
        <w:rPr>
          <w:rFonts w:ascii="Times New Roman" w:eastAsia="Cambria Math" w:hAnsi="Times New Roman" w:cs="Times New Roman"/>
          <w:i/>
          <w:iCs/>
          <w:lang w:val="es-ES_tradnl"/>
        </w:rPr>
      </w:pPr>
      <w:r w:rsidRPr="00DA4932">
        <w:rPr>
          <w:rFonts w:ascii="Times New Roman" w:eastAsia="Cambria Math" w:hAnsi="Times New Roman" w:cs="Times New Roman"/>
          <w:i/>
          <w:iCs/>
          <w:lang w:val="es-ES_tradnl"/>
        </w:rPr>
        <w:t>MDE_binary = 2.80 × √[Pr(Y=1)(1 − Pr(Y=1)) × (1/n₁ + 1/n₂)]</w:t>
      </w:r>
    </w:p>
    <w:p w14:paraId="1464DF38" w14:textId="7DD777F7" w:rsidR="00C52DA7" w:rsidRPr="00F536B3" w:rsidRDefault="00C52DA7" w:rsidP="00C52DA7">
      <w:pPr>
        <w:spacing w:before="120" w:after="120" w:line="360" w:lineRule="auto"/>
        <w:rPr>
          <w:rFonts w:ascii="Times New Roman" w:hAnsi="Times New Roman" w:cs="Times New Roman"/>
          <w:lang w:val="en-US"/>
        </w:rPr>
      </w:pPr>
      <w:r w:rsidRPr="00F536B3">
        <w:rPr>
          <w:rFonts w:ascii="Times New Roman" w:hAnsi="Times New Roman" w:cs="Times New Roman"/>
          <w:lang w:val="en-US"/>
        </w:rPr>
        <w:t>For the source × attribution interaction, which is estimated as a difference-in-differences contrast across four source-by-attribution cells, we calculate the MDE using the variance of the corresponding linear contrast. Table 3 reports nominal, unadjusted MDEs</w:t>
      </w:r>
      <w:r>
        <w:rPr>
          <w:rStyle w:val="Fotnotsreferens"/>
          <w:rFonts w:ascii="Times New Roman" w:hAnsi="Times New Roman" w:cs="Times New Roman"/>
        </w:rPr>
        <w:footnoteReference w:id="1"/>
      </w:r>
      <w:r w:rsidRPr="00F536B3">
        <w:rPr>
          <w:rFonts w:ascii="Times New Roman" w:hAnsi="Times New Roman" w:cs="Times New Roman"/>
          <w:lang w:val="en-US"/>
        </w:rPr>
        <w:t xml:space="preserve"> under</w:t>
      </w:r>
      <w:r w:rsidR="004D3FDF">
        <w:rPr>
          <w:rFonts w:ascii="Times New Roman" w:hAnsi="Times New Roman" w:cs="Times New Roman"/>
          <w:lang w:val="en-US"/>
        </w:rPr>
        <w:t xml:space="preserve"> the control-group</w:t>
      </w:r>
      <w:r w:rsidRPr="00F536B3">
        <w:rPr>
          <w:rFonts w:ascii="Times New Roman" w:hAnsi="Times New Roman" w:cs="Times New Roman"/>
          <w:lang w:val="en-US"/>
        </w:rPr>
        <w:t xml:space="preserve"> sharing probabilit</w:t>
      </w:r>
      <w:r w:rsidR="008D2260">
        <w:rPr>
          <w:rFonts w:ascii="Times New Roman" w:hAnsi="Times New Roman" w:cs="Times New Roman"/>
          <w:lang w:val="en-US"/>
        </w:rPr>
        <w:t>y</w:t>
      </w:r>
      <w:r w:rsidRPr="00F536B3">
        <w:rPr>
          <w:rFonts w:ascii="Times New Roman" w:hAnsi="Times New Roman" w:cs="Times New Roman"/>
          <w:lang w:val="en-US"/>
        </w:rPr>
        <w:t xml:space="preserve"> of 0.</w:t>
      </w:r>
      <w:r w:rsidR="008D2260">
        <w:rPr>
          <w:rFonts w:ascii="Times New Roman" w:hAnsi="Times New Roman" w:cs="Times New Roman"/>
          <w:lang w:val="en-US"/>
        </w:rPr>
        <w:t>60</w:t>
      </w:r>
      <w:r w:rsidR="004D3FDF">
        <w:rPr>
          <w:rFonts w:ascii="Times New Roman" w:hAnsi="Times New Roman" w:cs="Times New Roman"/>
          <w:lang w:val="en-US"/>
        </w:rPr>
        <w:t xml:space="preserve"> in the pilot</w:t>
      </w:r>
      <w:r w:rsidRPr="00F536B3">
        <w:rPr>
          <w:rFonts w:ascii="Times New Roman" w:hAnsi="Times New Roman" w:cs="Times New Roman"/>
          <w:lang w:val="en-US"/>
        </w:rPr>
        <w:t>.</w:t>
      </w: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12"/>
        <w:gridCol w:w="1990"/>
        <w:gridCol w:w="1418"/>
        <w:gridCol w:w="1701"/>
        <w:gridCol w:w="1701"/>
      </w:tblGrid>
      <w:tr w:rsidR="003365FC" w:rsidRPr="00D22BD7" w14:paraId="7C49F1D0" w14:textId="77777777" w:rsidTr="003365FC">
        <w:tc>
          <w:tcPr>
            <w:tcW w:w="3112"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2ADED10F" w14:textId="5FABF9FB" w:rsidR="003365FC" w:rsidRPr="003365FC" w:rsidRDefault="003365FC" w:rsidP="003365FC">
            <w:pPr>
              <w:spacing w:line="360" w:lineRule="auto"/>
              <w:rPr>
                <w:rFonts w:ascii="Times New Roman" w:hAnsi="Times New Roman" w:cs="Times New Roman"/>
                <w:sz w:val="18"/>
                <w:szCs w:val="18"/>
              </w:rPr>
            </w:pPr>
            <w:r w:rsidRPr="003365FC">
              <w:rPr>
                <w:b/>
                <w:bCs/>
                <w:color w:val="000000"/>
                <w:sz w:val="18"/>
                <w:szCs w:val="18"/>
              </w:rPr>
              <w:t>Contrast</w:t>
            </w:r>
          </w:p>
        </w:tc>
        <w:tc>
          <w:tcPr>
            <w:tcW w:w="1990"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4107022B" w14:textId="57444434" w:rsidR="003365FC" w:rsidRPr="003365FC" w:rsidRDefault="003365FC" w:rsidP="003365FC">
            <w:pPr>
              <w:spacing w:line="360" w:lineRule="auto"/>
              <w:rPr>
                <w:rFonts w:ascii="Times New Roman" w:hAnsi="Times New Roman" w:cs="Times New Roman"/>
                <w:sz w:val="18"/>
                <w:szCs w:val="18"/>
              </w:rPr>
            </w:pPr>
            <w:r w:rsidRPr="003365FC">
              <w:rPr>
                <w:b/>
                <w:bCs/>
                <w:color w:val="000000"/>
                <w:sz w:val="18"/>
                <w:szCs w:val="18"/>
              </w:rPr>
              <w:t>n</w:t>
            </w:r>
            <w:r w:rsidRPr="003365FC">
              <w:rPr>
                <w:rFonts w:ascii="Cambria Math" w:hAnsi="Cambria Math" w:cs="Cambria Math"/>
                <w:b/>
                <w:bCs/>
                <w:color w:val="000000"/>
                <w:sz w:val="18"/>
                <w:szCs w:val="18"/>
              </w:rPr>
              <w:t>₁</w:t>
            </w:r>
          </w:p>
        </w:tc>
        <w:tc>
          <w:tcPr>
            <w:tcW w:w="1418"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44EAFDAB" w14:textId="28BF7041" w:rsidR="003365FC" w:rsidRPr="003365FC" w:rsidRDefault="003365FC" w:rsidP="003365FC">
            <w:pPr>
              <w:spacing w:line="360" w:lineRule="auto"/>
              <w:rPr>
                <w:rFonts w:ascii="Times New Roman" w:hAnsi="Times New Roman" w:cs="Times New Roman"/>
                <w:sz w:val="18"/>
                <w:szCs w:val="18"/>
              </w:rPr>
            </w:pPr>
            <w:r w:rsidRPr="003365FC">
              <w:rPr>
                <w:b/>
                <w:bCs/>
                <w:color w:val="000000"/>
                <w:sz w:val="18"/>
                <w:szCs w:val="18"/>
              </w:rPr>
              <w:t>n</w:t>
            </w:r>
            <w:r w:rsidRPr="003365FC">
              <w:rPr>
                <w:rFonts w:ascii="Cambria Math" w:hAnsi="Cambria Math" w:cs="Cambria Math"/>
                <w:b/>
                <w:bCs/>
                <w:color w:val="000000"/>
                <w:sz w:val="18"/>
                <w:szCs w:val="18"/>
              </w:rPr>
              <w:t>₂</w:t>
            </w:r>
          </w:p>
        </w:tc>
        <w:tc>
          <w:tcPr>
            <w:tcW w:w="1701"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06125EFE" w14:textId="0941BC37" w:rsidR="003365FC" w:rsidRPr="003365FC" w:rsidRDefault="003365FC" w:rsidP="003365FC">
            <w:pPr>
              <w:spacing w:line="360" w:lineRule="auto"/>
              <w:rPr>
                <w:rFonts w:ascii="Times New Roman" w:hAnsi="Times New Roman" w:cs="Times New Roman"/>
                <w:sz w:val="18"/>
                <w:szCs w:val="18"/>
              </w:rPr>
            </w:pPr>
            <w:r w:rsidRPr="003365FC">
              <w:rPr>
                <w:b/>
                <w:bCs/>
                <w:color w:val="000000"/>
                <w:sz w:val="18"/>
                <w:szCs w:val="18"/>
              </w:rPr>
              <w:t>MDE (</w:t>
            </w:r>
            <w:r w:rsidR="003A3C00">
              <w:rPr>
                <w:b/>
                <w:bCs/>
                <w:color w:val="000000"/>
                <w:sz w:val="18"/>
                <w:szCs w:val="18"/>
              </w:rPr>
              <w:t>pp</w:t>
            </w:r>
            <w:r w:rsidRPr="003365FC">
              <w:rPr>
                <w:b/>
                <w:bCs/>
                <w:color w:val="000000"/>
                <w:sz w:val="18"/>
                <w:szCs w:val="18"/>
              </w:rPr>
              <w:t>)</w:t>
            </w:r>
          </w:p>
        </w:tc>
        <w:tc>
          <w:tcPr>
            <w:tcW w:w="1701" w:type="dxa"/>
            <w:tcBorders>
              <w:top w:val="single" w:sz="1" w:space="0" w:color="CCCCCC"/>
              <w:left w:val="single" w:sz="1" w:space="0" w:color="CCCCCC"/>
              <w:bottom w:val="single" w:sz="1" w:space="0" w:color="CCCCCC"/>
              <w:right w:val="single" w:sz="1" w:space="0" w:color="CCCCCC"/>
            </w:tcBorders>
            <w:shd w:val="clear" w:color="auto" w:fill="E8EDF4"/>
            <w:tcMar>
              <w:top w:w="80" w:type="dxa"/>
              <w:left w:w="120" w:type="dxa"/>
              <w:bottom w:w="80" w:type="dxa"/>
              <w:right w:w="120" w:type="dxa"/>
            </w:tcMar>
            <w:vAlign w:val="center"/>
          </w:tcPr>
          <w:p w14:paraId="09D2EFE6" w14:textId="2F81D27A" w:rsidR="003365FC" w:rsidRPr="003365FC" w:rsidRDefault="003365FC" w:rsidP="003365FC">
            <w:pPr>
              <w:spacing w:line="360" w:lineRule="auto"/>
              <w:rPr>
                <w:rFonts w:ascii="Times New Roman" w:hAnsi="Times New Roman" w:cs="Times New Roman"/>
                <w:sz w:val="18"/>
                <w:szCs w:val="18"/>
              </w:rPr>
            </w:pPr>
            <w:r w:rsidRPr="003365FC">
              <w:rPr>
                <w:b/>
                <w:bCs/>
                <w:color w:val="000000"/>
                <w:sz w:val="18"/>
                <w:szCs w:val="18"/>
              </w:rPr>
              <w:t>MDE (</w:t>
            </w:r>
            <w:r w:rsidR="003A3C00">
              <w:rPr>
                <w:b/>
                <w:bCs/>
                <w:color w:val="000000"/>
                <w:sz w:val="18"/>
                <w:szCs w:val="18"/>
              </w:rPr>
              <w:t>SD</w:t>
            </w:r>
            <w:r w:rsidRPr="003365FC">
              <w:rPr>
                <w:b/>
                <w:bCs/>
                <w:color w:val="000000"/>
                <w:sz w:val="18"/>
                <w:szCs w:val="18"/>
              </w:rPr>
              <w:t>)</w:t>
            </w:r>
          </w:p>
        </w:tc>
      </w:tr>
      <w:tr w:rsidR="003365FC" w:rsidRPr="00D22BD7" w14:paraId="7005D537"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BCEBFA9" w14:textId="447FFE98" w:rsidR="003365FC" w:rsidRPr="00F536B3" w:rsidRDefault="003365FC" w:rsidP="003365FC">
            <w:pPr>
              <w:spacing w:line="360" w:lineRule="auto"/>
              <w:rPr>
                <w:rFonts w:ascii="Times New Roman" w:hAnsi="Times New Roman" w:cs="Times New Roman"/>
                <w:sz w:val="18"/>
                <w:szCs w:val="18"/>
                <w:lang w:val="en-US"/>
              </w:rPr>
            </w:pPr>
            <w:r w:rsidRPr="00F536B3">
              <w:rPr>
                <w:rStyle w:val="Stark"/>
                <w:color w:val="000000"/>
                <w:sz w:val="18"/>
                <w:szCs w:val="18"/>
                <w:lang w:val="en-US"/>
              </w:rPr>
              <w:t xml:space="preserve">Any warning vs. Control </w:t>
            </w:r>
            <w:r w:rsidR="0047305F">
              <w:rPr>
                <w:rStyle w:val="Stark"/>
                <w:color w:val="000000"/>
                <w:sz w:val="18"/>
                <w:szCs w:val="18"/>
                <w:lang w:val="en-US"/>
              </w:rPr>
              <w:t>[H1]</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59B7D0E" w14:textId="69E1C86B"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4,000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9194094" w14:textId="4DBDA4A3"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1,000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8CF33FA" w14:textId="672EE47D"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0.049</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009B8DD" w14:textId="1A0EEB8A"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w:t>
            </w:r>
            <w:r w:rsidR="00753461">
              <w:rPr>
                <w:rStyle w:val="Stark"/>
                <w:color w:val="000000"/>
                <w:sz w:val="18"/>
                <w:szCs w:val="18"/>
              </w:rPr>
              <w:t>99</w:t>
            </w:r>
          </w:p>
        </w:tc>
      </w:tr>
      <w:tr w:rsidR="003365FC" w:rsidRPr="00D22BD7" w14:paraId="34E5F47C"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AD1A481" w14:textId="29433BA0"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Local NGO vs. EU</w:t>
            </w:r>
            <w:r w:rsidR="0047305F">
              <w:rPr>
                <w:rStyle w:val="Stark"/>
                <w:color w:val="000000"/>
                <w:sz w:val="18"/>
                <w:szCs w:val="18"/>
              </w:rPr>
              <w:t xml:space="preserve"> [H2]</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7A0B6B7" w14:textId="36E1A9D8"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B8E59C0" w14:textId="77DCFBF9"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F1621B3" w14:textId="0C647DA8"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0.04</w:t>
            </w:r>
            <w:r w:rsidR="008D2260">
              <w:rPr>
                <w:rStyle w:val="Stark"/>
                <w:color w:val="000000"/>
                <w:sz w:val="18"/>
                <w:szCs w:val="18"/>
              </w:rPr>
              <w:t>3</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F1788C0" w14:textId="1F0807B1"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w:t>
            </w:r>
            <w:r w:rsidR="00753461">
              <w:rPr>
                <w:rStyle w:val="Stark"/>
                <w:color w:val="000000"/>
                <w:sz w:val="18"/>
                <w:szCs w:val="18"/>
              </w:rPr>
              <w:t>089</w:t>
            </w:r>
          </w:p>
        </w:tc>
      </w:tr>
      <w:tr w:rsidR="003365FC" w:rsidRPr="00D22BD7" w14:paraId="5D1B18E6"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4E0FE81" w14:textId="6E330E99" w:rsidR="003365FC" w:rsidRPr="00F536B3" w:rsidRDefault="003365FC" w:rsidP="003365FC">
            <w:pPr>
              <w:spacing w:line="360" w:lineRule="auto"/>
              <w:rPr>
                <w:rFonts w:ascii="Times New Roman" w:hAnsi="Times New Roman" w:cs="Times New Roman"/>
                <w:sz w:val="18"/>
                <w:szCs w:val="18"/>
                <w:lang w:val="en-US"/>
              </w:rPr>
            </w:pPr>
            <w:r w:rsidRPr="00F536B3">
              <w:rPr>
                <w:rStyle w:val="Stark"/>
                <w:color w:val="000000"/>
                <w:sz w:val="18"/>
                <w:szCs w:val="18"/>
                <w:lang w:val="en-US"/>
              </w:rPr>
              <w:t>Russia attribution vs. Generic attribution</w:t>
            </w:r>
            <w:r w:rsidR="0047305F">
              <w:rPr>
                <w:rStyle w:val="Stark"/>
                <w:color w:val="000000"/>
                <w:sz w:val="18"/>
                <w:szCs w:val="18"/>
                <w:lang w:val="en-US"/>
              </w:rPr>
              <w:t xml:space="preserve"> [H3]</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690834F" w14:textId="65F747A4"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10A75FF" w14:textId="1F43FDB9"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95D7AB3" w14:textId="453AD2EF"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0.04</w:t>
            </w:r>
            <w:r w:rsidR="008D2260">
              <w:rPr>
                <w:rStyle w:val="Stark"/>
                <w:color w:val="000000"/>
                <w:sz w:val="18"/>
                <w:szCs w:val="18"/>
              </w:rPr>
              <w:t>3</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238EE50" w14:textId="05A589F6"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w:t>
            </w:r>
            <w:r w:rsidR="00753461">
              <w:rPr>
                <w:rStyle w:val="Stark"/>
                <w:color w:val="000000"/>
                <w:sz w:val="18"/>
                <w:szCs w:val="18"/>
              </w:rPr>
              <w:t>089</w:t>
            </w:r>
          </w:p>
        </w:tc>
      </w:tr>
      <w:tr w:rsidR="003365FC" w:rsidRPr="00D22BD7" w14:paraId="4936364C"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3972557" w14:textId="71F2B925"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Radio vs. Social Media</w:t>
            </w:r>
            <w:r w:rsidR="0047305F">
              <w:rPr>
                <w:rStyle w:val="Stark"/>
                <w:color w:val="000000"/>
                <w:sz w:val="18"/>
                <w:szCs w:val="18"/>
              </w:rPr>
              <w:t xml:space="preserve"> [H5]</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8808022" w14:textId="7F44E155"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4C03FD7" w14:textId="684AF02C"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2,000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E5DEA62" w14:textId="2A68B985"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0.04</w:t>
            </w:r>
            <w:r w:rsidR="008D2260">
              <w:rPr>
                <w:rStyle w:val="Stark"/>
                <w:color w:val="000000"/>
                <w:sz w:val="18"/>
                <w:szCs w:val="18"/>
              </w:rPr>
              <w:t>3</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3F56BD3" w14:textId="0880EBC4"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w:t>
            </w:r>
            <w:r w:rsidR="008D2260">
              <w:rPr>
                <w:rStyle w:val="Stark"/>
                <w:color w:val="000000"/>
                <w:sz w:val="18"/>
                <w:szCs w:val="18"/>
              </w:rPr>
              <w:t>89</w:t>
            </w:r>
          </w:p>
        </w:tc>
      </w:tr>
      <w:tr w:rsidR="003365FC" w:rsidRPr="00D22BD7" w14:paraId="58C56F20"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FCDE7BD" w14:textId="0765787B" w:rsidR="003365FC" w:rsidRPr="00F536B3" w:rsidRDefault="003365FC" w:rsidP="003365FC">
            <w:pPr>
              <w:spacing w:line="360" w:lineRule="auto"/>
              <w:rPr>
                <w:rFonts w:ascii="Times New Roman" w:hAnsi="Times New Roman" w:cs="Times New Roman"/>
                <w:sz w:val="18"/>
                <w:szCs w:val="18"/>
                <w:lang w:val="en-US"/>
              </w:rPr>
            </w:pPr>
            <w:r w:rsidRPr="00F536B3">
              <w:rPr>
                <w:rStyle w:val="Stark"/>
                <w:color w:val="000000"/>
                <w:sz w:val="18"/>
                <w:szCs w:val="18"/>
                <w:lang w:val="en-US"/>
              </w:rPr>
              <w:t>Russia vs. Generic within EU source</w:t>
            </w:r>
            <w:r w:rsidR="0047305F">
              <w:rPr>
                <w:rStyle w:val="Stark"/>
                <w:color w:val="000000"/>
                <w:sz w:val="18"/>
                <w:szCs w:val="18"/>
                <w:lang w:val="en-US"/>
              </w:rPr>
              <w:t xml:space="preserve"> [H4]</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940073D" w14:textId="0E3A8FFA"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1,000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862973D" w14:textId="0AA7156B"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1,000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950BE1A" w14:textId="6546863B"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0.06</w:t>
            </w:r>
            <w:r w:rsidR="008D2260">
              <w:rPr>
                <w:rStyle w:val="Stark"/>
                <w:color w:val="000000"/>
                <w:sz w:val="18"/>
                <w:szCs w:val="18"/>
              </w:rPr>
              <w:t>1</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999B51A" w14:textId="57F65B71"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w:t>
            </w:r>
            <w:r w:rsidR="008D2260">
              <w:rPr>
                <w:rStyle w:val="Stark"/>
                <w:color w:val="000000"/>
                <w:sz w:val="18"/>
                <w:szCs w:val="18"/>
              </w:rPr>
              <w:t>125</w:t>
            </w:r>
          </w:p>
        </w:tc>
      </w:tr>
      <w:tr w:rsidR="003365FC" w:rsidRPr="00D22BD7" w14:paraId="07B4FC02"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944FFCF" w14:textId="04B126A7" w:rsidR="003365FC" w:rsidRPr="00F536B3" w:rsidRDefault="003365FC" w:rsidP="003365FC">
            <w:pPr>
              <w:spacing w:line="360" w:lineRule="auto"/>
              <w:rPr>
                <w:rFonts w:ascii="Times New Roman" w:hAnsi="Times New Roman" w:cs="Times New Roman"/>
                <w:sz w:val="18"/>
                <w:szCs w:val="18"/>
                <w:lang w:val="en-US"/>
              </w:rPr>
            </w:pPr>
            <w:r w:rsidRPr="00F536B3">
              <w:rPr>
                <w:rStyle w:val="Stark"/>
                <w:color w:val="000000"/>
                <w:sz w:val="18"/>
                <w:szCs w:val="18"/>
                <w:lang w:val="en-US"/>
              </w:rPr>
              <w:t>Russia vs. Generic within Local NGO source</w:t>
            </w:r>
            <w:r w:rsidR="0047305F">
              <w:rPr>
                <w:rStyle w:val="Stark"/>
                <w:color w:val="000000"/>
                <w:sz w:val="18"/>
                <w:szCs w:val="18"/>
                <w:lang w:val="en-US"/>
              </w:rPr>
              <w:t xml:space="preserve"> [H4]</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716723A" w14:textId="4C102904"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1,000</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3290698" w14:textId="2AE85398"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1,000</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7EEC1CC" w14:textId="267337C8"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0.06</w:t>
            </w:r>
            <w:r w:rsidR="008D2260">
              <w:rPr>
                <w:rStyle w:val="Stark"/>
                <w:color w:val="000000"/>
                <w:sz w:val="18"/>
                <w:szCs w:val="18"/>
              </w:rPr>
              <w:t>1</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D8D7B04" w14:textId="1172FC79"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w:t>
            </w:r>
            <w:r w:rsidR="008D2260">
              <w:rPr>
                <w:rStyle w:val="Stark"/>
                <w:color w:val="000000"/>
                <w:sz w:val="18"/>
                <w:szCs w:val="18"/>
              </w:rPr>
              <w:t>125</w:t>
            </w:r>
          </w:p>
        </w:tc>
      </w:tr>
      <w:tr w:rsidR="003365FC" w:rsidRPr="00D22BD7" w14:paraId="7EEBC2A4" w14:textId="77777777" w:rsidTr="003365FC">
        <w:tc>
          <w:tcPr>
            <w:tcW w:w="3112"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5348B01" w14:textId="4912C4AC"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Source × Attribution interaction</w:t>
            </w:r>
            <w:r w:rsidR="0047305F">
              <w:rPr>
                <w:rStyle w:val="Stark"/>
                <w:color w:val="000000"/>
                <w:sz w:val="18"/>
                <w:szCs w:val="18"/>
              </w:rPr>
              <w:t xml:space="preserve"> [H4]</w:t>
            </w:r>
          </w:p>
        </w:tc>
        <w:tc>
          <w:tcPr>
            <w:tcW w:w="199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BC57AA3" w14:textId="2704B2B5" w:rsidR="003365FC" w:rsidRPr="00F536B3" w:rsidRDefault="003365FC" w:rsidP="003365FC">
            <w:pPr>
              <w:spacing w:line="360" w:lineRule="auto"/>
              <w:rPr>
                <w:rFonts w:ascii="Times New Roman" w:hAnsi="Times New Roman" w:cs="Times New Roman"/>
                <w:sz w:val="18"/>
                <w:szCs w:val="18"/>
                <w:lang w:val="en-US"/>
              </w:rPr>
            </w:pPr>
            <w:r w:rsidRPr="00F536B3">
              <w:rPr>
                <w:color w:val="000000"/>
                <w:sz w:val="18"/>
                <w:szCs w:val="18"/>
                <w:lang w:val="en-US"/>
              </w:rPr>
              <w:t>Difference of two 1,000-vs.-1,000 contrasts</w:t>
            </w:r>
          </w:p>
        </w:tc>
        <w:tc>
          <w:tcPr>
            <w:tcW w:w="14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1FE6774" w14:textId="4F2ED619" w:rsidR="003365FC" w:rsidRPr="003365FC" w:rsidRDefault="003365FC" w:rsidP="003365FC">
            <w:pPr>
              <w:spacing w:line="360" w:lineRule="auto"/>
              <w:rPr>
                <w:rFonts w:ascii="Times New Roman" w:hAnsi="Times New Roman" w:cs="Times New Roman"/>
                <w:sz w:val="18"/>
                <w:szCs w:val="18"/>
              </w:rPr>
            </w:pPr>
            <w:r w:rsidRPr="003365FC">
              <w:rPr>
                <w:color w:val="000000"/>
                <w:sz w:val="18"/>
                <w:szCs w:val="18"/>
              </w:rPr>
              <w:t>—</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7D39560" w14:textId="18680950"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0.08</w:t>
            </w:r>
            <w:r w:rsidR="008D2260">
              <w:rPr>
                <w:rStyle w:val="Stark"/>
                <w:color w:val="000000"/>
                <w:sz w:val="18"/>
                <w:szCs w:val="18"/>
              </w:rPr>
              <w:t>7</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B163B3F" w14:textId="4F679FF5" w:rsidR="003365FC" w:rsidRPr="003365FC" w:rsidRDefault="003365FC" w:rsidP="003365FC">
            <w:pPr>
              <w:spacing w:line="360" w:lineRule="auto"/>
              <w:rPr>
                <w:rFonts w:ascii="Times New Roman" w:hAnsi="Times New Roman" w:cs="Times New Roman"/>
                <w:sz w:val="18"/>
                <w:szCs w:val="18"/>
              </w:rPr>
            </w:pPr>
            <w:r w:rsidRPr="003365FC">
              <w:rPr>
                <w:rStyle w:val="Stark"/>
                <w:color w:val="000000"/>
                <w:sz w:val="18"/>
                <w:szCs w:val="18"/>
              </w:rPr>
              <w:t>0.</w:t>
            </w:r>
            <w:r w:rsidR="008D2260">
              <w:rPr>
                <w:rStyle w:val="Stark"/>
                <w:color w:val="000000"/>
                <w:sz w:val="18"/>
                <w:szCs w:val="18"/>
              </w:rPr>
              <w:t>1</w:t>
            </w:r>
            <w:r w:rsidRPr="003365FC">
              <w:rPr>
                <w:rStyle w:val="Stark"/>
                <w:color w:val="000000"/>
                <w:sz w:val="18"/>
                <w:szCs w:val="18"/>
              </w:rPr>
              <w:t>77</w:t>
            </w:r>
          </w:p>
        </w:tc>
      </w:tr>
    </w:tbl>
    <w:p w14:paraId="3596F6DA" w14:textId="77777777" w:rsidR="00AE2A56" w:rsidRPr="00F536B3" w:rsidRDefault="00AE2A56" w:rsidP="00D22BD7">
      <w:pPr>
        <w:spacing w:before="80" w:after="160" w:line="360" w:lineRule="auto"/>
        <w:jc w:val="center"/>
        <w:rPr>
          <w:rFonts w:ascii="Times New Roman" w:hAnsi="Times New Roman" w:cs="Times New Roman"/>
          <w:lang w:val="en-US"/>
        </w:rPr>
      </w:pPr>
      <w:r w:rsidRPr="00F536B3">
        <w:rPr>
          <w:rFonts w:ascii="Times New Roman" w:hAnsi="Times New Roman" w:cs="Times New Roman"/>
          <w:i/>
          <w:iCs/>
          <w:color w:val="666666"/>
          <w:sz w:val="20"/>
          <w:szCs w:val="20"/>
          <w:lang w:val="en-US"/>
        </w:rPr>
        <w:lastRenderedPageBreak/>
        <w:t>Table 3: Minimum Detectable Effects by Contrast (N = 5,000)</w:t>
      </w:r>
    </w:p>
    <w:p w14:paraId="6AEDD607" w14:textId="5271BCDA" w:rsidR="005D14E1" w:rsidRPr="00F536B3" w:rsidRDefault="005D14E1" w:rsidP="00D22BD7">
      <w:pPr>
        <w:pStyle w:val="Rubrik1"/>
        <w:spacing w:line="360" w:lineRule="auto"/>
        <w:rPr>
          <w:rFonts w:ascii="Times New Roman" w:hAnsi="Times New Roman" w:cs="Times New Roman"/>
          <w:b w:val="0"/>
          <w:bCs w:val="0"/>
          <w:color w:val="auto"/>
          <w:sz w:val="24"/>
          <w:szCs w:val="24"/>
          <w:lang w:val="en-US"/>
        </w:rPr>
      </w:pPr>
      <w:r w:rsidRPr="00F536B3">
        <w:rPr>
          <w:rFonts w:ascii="Times New Roman" w:hAnsi="Times New Roman" w:cs="Times New Roman"/>
          <w:b w:val="0"/>
          <w:bCs w:val="0"/>
          <w:color w:val="auto"/>
          <w:sz w:val="24"/>
          <w:szCs w:val="24"/>
          <w:lang w:val="en-US"/>
        </w:rPr>
        <w:t>Prior experimental studies in comparable contexts report standardized effect sizes for debunking interventions of approximately 0.15–0.30 SD (Walter et al., 2020; Nyhan et al., 2020). Our power calculations yield MDEs ranging from approximately 0.0</w:t>
      </w:r>
      <w:r w:rsidR="008D2260">
        <w:rPr>
          <w:rFonts w:ascii="Times New Roman" w:hAnsi="Times New Roman" w:cs="Times New Roman"/>
          <w:b w:val="0"/>
          <w:bCs w:val="0"/>
          <w:color w:val="auto"/>
          <w:sz w:val="24"/>
          <w:szCs w:val="24"/>
          <w:lang w:val="en-US"/>
        </w:rPr>
        <w:t>89</w:t>
      </w:r>
      <w:r w:rsidRPr="00F536B3">
        <w:rPr>
          <w:rFonts w:ascii="Times New Roman" w:hAnsi="Times New Roman" w:cs="Times New Roman"/>
          <w:b w:val="0"/>
          <w:bCs w:val="0"/>
          <w:color w:val="auto"/>
          <w:sz w:val="24"/>
          <w:szCs w:val="24"/>
          <w:lang w:val="en-US"/>
        </w:rPr>
        <w:t xml:space="preserve"> to 0.</w:t>
      </w:r>
      <w:r w:rsidR="008D2260">
        <w:rPr>
          <w:rFonts w:ascii="Times New Roman" w:hAnsi="Times New Roman" w:cs="Times New Roman"/>
          <w:b w:val="0"/>
          <w:bCs w:val="0"/>
          <w:color w:val="auto"/>
          <w:sz w:val="24"/>
          <w:szCs w:val="24"/>
          <w:lang w:val="en-US"/>
        </w:rPr>
        <w:t>177</w:t>
      </w:r>
      <w:r w:rsidRPr="00F536B3">
        <w:rPr>
          <w:rFonts w:ascii="Times New Roman" w:hAnsi="Times New Roman" w:cs="Times New Roman"/>
          <w:b w:val="0"/>
          <w:bCs w:val="0"/>
          <w:color w:val="auto"/>
          <w:sz w:val="24"/>
          <w:szCs w:val="24"/>
          <w:lang w:val="en-US"/>
        </w:rPr>
        <w:t xml:space="preserve"> in </w:t>
      </w:r>
      <w:r w:rsidR="008D2260">
        <w:rPr>
          <w:rFonts w:ascii="Times New Roman" w:hAnsi="Times New Roman" w:cs="Times New Roman"/>
          <w:b w:val="0"/>
          <w:bCs w:val="0"/>
          <w:color w:val="auto"/>
          <w:sz w:val="24"/>
          <w:szCs w:val="24"/>
          <w:lang w:val="en-US"/>
        </w:rPr>
        <w:t>SD</w:t>
      </w:r>
      <w:r w:rsidRPr="00F536B3">
        <w:rPr>
          <w:rFonts w:ascii="Times New Roman" w:hAnsi="Times New Roman" w:cs="Times New Roman"/>
          <w:b w:val="0"/>
          <w:bCs w:val="0"/>
          <w:color w:val="auto"/>
          <w:sz w:val="24"/>
          <w:szCs w:val="24"/>
          <w:lang w:val="en-US"/>
        </w:rPr>
        <w:t xml:space="preserve"> terms, depending on the contras</w:t>
      </w:r>
      <w:r w:rsidR="008D2260">
        <w:rPr>
          <w:rFonts w:ascii="Times New Roman" w:hAnsi="Times New Roman" w:cs="Times New Roman"/>
          <w:b w:val="0"/>
          <w:bCs w:val="0"/>
          <w:color w:val="auto"/>
          <w:sz w:val="24"/>
          <w:szCs w:val="24"/>
          <w:lang w:val="en-US"/>
        </w:rPr>
        <w:t>t</w:t>
      </w:r>
      <w:r w:rsidRPr="00F536B3">
        <w:rPr>
          <w:rFonts w:ascii="Times New Roman" w:hAnsi="Times New Roman" w:cs="Times New Roman"/>
          <w:b w:val="0"/>
          <w:bCs w:val="0"/>
          <w:color w:val="auto"/>
          <w:sz w:val="24"/>
          <w:szCs w:val="24"/>
          <w:lang w:val="en-US"/>
        </w:rPr>
        <w:t xml:space="preserve">. </w:t>
      </w:r>
      <w:r w:rsidR="00130A82" w:rsidRPr="00130A82">
        <w:rPr>
          <w:rFonts w:ascii="Times New Roman" w:hAnsi="Times New Roman" w:cs="Times New Roman"/>
          <w:b w:val="0"/>
          <w:bCs w:val="0"/>
          <w:color w:val="auto"/>
          <w:sz w:val="24"/>
          <w:szCs w:val="24"/>
        </w:rPr>
        <w:t xml:space="preserve">At MDEs of 0.089 SD (H2, H3, H5) and 0.125 SD (H4, within-source contrasts), the design can detect moderate differences between warning designs but not </w:t>
      </w:r>
      <w:r w:rsidR="00130A82">
        <w:rPr>
          <w:rFonts w:ascii="Times New Roman" w:hAnsi="Times New Roman" w:cs="Times New Roman"/>
          <w:b w:val="0"/>
          <w:bCs w:val="0"/>
          <w:color w:val="auto"/>
          <w:sz w:val="24"/>
          <w:szCs w:val="24"/>
        </w:rPr>
        <w:t xml:space="preserve">the </w:t>
      </w:r>
      <w:r w:rsidR="00130A82" w:rsidRPr="00130A82">
        <w:rPr>
          <w:rFonts w:ascii="Times New Roman" w:hAnsi="Times New Roman" w:cs="Times New Roman"/>
          <w:b w:val="0"/>
          <w:bCs w:val="0"/>
          <w:color w:val="auto"/>
          <w:sz w:val="24"/>
          <w:szCs w:val="24"/>
        </w:rPr>
        <w:t>small ones. The Source × Attribution interaction has an MDE of 0.177 SD, meaning it is detectable only if the interaction is as large as the main debunking effects documented in prior work</w:t>
      </w:r>
      <w:r w:rsidR="00130A82">
        <w:rPr>
          <w:rFonts w:ascii="Times New Roman" w:hAnsi="Times New Roman" w:cs="Times New Roman"/>
          <w:b w:val="0"/>
          <w:bCs w:val="0"/>
          <w:color w:val="auto"/>
          <w:sz w:val="24"/>
          <w:szCs w:val="24"/>
        </w:rPr>
        <w:t>.</w:t>
      </w:r>
    </w:p>
    <w:p w14:paraId="6FE2248E" w14:textId="551A3EF3"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8. Heterogeneous Treatment Effects</w:t>
      </w:r>
    </w:p>
    <w:p w14:paraId="20B0FFD1" w14:textId="2443F7C9" w:rsidR="00D53079"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A central aim of this study is to examine whether treatment effects vary across theoretically motivated subgroups. The following moderators are pre-specified and will be examined using interaction terms in </w:t>
      </w:r>
      <w:r w:rsidR="003C3BBC" w:rsidRPr="00F536B3">
        <w:rPr>
          <w:rFonts w:ascii="Times New Roman" w:hAnsi="Times New Roman" w:cs="Times New Roman"/>
          <w:lang w:val="en-US"/>
        </w:rPr>
        <w:t xml:space="preserve">the empirical models developed above. </w:t>
      </w:r>
    </w:p>
    <w:p w14:paraId="7C7826E4" w14:textId="77777777" w:rsidR="00D53079" w:rsidRPr="00D22BD7" w:rsidRDefault="00D53079" w:rsidP="00D22BD7">
      <w:pPr>
        <w:pStyle w:val="Liststycke"/>
        <w:numPr>
          <w:ilvl w:val="0"/>
          <w:numId w:val="4"/>
        </w:numPr>
        <w:spacing w:after="160" w:line="360" w:lineRule="auto"/>
        <w:rPr>
          <w:rFonts w:ascii="Times New Roman" w:hAnsi="Times New Roman" w:cs="Times New Roman"/>
        </w:rPr>
      </w:pPr>
      <w:r w:rsidRPr="00D22BD7">
        <w:rPr>
          <w:rFonts w:ascii="Times New Roman" w:hAnsi="Times New Roman" w:cs="Times New Roman"/>
        </w:rPr>
        <w:t>Ethnicity</w:t>
      </w:r>
    </w:p>
    <w:p w14:paraId="643375AE" w14:textId="77777777" w:rsidR="00D53079" w:rsidRPr="00D22BD7" w:rsidRDefault="00D53079" w:rsidP="00D22BD7">
      <w:pPr>
        <w:pStyle w:val="Liststycke"/>
        <w:numPr>
          <w:ilvl w:val="0"/>
          <w:numId w:val="4"/>
        </w:numPr>
        <w:spacing w:after="160" w:line="360" w:lineRule="auto"/>
        <w:rPr>
          <w:rFonts w:ascii="Times New Roman" w:hAnsi="Times New Roman" w:cs="Times New Roman"/>
        </w:rPr>
      </w:pPr>
      <w:r w:rsidRPr="00D22BD7">
        <w:rPr>
          <w:rFonts w:ascii="Times New Roman" w:hAnsi="Times New Roman" w:cs="Times New Roman"/>
        </w:rPr>
        <w:t>Income</w:t>
      </w:r>
    </w:p>
    <w:p w14:paraId="2FE45023" w14:textId="77777777" w:rsidR="00D53079" w:rsidRPr="00D22BD7" w:rsidRDefault="00D53079" w:rsidP="00D22BD7">
      <w:pPr>
        <w:pStyle w:val="Liststycke"/>
        <w:numPr>
          <w:ilvl w:val="0"/>
          <w:numId w:val="4"/>
        </w:numPr>
        <w:spacing w:after="160" w:line="360" w:lineRule="auto"/>
        <w:rPr>
          <w:rFonts w:ascii="Times New Roman" w:hAnsi="Times New Roman" w:cs="Times New Roman"/>
        </w:rPr>
      </w:pPr>
      <w:r w:rsidRPr="00D22BD7">
        <w:rPr>
          <w:rFonts w:ascii="Times New Roman" w:hAnsi="Times New Roman" w:cs="Times New Roman"/>
        </w:rPr>
        <w:t>Media environment</w:t>
      </w:r>
    </w:p>
    <w:p w14:paraId="19A2472A" w14:textId="5FA08655" w:rsidR="00D53079" w:rsidRPr="00F536B3" w:rsidRDefault="00D53079" w:rsidP="0085174C">
      <w:pPr>
        <w:pStyle w:val="Liststycke"/>
        <w:numPr>
          <w:ilvl w:val="0"/>
          <w:numId w:val="4"/>
        </w:numPr>
        <w:spacing w:after="160" w:line="360" w:lineRule="auto"/>
        <w:rPr>
          <w:rFonts w:ascii="Times New Roman" w:hAnsi="Times New Roman" w:cs="Times New Roman"/>
          <w:lang w:val="en-US"/>
        </w:rPr>
      </w:pPr>
      <w:r w:rsidRPr="00F536B3">
        <w:rPr>
          <w:rFonts w:ascii="Times New Roman" w:hAnsi="Times New Roman" w:cs="Times New Roman"/>
          <w:lang w:val="en-US"/>
        </w:rPr>
        <w:t>EU vs. Russia trust-gap</w:t>
      </w:r>
      <w:r w:rsidR="0085174C" w:rsidRPr="00F536B3">
        <w:rPr>
          <w:rFonts w:ascii="Times New Roman" w:hAnsi="Times New Roman" w:cs="Times New Roman"/>
          <w:lang w:val="en-US"/>
        </w:rPr>
        <w:t>, defined as TrustRussia_i – TrustEU_i, both on a 1-5 scale.</w:t>
      </w:r>
      <w:r w:rsidR="0085174C" w:rsidRPr="00F536B3">
        <w:rPr>
          <w:lang w:val="en-US"/>
        </w:rPr>
        <w:t xml:space="preserve"> </w:t>
      </w:r>
      <w:r w:rsidR="0085174C" w:rsidRPr="00F536B3">
        <w:rPr>
          <w:rFonts w:ascii="Times New Roman" w:hAnsi="Times New Roman" w:cs="Times New Roman"/>
          <w:lang w:val="en-US"/>
        </w:rPr>
        <w:t>This gives a scale from -4 to +4: -4 = much more trust in the EU than in Russia; 0 = equal trust in Russia and the EU; +4 = much more trust in Russia than in the EU</w:t>
      </w:r>
    </w:p>
    <w:p w14:paraId="3BD00265" w14:textId="0E301666" w:rsidR="0085174C" w:rsidRPr="00F536B3" w:rsidRDefault="0085174C" w:rsidP="00D22BD7">
      <w:pPr>
        <w:pStyle w:val="Liststycke"/>
        <w:numPr>
          <w:ilvl w:val="0"/>
          <w:numId w:val="4"/>
        </w:numPr>
        <w:spacing w:after="160" w:line="360" w:lineRule="auto"/>
        <w:rPr>
          <w:rFonts w:ascii="Times New Roman" w:hAnsi="Times New Roman" w:cs="Times New Roman"/>
          <w:lang w:val="en-US"/>
        </w:rPr>
      </w:pPr>
      <w:r w:rsidRPr="00F536B3">
        <w:rPr>
          <w:rFonts w:ascii="Times New Roman" w:hAnsi="Times New Roman" w:cs="Times New Roman"/>
          <w:lang w:val="en-US"/>
        </w:rPr>
        <w:t>Perceived suspiciousness of the message (1–5 scale)</w:t>
      </w:r>
    </w:p>
    <w:p w14:paraId="69D2BDBB" w14:textId="77777777" w:rsidR="007F4B3B" w:rsidRPr="00F536B3" w:rsidRDefault="007F4B3B" w:rsidP="00D22BD7">
      <w:pPr>
        <w:spacing w:line="360" w:lineRule="auto"/>
        <w:rPr>
          <w:rFonts w:ascii="Times New Roman" w:hAnsi="Times New Roman" w:cs="Times New Roman"/>
          <w:lang w:val="en-US"/>
        </w:rPr>
      </w:pPr>
    </w:p>
    <w:p w14:paraId="54C5A279" w14:textId="47054B5D" w:rsidR="007F4B3B" w:rsidRPr="00F536B3" w:rsidRDefault="00AE2A56"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9. Data Cleaning and Quality Control</w:t>
      </w:r>
    </w:p>
    <w:p w14:paraId="3CF6D93E" w14:textId="77777777" w:rsidR="007F4B3B" w:rsidRPr="00D22BD7" w:rsidRDefault="00000000" w:rsidP="00D22BD7">
      <w:pPr>
        <w:spacing w:after="160" w:line="360" w:lineRule="auto"/>
        <w:rPr>
          <w:rFonts w:ascii="Times New Roman" w:hAnsi="Times New Roman" w:cs="Times New Roman"/>
        </w:rPr>
      </w:pPr>
      <w:r w:rsidRPr="00F536B3">
        <w:rPr>
          <w:rFonts w:ascii="Times New Roman" w:hAnsi="Times New Roman" w:cs="Times New Roman"/>
          <w:lang w:val="en-US"/>
        </w:rPr>
        <w:t xml:space="preserve">All data cleaning procedures are specified in advance and will be implemented prior to any outcome analysis. </w:t>
      </w:r>
      <w:r w:rsidRPr="00D22BD7">
        <w:rPr>
          <w:rFonts w:ascii="Times New Roman" w:hAnsi="Times New Roman" w:cs="Times New Roman"/>
        </w:rPr>
        <w:t>The following exclusion criteria will be applied:</w:t>
      </w:r>
    </w:p>
    <w:p w14:paraId="64F8FED5" w14:textId="77777777" w:rsidR="007F4B3B" w:rsidRPr="00F536B3" w:rsidRDefault="00000000" w:rsidP="00D22BD7">
      <w:pPr>
        <w:pStyle w:val="Liststycke"/>
        <w:numPr>
          <w:ilvl w:val="0"/>
          <w:numId w:val="6"/>
        </w:numPr>
        <w:spacing w:after="120" w:line="360" w:lineRule="auto"/>
        <w:rPr>
          <w:rFonts w:ascii="Times New Roman" w:hAnsi="Times New Roman" w:cs="Times New Roman"/>
          <w:lang w:val="en-US"/>
        </w:rPr>
      </w:pPr>
      <w:r w:rsidRPr="00F536B3">
        <w:rPr>
          <w:rFonts w:ascii="Times New Roman" w:hAnsi="Times New Roman" w:cs="Times New Roman"/>
          <w:lang w:val="en-US"/>
        </w:rPr>
        <w:lastRenderedPageBreak/>
        <w:t>Incomplete interviews: respondents who do not reach Section G (primary outcome questions) will be excluded.</w:t>
      </w:r>
    </w:p>
    <w:p w14:paraId="3F550D04" w14:textId="77777777" w:rsidR="007F4B3B" w:rsidRPr="00F536B3" w:rsidRDefault="00000000" w:rsidP="00D22BD7">
      <w:pPr>
        <w:pStyle w:val="Liststycke"/>
        <w:numPr>
          <w:ilvl w:val="0"/>
          <w:numId w:val="6"/>
        </w:numPr>
        <w:spacing w:after="120" w:line="360" w:lineRule="auto"/>
        <w:rPr>
          <w:rFonts w:ascii="Times New Roman" w:hAnsi="Times New Roman" w:cs="Times New Roman"/>
          <w:lang w:val="en-US"/>
        </w:rPr>
      </w:pPr>
      <w:r w:rsidRPr="00F536B3">
        <w:rPr>
          <w:rFonts w:ascii="Times New Roman" w:hAnsi="Times New Roman" w:cs="Times New Roman"/>
          <w:lang w:val="en-US"/>
        </w:rPr>
        <w:t>Duplicate respondent identifiers: duplicate IDs will be investigated and resolved; confirmed duplicates will be excluded.</w:t>
      </w:r>
    </w:p>
    <w:p w14:paraId="3CE131EA" w14:textId="4C3B7937" w:rsidR="007F4B3B" w:rsidRPr="007659A4" w:rsidRDefault="00000000" w:rsidP="00D22BD7">
      <w:pPr>
        <w:pStyle w:val="Liststycke"/>
        <w:numPr>
          <w:ilvl w:val="0"/>
          <w:numId w:val="6"/>
        </w:numPr>
        <w:spacing w:after="120" w:line="360" w:lineRule="auto"/>
        <w:rPr>
          <w:rFonts w:ascii="Times New Roman" w:hAnsi="Times New Roman" w:cs="Times New Roman"/>
          <w:lang w:val="en-US"/>
        </w:rPr>
      </w:pPr>
      <w:r w:rsidRPr="00F536B3">
        <w:rPr>
          <w:rFonts w:ascii="Times New Roman" w:hAnsi="Times New Roman" w:cs="Times New Roman"/>
          <w:lang w:val="en-US"/>
        </w:rPr>
        <w:t xml:space="preserve">Inattentive respondents: respondents who complete the survey </w:t>
      </w:r>
      <w:r w:rsidR="00B341D7">
        <w:rPr>
          <w:rFonts w:ascii="Times New Roman" w:hAnsi="Times New Roman" w:cs="Times New Roman"/>
          <w:lang w:val="en-US"/>
        </w:rPr>
        <w:t>too quickly</w:t>
      </w:r>
      <w:r w:rsidRPr="00F536B3">
        <w:rPr>
          <w:rFonts w:ascii="Times New Roman" w:hAnsi="Times New Roman" w:cs="Times New Roman"/>
          <w:lang w:val="en-US"/>
        </w:rPr>
        <w:t xml:space="preserve"> will be flagged and excluded from the primary analysis. </w:t>
      </w:r>
      <w:r w:rsidRPr="007659A4">
        <w:rPr>
          <w:rFonts w:ascii="Times New Roman" w:hAnsi="Times New Roman" w:cs="Times New Roman"/>
          <w:lang w:val="en-US"/>
        </w:rPr>
        <w:t>Results will be reported with and without this exclusion.</w:t>
      </w:r>
    </w:p>
    <w:p w14:paraId="2644A138" w14:textId="77777777" w:rsidR="007F4B3B" w:rsidRPr="00F536B3" w:rsidRDefault="00000000" w:rsidP="00D22BD7">
      <w:pPr>
        <w:pStyle w:val="Liststycke"/>
        <w:numPr>
          <w:ilvl w:val="0"/>
          <w:numId w:val="6"/>
        </w:numPr>
        <w:spacing w:after="120" w:line="360" w:lineRule="auto"/>
        <w:rPr>
          <w:rFonts w:ascii="Times New Roman" w:hAnsi="Times New Roman" w:cs="Times New Roman"/>
          <w:lang w:val="en-US"/>
        </w:rPr>
      </w:pPr>
      <w:r w:rsidRPr="00F536B3">
        <w:rPr>
          <w:rFonts w:ascii="Times New Roman" w:hAnsi="Times New Roman" w:cs="Times New Roman"/>
          <w:lang w:val="en-US"/>
        </w:rPr>
        <w:t>Non-consent: respondents who do not affirm consent (Q1) will be automatically terminated by the survey platform and will not appear in the dataset.</w:t>
      </w:r>
    </w:p>
    <w:p w14:paraId="31E9B890" w14:textId="20A6063A" w:rsidR="007F4B3B" w:rsidRPr="00F536B3" w:rsidRDefault="00000000" w:rsidP="00D22BD7">
      <w:pPr>
        <w:pStyle w:val="Liststycke"/>
        <w:numPr>
          <w:ilvl w:val="0"/>
          <w:numId w:val="6"/>
        </w:numPr>
        <w:spacing w:after="120" w:line="360" w:lineRule="auto"/>
        <w:rPr>
          <w:rFonts w:ascii="Times New Roman" w:hAnsi="Times New Roman" w:cs="Times New Roman"/>
          <w:lang w:val="en-US"/>
        </w:rPr>
      </w:pPr>
      <w:r w:rsidRPr="00F536B3">
        <w:rPr>
          <w:rFonts w:ascii="Times New Roman" w:hAnsi="Times New Roman" w:cs="Times New Roman"/>
          <w:lang w:val="en-US"/>
        </w:rPr>
        <w:t xml:space="preserve">Message evaluation task quality: respondents who provide a writing quality rating </w:t>
      </w:r>
      <w:r w:rsidR="00B341D7" w:rsidRPr="00F536B3">
        <w:rPr>
          <w:rFonts w:ascii="Times New Roman" w:hAnsi="Times New Roman" w:cs="Times New Roman"/>
          <w:lang w:val="en-US"/>
        </w:rPr>
        <w:t xml:space="preserve">per message </w:t>
      </w:r>
      <w:r w:rsidR="00B341D7">
        <w:rPr>
          <w:rFonts w:ascii="Times New Roman" w:hAnsi="Times New Roman" w:cs="Times New Roman"/>
          <w:lang w:val="en-US"/>
        </w:rPr>
        <w:t xml:space="preserve">too quickly </w:t>
      </w:r>
      <w:r w:rsidRPr="00F536B3">
        <w:rPr>
          <w:rFonts w:ascii="Times New Roman" w:hAnsi="Times New Roman" w:cs="Times New Roman"/>
          <w:lang w:val="en-US"/>
        </w:rPr>
        <w:t>(Section E) will be flagged as likely non-readers and excluded from primary analysis as a robustness check.</w:t>
      </w:r>
    </w:p>
    <w:p w14:paraId="6E5A3045" w14:textId="77777777" w:rsidR="007F4B3B" w:rsidRPr="00F536B3" w:rsidRDefault="007F4B3B" w:rsidP="00D22BD7">
      <w:pPr>
        <w:spacing w:line="360" w:lineRule="auto"/>
        <w:rPr>
          <w:rFonts w:ascii="Times New Roman" w:hAnsi="Times New Roman" w:cs="Times New Roman"/>
          <w:lang w:val="en-US"/>
        </w:rPr>
      </w:pPr>
    </w:p>
    <w:p w14:paraId="14FABD9B"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Treatment assignment will be verified against the platform-recorded randomization codes. Any discrepancies will be investigated before analysis. Analysis will be conducted on the full analytic sample and replicated on a restricted sample excluding all flagged respondents.</w:t>
      </w:r>
    </w:p>
    <w:p w14:paraId="7248A492" w14:textId="77777777" w:rsidR="007F4B3B" w:rsidRPr="00F536B3" w:rsidRDefault="007F4B3B" w:rsidP="00D22BD7">
      <w:pPr>
        <w:spacing w:line="360" w:lineRule="auto"/>
        <w:rPr>
          <w:rFonts w:ascii="Times New Roman" w:hAnsi="Times New Roman" w:cs="Times New Roman"/>
          <w:lang w:val="en-US"/>
        </w:rPr>
      </w:pPr>
    </w:p>
    <w:p w14:paraId="38172B27" w14:textId="77777777" w:rsidR="007F4B3B" w:rsidRPr="00F536B3" w:rsidRDefault="00000000" w:rsidP="00D22BD7">
      <w:pPr>
        <w:pStyle w:val="Rubrik1"/>
        <w:spacing w:line="360" w:lineRule="auto"/>
        <w:rPr>
          <w:rFonts w:ascii="Times New Roman" w:hAnsi="Times New Roman" w:cs="Times New Roman"/>
          <w:lang w:val="en-US"/>
        </w:rPr>
      </w:pPr>
      <w:r w:rsidRPr="00F536B3">
        <w:rPr>
          <w:rFonts w:ascii="Times New Roman" w:hAnsi="Times New Roman" w:cs="Times New Roman"/>
          <w:lang w:val="en-US"/>
        </w:rPr>
        <w:t>References</w:t>
      </w:r>
    </w:p>
    <w:p w14:paraId="6BDF4158"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Africa Center for Strategic Studies (2024). Mapping Russian disinformation campaigns in Africa. Washington, DC: Africa Center for Strategic Studies.</w:t>
      </w:r>
    </w:p>
    <w:p w14:paraId="6EDAC66D"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Clayton, K., Blair, S., Busam, J. A., et al. </w:t>
      </w:r>
      <w:r w:rsidRPr="00D22BD7">
        <w:rPr>
          <w:rFonts w:ascii="Times New Roman" w:hAnsi="Times New Roman" w:cs="Times New Roman"/>
        </w:rPr>
        <w:t xml:space="preserve">(2020). </w:t>
      </w:r>
      <w:r w:rsidRPr="00F536B3">
        <w:rPr>
          <w:rFonts w:ascii="Times New Roman" w:hAnsi="Times New Roman" w:cs="Times New Roman"/>
          <w:lang w:val="en-US"/>
        </w:rPr>
        <w:t xml:space="preserve">Real solutions for fake news? Measuring the effectiveness of general warnings and fact-check tags in reducing belief in false stories on social media. </w:t>
      </w:r>
      <w:r w:rsidRPr="00F536B3">
        <w:rPr>
          <w:rFonts w:ascii="Times New Roman" w:hAnsi="Times New Roman" w:cs="Times New Roman"/>
          <w:i/>
          <w:iCs/>
          <w:lang w:val="en-US"/>
        </w:rPr>
        <w:t>Political Behavior</w:t>
      </w:r>
      <w:r w:rsidRPr="00F536B3">
        <w:rPr>
          <w:rFonts w:ascii="Times New Roman" w:hAnsi="Times New Roman" w:cs="Times New Roman"/>
          <w:lang w:val="en-US"/>
        </w:rPr>
        <w:t>, 42(4), 1073–1095.</w:t>
      </w:r>
    </w:p>
    <w:p w14:paraId="59FB2E5F"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Frederiksen, M. (2023). Russia’s disinformation campaigns in Africa: Strategies, narratives, and impact. Copenhagen: Danish Institute for International Studies.</w:t>
      </w:r>
    </w:p>
    <w:p w14:paraId="413B0DB6"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lastRenderedPageBreak/>
        <w:t xml:space="preserve">Ershov, D., &amp; Morales, J. S. (2024). Sharing news left and right: Frictions and misinformation on Twitter. </w:t>
      </w:r>
      <w:r w:rsidRPr="00F536B3">
        <w:rPr>
          <w:rFonts w:ascii="Times New Roman" w:hAnsi="Times New Roman" w:cs="Times New Roman"/>
          <w:i/>
          <w:iCs/>
          <w:lang w:val="en-US"/>
        </w:rPr>
        <w:t>The Economic Journal</w:t>
      </w:r>
      <w:r w:rsidRPr="00F536B3">
        <w:rPr>
          <w:rFonts w:ascii="Times New Roman" w:hAnsi="Times New Roman" w:cs="Times New Roman"/>
          <w:lang w:val="en-US"/>
        </w:rPr>
        <w:t>, 134(662), 2391–2417.</w:t>
      </w:r>
    </w:p>
    <w:p w14:paraId="1189E493"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Guess, A. M., Lerner, M., Lyons, B., Montgomery, J. M., Nyhan, B., Reifler, J., &amp; Sircar, N. (2020). A digital media literacy intervention increases discernment between mainstream and false news in the United States and India. Proceedings of the National Academy of Sciences, 117(27), 15536–15545.</w:t>
      </w:r>
    </w:p>
    <w:p w14:paraId="72128CA1"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Guriev, S., Henry, E., Marquis, T., &amp; Zhuravskaya, E. (forthcoming). Curtailing false news, amplifying truth. </w:t>
      </w:r>
      <w:r w:rsidRPr="00F536B3">
        <w:rPr>
          <w:rFonts w:ascii="Times New Roman" w:hAnsi="Times New Roman" w:cs="Times New Roman"/>
          <w:i/>
          <w:iCs/>
          <w:lang w:val="en-US"/>
        </w:rPr>
        <w:t>Econometrica</w:t>
      </w:r>
      <w:r w:rsidRPr="00F536B3">
        <w:rPr>
          <w:rFonts w:ascii="Times New Roman" w:hAnsi="Times New Roman" w:cs="Times New Roman"/>
          <w:lang w:val="en-US"/>
        </w:rPr>
        <w:t>.</w:t>
      </w:r>
    </w:p>
    <w:p w14:paraId="142EC636"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Imai, K., Keele, L., Tingley, D., &amp; Yamamoto, T. (2011). Unpacking the black box of causality: Learning about causal mechanisms from experimental and observational studies. </w:t>
      </w:r>
      <w:r w:rsidRPr="00F536B3">
        <w:rPr>
          <w:rFonts w:ascii="Times New Roman" w:hAnsi="Times New Roman" w:cs="Times New Roman"/>
          <w:i/>
          <w:iCs/>
          <w:lang w:val="en-US"/>
        </w:rPr>
        <w:t>American Political Science Review</w:t>
      </w:r>
      <w:r w:rsidRPr="00F536B3">
        <w:rPr>
          <w:rFonts w:ascii="Times New Roman" w:hAnsi="Times New Roman" w:cs="Times New Roman"/>
          <w:lang w:val="en-US"/>
        </w:rPr>
        <w:t>, 105(4), 765–789.</w:t>
      </w:r>
    </w:p>
    <w:p w14:paraId="4CA9E34A"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Kozyreva, A., Lorenz-Spreen, P., Herzog, S. M., Ecker, U. K. H., Lewandowsky, S., Hertwig, R., et al. </w:t>
      </w:r>
      <w:r w:rsidRPr="00D22BD7">
        <w:rPr>
          <w:rFonts w:ascii="Times New Roman" w:hAnsi="Times New Roman" w:cs="Times New Roman"/>
        </w:rPr>
        <w:t xml:space="preserve">(2024). </w:t>
      </w:r>
      <w:r w:rsidRPr="00F536B3">
        <w:rPr>
          <w:rFonts w:ascii="Times New Roman" w:hAnsi="Times New Roman" w:cs="Times New Roman"/>
          <w:lang w:val="en-US"/>
        </w:rPr>
        <w:t xml:space="preserve">Toolbox of individual-level interventions against online misinformation. </w:t>
      </w:r>
      <w:r w:rsidRPr="00F536B3">
        <w:rPr>
          <w:rFonts w:ascii="Times New Roman" w:hAnsi="Times New Roman" w:cs="Times New Roman"/>
          <w:i/>
          <w:iCs/>
          <w:lang w:val="en-US"/>
        </w:rPr>
        <w:t>Nature Human Behaviour</w:t>
      </w:r>
      <w:r w:rsidRPr="00F536B3">
        <w:rPr>
          <w:rFonts w:ascii="Times New Roman" w:hAnsi="Times New Roman" w:cs="Times New Roman"/>
          <w:lang w:val="en-US"/>
        </w:rPr>
        <w:t>, 8(6), 1044–1052.</w:t>
      </w:r>
    </w:p>
    <w:p w14:paraId="6176B4F8"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Nyhan, B., Porter, E., Reifler, J., &amp; Wood, T. J. (2020). Taking fact-checks literally but not seriously? The effects of journalistic fact-checking on factual beliefs and candidate favorability. </w:t>
      </w:r>
      <w:r w:rsidRPr="00F536B3">
        <w:rPr>
          <w:rFonts w:ascii="Times New Roman" w:hAnsi="Times New Roman" w:cs="Times New Roman"/>
          <w:i/>
          <w:iCs/>
          <w:lang w:val="en-US"/>
        </w:rPr>
        <w:t>Political Behavior</w:t>
      </w:r>
      <w:r w:rsidRPr="00F536B3">
        <w:rPr>
          <w:rFonts w:ascii="Times New Roman" w:hAnsi="Times New Roman" w:cs="Times New Roman"/>
          <w:lang w:val="en-US"/>
        </w:rPr>
        <w:t>, 42(3), 939–960.</w:t>
      </w:r>
    </w:p>
    <w:p w14:paraId="22098681"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Pennycook, G., McPhetres, J., Zhang, Y., Lu, J. G., &amp; Rand, D. G. (2020). Fighting COVID-19 misinformation on social media: Experimental evidence for a scalable accuracy-nudge intervention. </w:t>
      </w:r>
      <w:r w:rsidRPr="00F536B3">
        <w:rPr>
          <w:rFonts w:ascii="Times New Roman" w:hAnsi="Times New Roman" w:cs="Times New Roman"/>
          <w:i/>
          <w:iCs/>
          <w:lang w:val="en-US"/>
        </w:rPr>
        <w:t>Psychological Science</w:t>
      </w:r>
      <w:r w:rsidRPr="00F536B3">
        <w:rPr>
          <w:rFonts w:ascii="Times New Roman" w:hAnsi="Times New Roman" w:cs="Times New Roman"/>
          <w:lang w:val="en-US"/>
        </w:rPr>
        <w:t>, 31(7), 770–780.</w:t>
      </w:r>
    </w:p>
    <w:p w14:paraId="2C816FD1"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Pennycook, G., Bear, A., Collins, E. T., &amp; Rand, D. G. (2020). The implied truth effect: Attaching warnings to a subset of fake news headlines increases perceived accuracy of headlines without warnings. </w:t>
      </w:r>
      <w:r w:rsidRPr="00F536B3">
        <w:rPr>
          <w:rFonts w:ascii="Times New Roman" w:hAnsi="Times New Roman" w:cs="Times New Roman"/>
          <w:i/>
          <w:iCs/>
          <w:lang w:val="en-US"/>
        </w:rPr>
        <w:t>Management Science</w:t>
      </w:r>
      <w:r w:rsidRPr="00F536B3">
        <w:rPr>
          <w:rFonts w:ascii="Times New Roman" w:hAnsi="Times New Roman" w:cs="Times New Roman"/>
          <w:lang w:val="en-US"/>
        </w:rPr>
        <w:t>, 66(11), 4944–4957.</w:t>
      </w:r>
    </w:p>
    <w:p w14:paraId="7CAB67E9" w14:textId="77777777" w:rsidR="00E03358"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Pennycook, G., &amp; Rand, D. G. (2022). Accuracy prompts are a replicable and generalizable approach for reducing the spread of misinformation. </w:t>
      </w:r>
      <w:r w:rsidRPr="00F536B3">
        <w:rPr>
          <w:rFonts w:ascii="Times New Roman" w:hAnsi="Times New Roman" w:cs="Times New Roman"/>
          <w:i/>
          <w:iCs/>
          <w:lang w:val="en-US"/>
        </w:rPr>
        <w:t>Nature Communications</w:t>
      </w:r>
      <w:r w:rsidRPr="00F536B3">
        <w:rPr>
          <w:rFonts w:ascii="Times New Roman" w:hAnsi="Times New Roman" w:cs="Times New Roman"/>
          <w:lang w:val="en-US"/>
        </w:rPr>
        <w:t>, 13, 2333.</w:t>
      </w:r>
    </w:p>
    <w:p w14:paraId="6279D8BB" w14:textId="77777777" w:rsidR="007F4B3B" w:rsidRPr="00F536B3" w:rsidRDefault="00000000" w:rsidP="00D22BD7">
      <w:pPr>
        <w:spacing w:after="160" w:line="360" w:lineRule="auto"/>
        <w:rPr>
          <w:rFonts w:ascii="Times New Roman" w:hAnsi="Times New Roman" w:cs="Times New Roman"/>
          <w:lang w:val="en-US"/>
        </w:rPr>
      </w:pPr>
      <w:r w:rsidRPr="00F536B3">
        <w:rPr>
          <w:rFonts w:ascii="Times New Roman" w:hAnsi="Times New Roman" w:cs="Times New Roman"/>
          <w:lang w:val="en-US"/>
        </w:rPr>
        <w:t xml:space="preserve">Roozenbeek, J., &amp; van der Linden, S. (2019). Fake news game confers psychological resistance against online misinformation. </w:t>
      </w:r>
      <w:r w:rsidRPr="00F536B3">
        <w:rPr>
          <w:rFonts w:ascii="Times New Roman" w:hAnsi="Times New Roman" w:cs="Times New Roman"/>
          <w:i/>
          <w:iCs/>
          <w:lang w:val="en-US"/>
        </w:rPr>
        <w:t>Palgrave Communications</w:t>
      </w:r>
      <w:r w:rsidRPr="00F536B3">
        <w:rPr>
          <w:rFonts w:ascii="Times New Roman" w:hAnsi="Times New Roman" w:cs="Times New Roman"/>
          <w:lang w:val="en-US"/>
        </w:rPr>
        <w:t>, 5(1), 1–10.</w:t>
      </w:r>
    </w:p>
    <w:p w14:paraId="777C5DEA" w14:textId="77777777" w:rsidR="007F4B3B" w:rsidRPr="00D22BD7" w:rsidRDefault="00000000" w:rsidP="00D22BD7">
      <w:pPr>
        <w:spacing w:after="160" w:line="360" w:lineRule="auto"/>
        <w:rPr>
          <w:rFonts w:ascii="Times New Roman" w:hAnsi="Times New Roman" w:cs="Times New Roman"/>
        </w:rPr>
      </w:pPr>
      <w:r w:rsidRPr="00F536B3">
        <w:rPr>
          <w:rFonts w:ascii="Times New Roman" w:hAnsi="Times New Roman" w:cs="Times New Roman"/>
          <w:lang w:val="en-US"/>
        </w:rPr>
        <w:lastRenderedPageBreak/>
        <w:t xml:space="preserve">Walter, N., Cohen, J., Holbert, R. L., &amp; Morag, Y. (2020). Fact-checking: A meta-analysis of what works and for whom. </w:t>
      </w:r>
      <w:r w:rsidRPr="00D22BD7">
        <w:rPr>
          <w:rFonts w:ascii="Times New Roman" w:hAnsi="Times New Roman" w:cs="Times New Roman"/>
          <w:i/>
          <w:iCs/>
        </w:rPr>
        <w:t>Political Communication</w:t>
      </w:r>
      <w:r w:rsidRPr="00D22BD7">
        <w:rPr>
          <w:rFonts w:ascii="Times New Roman" w:hAnsi="Times New Roman" w:cs="Times New Roman"/>
        </w:rPr>
        <w:t>, 37(3), 350–375.</w:t>
      </w:r>
    </w:p>
    <w:sectPr w:rsidR="007F4B3B" w:rsidRPr="00D22BD7">
      <w:footerReference w:type="default" r:id="rId1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F7D815" w14:textId="77777777" w:rsidR="00516DBD" w:rsidRDefault="00516DBD">
      <w:r>
        <w:separator/>
      </w:r>
    </w:p>
  </w:endnote>
  <w:endnote w:type="continuationSeparator" w:id="0">
    <w:p w14:paraId="5F8B2033" w14:textId="77777777" w:rsidR="00516DBD" w:rsidRDefault="00516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D2F249" w14:textId="77777777" w:rsidR="007F4B3B" w:rsidRPr="00F536B3" w:rsidRDefault="00000000">
    <w:pPr>
      <w:jc w:val="right"/>
      <w:rPr>
        <w:lang w:val="en-US"/>
      </w:rPr>
    </w:pPr>
    <w:r w:rsidRPr="00F536B3">
      <w:rPr>
        <w:color w:val="888888"/>
        <w:sz w:val="18"/>
        <w:szCs w:val="18"/>
        <w:lang w:val="en-US"/>
      </w:rPr>
      <w:t xml:space="preserve">Russian Disinformation in Kenya — Pre-Analysis Plan  |  </w:t>
    </w:r>
    <w:r>
      <w:fldChar w:fldCharType="begin"/>
    </w:r>
    <w:r w:rsidRPr="00F536B3">
      <w:rPr>
        <w:lang w:val="en-US"/>
      </w:rPr>
      <w:instrText>PAGE</w:instrText>
    </w:r>
    <w:r>
      <w:fldChar w:fldCharType="separate"/>
    </w:r>
    <w:r w:rsidR="005902FF" w:rsidRPr="00F536B3">
      <w:rPr>
        <w:noProof/>
        <w:lang w:val="en-U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040B89" w14:textId="77777777" w:rsidR="00516DBD" w:rsidRDefault="00516DBD">
      <w:r>
        <w:separator/>
      </w:r>
    </w:p>
  </w:footnote>
  <w:footnote w:type="continuationSeparator" w:id="0">
    <w:p w14:paraId="181890CB" w14:textId="77777777" w:rsidR="00516DBD" w:rsidRDefault="00516DBD">
      <w:r>
        <w:continuationSeparator/>
      </w:r>
    </w:p>
  </w:footnote>
  <w:footnote w:id="1">
    <w:p w14:paraId="539DA0D9" w14:textId="5EC59F22" w:rsidR="00C52DA7" w:rsidRPr="00F536B3" w:rsidRDefault="00C52DA7">
      <w:pPr>
        <w:pStyle w:val="Fotnotstext"/>
        <w:rPr>
          <w:lang w:val="en-US"/>
        </w:rPr>
      </w:pPr>
      <w:r>
        <w:rPr>
          <w:rStyle w:val="Fotnotsreferens"/>
        </w:rPr>
        <w:footnoteRef/>
      </w:r>
      <w:r w:rsidRPr="00F536B3">
        <w:rPr>
          <w:lang w:val="en-US"/>
        </w:rPr>
        <w:t xml:space="preserve"> The effective detectable effects after multiple-testing adjustment will generally be somewhat larger.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FD6101"/>
    <w:multiLevelType w:val="hybridMultilevel"/>
    <w:tmpl w:val="41885562"/>
    <w:lvl w:ilvl="0" w:tplc="07908876">
      <w:start w:val="1"/>
      <w:numFmt w:val="decimal"/>
      <w:lvlText w:val="%1."/>
      <w:lvlJc w:val="left"/>
      <w:pPr>
        <w:ind w:left="720" w:hanging="360"/>
      </w:pPr>
    </w:lvl>
    <w:lvl w:ilvl="1" w:tplc="B68EDBAE">
      <w:numFmt w:val="decimal"/>
      <w:lvlText w:val=""/>
      <w:lvlJc w:val="left"/>
    </w:lvl>
    <w:lvl w:ilvl="2" w:tplc="3606FD90">
      <w:numFmt w:val="decimal"/>
      <w:lvlText w:val=""/>
      <w:lvlJc w:val="left"/>
    </w:lvl>
    <w:lvl w:ilvl="3" w:tplc="1FAA1202">
      <w:numFmt w:val="decimal"/>
      <w:lvlText w:val=""/>
      <w:lvlJc w:val="left"/>
    </w:lvl>
    <w:lvl w:ilvl="4" w:tplc="3E6E8138">
      <w:numFmt w:val="decimal"/>
      <w:lvlText w:val=""/>
      <w:lvlJc w:val="left"/>
    </w:lvl>
    <w:lvl w:ilvl="5" w:tplc="D72C34FA">
      <w:numFmt w:val="decimal"/>
      <w:lvlText w:val=""/>
      <w:lvlJc w:val="left"/>
    </w:lvl>
    <w:lvl w:ilvl="6" w:tplc="C38C86FA">
      <w:numFmt w:val="decimal"/>
      <w:lvlText w:val=""/>
      <w:lvlJc w:val="left"/>
    </w:lvl>
    <w:lvl w:ilvl="7" w:tplc="BF1AB842">
      <w:numFmt w:val="decimal"/>
      <w:lvlText w:val=""/>
      <w:lvlJc w:val="left"/>
    </w:lvl>
    <w:lvl w:ilvl="8" w:tplc="6EDC842C">
      <w:numFmt w:val="decimal"/>
      <w:lvlText w:val=""/>
      <w:lvlJc w:val="left"/>
    </w:lvl>
  </w:abstractNum>
  <w:abstractNum w:abstractNumId="1" w15:restartNumberingAfterBreak="0">
    <w:nsid w:val="29333E53"/>
    <w:multiLevelType w:val="hybridMultilevel"/>
    <w:tmpl w:val="6BE6B6CE"/>
    <w:lvl w:ilvl="0" w:tplc="7DDE0E86">
      <w:start w:val="1"/>
      <w:numFmt w:val="decimal"/>
      <w:lvlText w:val="H%1."/>
      <w:lvlJc w:val="left"/>
      <w:pPr>
        <w:ind w:left="360" w:hanging="360"/>
      </w:pPr>
    </w:lvl>
    <w:lvl w:ilvl="1" w:tplc="6AB87FDE">
      <w:numFmt w:val="decimal"/>
      <w:lvlText w:val=""/>
      <w:lvlJc w:val="left"/>
    </w:lvl>
    <w:lvl w:ilvl="2" w:tplc="FA484668">
      <w:numFmt w:val="decimal"/>
      <w:lvlText w:val=""/>
      <w:lvlJc w:val="left"/>
    </w:lvl>
    <w:lvl w:ilvl="3" w:tplc="51C8B4F4">
      <w:numFmt w:val="decimal"/>
      <w:lvlText w:val=""/>
      <w:lvlJc w:val="left"/>
    </w:lvl>
    <w:lvl w:ilvl="4" w:tplc="6276D726">
      <w:numFmt w:val="decimal"/>
      <w:lvlText w:val=""/>
      <w:lvlJc w:val="left"/>
    </w:lvl>
    <w:lvl w:ilvl="5" w:tplc="55CC0E04">
      <w:numFmt w:val="decimal"/>
      <w:lvlText w:val=""/>
      <w:lvlJc w:val="left"/>
    </w:lvl>
    <w:lvl w:ilvl="6" w:tplc="0E9CE04C">
      <w:numFmt w:val="decimal"/>
      <w:lvlText w:val=""/>
      <w:lvlJc w:val="left"/>
    </w:lvl>
    <w:lvl w:ilvl="7" w:tplc="6ABC4E5A">
      <w:numFmt w:val="decimal"/>
      <w:lvlText w:val=""/>
      <w:lvlJc w:val="left"/>
    </w:lvl>
    <w:lvl w:ilvl="8" w:tplc="5F7ED1A6">
      <w:numFmt w:val="decimal"/>
      <w:lvlText w:val=""/>
      <w:lvlJc w:val="left"/>
    </w:lvl>
  </w:abstractNum>
  <w:abstractNum w:abstractNumId="2" w15:restartNumberingAfterBreak="0">
    <w:nsid w:val="2A541AA0"/>
    <w:multiLevelType w:val="hybridMultilevel"/>
    <w:tmpl w:val="2390BD84"/>
    <w:lvl w:ilvl="0" w:tplc="01DA46FE">
      <w:start w:val="1"/>
      <w:numFmt w:val="bullet"/>
      <w:lvlText w:val="•"/>
      <w:lvlJc w:val="left"/>
      <w:pPr>
        <w:ind w:left="720" w:hanging="360"/>
      </w:pPr>
    </w:lvl>
    <w:lvl w:ilvl="1" w:tplc="E6341BB2">
      <w:start w:val="1"/>
      <w:numFmt w:val="bullet"/>
      <w:lvlText w:val="◦"/>
      <w:lvlJc w:val="left"/>
      <w:pPr>
        <w:ind w:left="1080" w:hanging="360"/>
      </w:pPr>
    </w:lvl>
    <w:lvl w:ilvl="2" w:tplc="DF5C9060">
      <w:numFmt w:val="decimal"/>
      <w:lvlText w:val=""/>
      <w:lvlJc w:val="left"/>
    </w:lvl>
    <w:lvl w:ilvl="3" w:tplc="49E0925E">
      <w:numFmt w:val="decimal"/>
      <w:lvlText w:val=""/>
      <w:lvlJc w:val="left"/>
    </w:lvl>
    <w:lvl w:ilvl="4" w:tplc="A48C22BC">
      <w:numFmt w:val="decimal"/>
      <w:lvlText w:val=""/>
      <w:lvlJc w:val="left"/>
    </w:lvl>
    <w:lvl w:ilvl="5" w:tplc="FBEEA424">
      <w:numFmt w:val="decimal"/>
      <w:lvlText w:val=""/>
      <w:lvlJc w:val="left"/>
    </w:lvl>
    <w:lvl w:ilvl="6" w:tplc="A074EECE">
      <w:numFmt w:val="decimal"/>
      <w:lvlText w:val=""/>
      <w:lvlJc w:val="left"/>
    </w:lvl>
    <w:lvl w:ilvl="7" w:tplc="0BC4B9C6">
      <w:numFmt w:val="decimal"/>
      <w:lvlText w:val=""/>
      <w:lvlJc w:val="left"/>
    </w:lvl>
    <w:lvl w:ilvl="8" w:tplc="7F2AFC54">
      <w:numFmt w:val="decimal"/>
      <w:lvlText w:val=""/>
      <w:lvlJc w:val="left"/>
    </w:lvl>
  </w:abstractNum>
  <w:abstractNum w:abstractNumId="3" w15:restartNumberingAfterBreak="0">
    <w:nsid w:val="44E5506C"/>
    <w:multiLevelType w:val="hybridMultilevel"/>
    <w:tmpl w:val="212ACA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9FC0F21"/>
    <w:multiLevelType w:val="hybridMultilevel"/>
    <w:tmpl w:val="540A613A"/>
    <w:lvl w:ilvl="0" w:tplc="0DE67A38">
      <w:start w:val="1"/>
      <w:numFmt w:val="decimal"/>
      <w:lvlText w:val="%1."/>
      <w:lvlJc w:val="left"/>
      <w:pPr>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6AA189B"/>
    <w:multiLevelType w:val="hybridMultilevel"/>
    <w:tmpl w:val="3F225CAA"/>
    <w:lvl w:ilvl="0" w:tplc="5770B9D0">
      <w:start w:val="1"/>
      <w:numFmt w:val="bullet"/>
      <w:lvlText w:val="●"/>
      <w:lvlJc w:val="left"/>
      <w:pPr>
        <w:ind w:left="720" w:hanging="360"/>
      </w:pPr>
    </w:lvl>
    <w:lvl w:ilvl="1" w:tplc="F2E24F68">
      <w:start w:val="1"/>
      <w:numFmt w:val="bullet"/>
      <w:lvlText w:val="○"/>
      <w:lvlJc w:val="left"/>
      <w:pPr>
        <w:ind w:left="1440" w:hanging="360"/>
      </w:pPr>
    </w:lvl>
    <w:lvl w:ilvl="2" w:tplc="AFC6F316">
      <w:start w:val="1"/>
      <w:numFmt w:val="bullet"/>
      <w:lvlText w:val="■"/>
      <w:lvlJc w:val="left"/>
      <w:pPr>
        <w:ind w:left="2160" w:hanging="360"/>
      </w:pPr>
    </w:lvl>
    <w:lvl w:ilvl="3" w:tplc="3C0C0580">
      <w:start w:val="1"/>
      <w:numFmt w:val="bullet"/>
      <w:lvlText w:val="●"/>
      <w:lvlJc w:val="left"/>
      <w:pPr>
        <w:ind w:left="2880" w:hanging="360"/>
      </w:pPr>
    </w:lvl>
    <w:lvl w:ilvl="4" w:tplc="754424B0">
      <w:start w:val="1"/>
      <w:numFmt w:val="bullet"/>
      <w:lvlText w:val="○"/>
      <w:lvlJc w:val="left"/>
      <w:pPr>
        <w:ind w:left="3600" w:hanging="360"/>
      </w:pPr>
    </w:lvl>
    <w:lvl w:ilvl="5" w:tplc="F566E5DE">
      <w:start w:val="1"/>
      <w:numFmt w:val="bullet"/>
      <w:lvlText w:val="■"/>
      <w:lvlJc w:val="left"/>
      <w:pPr>
        <w:ind w:left="4320" w:hanging="360"/>
      </w:pPr>
    </w:lvl>
    <w:lvl w:ilvl="6" w:tplc="28549DAC">
      <w:start w:val="1"/>
      <w:numFmt w:val="bullet"/>
      <w:lvlText w:val="●"/>
      <w:lvlJc w:val="left"/>
      <w:pPr>
        <w:ind w:left="5040" w:hanging="360"/>
      </w:pPr>
    </w:lvl>
    <w:lvl w:ilvl="7" w:tplc="655ABE08">
      <w:start w:val="1"/>
      <w:numFmt w:val="bullet"/>
      <w:lvlText w:val="●"/>
      <w:lvlJc w:val="left"/>
      <w:pPr>
        <w:ind w:left="5760" w:hanging="360"/>
      </w:pPr>
    </w:lvl>
    <w:lvl w:ilvl="8" w:tplc="DECE0F7A">
      <w:start w:val="1"/>
      <w:numFmt w:val="bullet"/>
      <w:lvlText w:val="●"/>
      <w:lvlJc w:val="left"/>
      <w:pPr>
        <w:ind w:left="6480" w:hanging="360"/>
      </w:pPr>
    </w:lvl>
  </w:abstractNum>
  <w:abstractNum w:abstractNumId="6" w15:restartNumberingAfterBreak="0">
    <w:nsid w:val="7D6F7223"/>
    <w:multiLevelType w:val="hybridMultilevel"/>
    <w:tmpl w:val="2506D27C"/>
    <w:lvl w:ilvl="0" w:tplc="7494D7A2">
      <w:start w:val="5"/>
      <w:numFmt w:val="bullet"/>
      <w:lvlText w:val="-"/>
      <w:lvlJc w:val="left"/>
      <w:pPr>
        <w:ind w:left="720" w:hanging="360"/>
      </w:pPr>
      <w:rPr>
        <w:rFonts w:ascii="Times New Roman" w:eastAsia="Arial"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170293902">
    <w:abstractNumId w:val="5"/>
    <w:lvlOverride w:ilvl="0">
      <w:startOverride w:val="1"/>
    </w:lvlOverride>
  </w:num>
  <w:num w:numId="2" w16cid:durableId="816216660">
    <w:abstractNumId w:val="0"/>
    <w:lvlOverride w:ilvl="0">
      <w:startOverride w:val="1"/>
    </w:lvlOverride>
  </w:num>
  <w:num w:numId="3" w16cid:durableId="375591643">
    <w:abstractNumId w:val="2"/>
    <w:lvlOverride w:ilvl="0">
      <w:startOverride w:val="1"/>
    </w:lvlOverride>
  </w:num>
  <w:num w:numId="4" w16cid:durableId="892039247">
    <w:abstractNumId w:val="3"/>
  </w:num>
  <w:num w:numId="5" w16cid:durableId="221214628">
    <w:abstractNumId w:val="0"/>
  </w:num>
  <w:num w:numId="6" w16cid:durableId="281769999">
    <w:abstractNumId w:val="4"/>
  </w:num>
  <w:num w:numId="7" w16cid:durableId="2479561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B3B"/>
    <w:rsid w:val="000152AD"/>
    <w:rsid w:val="0004214A"/>
    <w:rsid w:val="000518E2"/>
    <w:rsid w:val="000612B0"/>
    <w:rsid w:val="00073E5D"/>
    <w:rsid w:val="000A481D"/>
    <w:rsid w:val="000F69FA"/>
    <w:rsid w:val="001055F6"/>
    <w:rsid w:val="00106F3A"/>
    <w:rsid w:val="001264AF"/>
    <w:rsid w:val="0012733A"/>
    <w:rsid w:val="00130A82"/>
    <w:rsid w:val="00133126"/>
    <w:rsid w:val="00142708"/>
    <w:rsid w:val="0014315D"/>
    <w:rsid w:val="001878E7"/>
    <w:rsid w:val="0019415C"/>
    <w:rsid w:val="001960F0"/>
    <w:rsid w:val="001971AB"/>
    <w:rsid w:val="001D5279"/>
    <w:rsid w:val="00200E5A"/>
    <w:rsid w:val="0022189B"/>
    <w:rsid w:val="00225E34"/>
    <w:rsid w:val="0023192B"/>
    <w:rsid w:val="00266204"/>
    <w:rsid w:val="002B52B9"/>
    <w:rsid w:val="002C21C5"/>
    <w:rsid w:val="00301CB7"/>
    <w:rsid w:val="003365FC"/>
    <w:rsid w:val="00336691"/>
    <w:rsid w:val="003418B6"/>
    <w:rsid w:val="00343AC2"/>
    <w:rsid w:val="00347D78"/>
    <w:rsid w:val="00353E93"/>
    <w:rsid w:val="0036726D"/>
    <w:rsid w:val="00372EA3"/>
    <w:rsid w:val="003A3C00"/>
    <w:rsid w:val="003C3BBC"/>
    <w:rsid w:val="003C3D09"/>
    <w:rsid w:val="003C627B"/>
    <w:rsid w:val="003C7724"/>
    <w:rsid w:val="003D12C1"/>
    <w:rsid w:val="003D251B"/>
    <w:rsid w:val="004066E2"/>
    <w:rsid w:val="0047305F"/>
    <w:rsid w:val="004B08C0"/>
    <w:rsid w:val="004D3FDF"/>
    <w:rsid w:val="005108E2"/>
    <w:rsid w:val="005132A3"/>
    <w:rsid w:val="00516DBD"/>
    <w:rsid w:val="00552507"/>
    <w:rsid w:val="00581845"/>
    <w:rsid w:val="005902FF"/>
    <w:rsid w:val="005A577B"/>
    <w:rsid w:val="005B1410"/>
    <w:rsid w:val="005B46E3"/>
    <w:rsid w:val="005C5FC6"/>
    <w:rsid w:val="005D14E1"/>
    <w:rsid w:val="005D172A"/>
    <w:rsid w:val="005E4355"/>
    <w:rsid w:val="006B35E3"/>
    <w:rsid w:val="006B4736"/>
    <w:rsid w:val="006C489A"/>
    <w:rsid w:val="006F6536"/>
    <w:rsid w:val="00717047"/>
    <w:rsid w:val="0072074A"/>
    <w:rsid w:val="00753461"/>
    <w:rsid w:val="007659A4"/>
    <w:rsid w:val="007767DE"/>
    <w:rsid w:val="007A0D5D"/>
    <w:rsid w:val="007B05A6"/>
    <w:rsid w:val="007F4B3B"/>
    <w:rsid w:val="008100F2"/>
    <w:rsid w:val="0081084F"/>
    <w:rsid w:val="00847398"/>
    <w:rsid w:val="0085174C"/>
    <w:rsid w:val="00864E65"/>
    <w:rsid w:val="008A018E"/>
    <w:rsid w:val="008D19D3"/>
    <w:rsid w:val="008D2260"/>
    <w:rsid w:val="008E1A9B"/>
    <w:rsid w:val="009274F5"/>
    <w:rsid w:val="0097688A"/>
    <w:rsid w:val="009A29C1"/>
    <w:rsid w:val="009B5891"/>
    <w:rsid w:val="00A11B9D"/>
    <w:rsid w:val="00A25932"/>
    <w:rsid w:val="00A27043"/>
    <w:rsid w:val="00AA7A7D"/>
    <w:rsid w:val="00AE2A56"/>
    <w:rsid w:val="00B341D7"/>
    <w:rsid w:val="00B651BF"/>
    <w:rsid w:val="00BA6EFF"/>
    <w:rsid w:val="00BB3595"/>
    <w:rsid w:val="00BD33EC"/>
    <w:rsid w:val="00BE325E"/>
    <w:rsid w:val="00C25880"/>
    <w:rsid w:val="00C275ED"/>
    <w:rsid w:val="00C52DA7"/>
    <w:rsid w:val="00C82175"/>
    <w:rsid w:val="00CB1196"/>
    <w:rsid w:val="00CC2CC2"/>
    <w:rsid w:val="00CC7F76"/>
    <w:rsid w:val="00CE5C43"/>
    <w:rsid w:val="00CF0DC9"/>
    <w:rsid w:val="00D01CEB"/>
    <w:rsid w:val="00D1117F"/>
    <w:rsid w:val="00D22BD7"/>
    <w:rsid w:val="00D53079"/>
    <w:rsid w:val="00D54C65"/>
    <w:rsid w:val="00D7747A"/>
    <w:rsid w:val="00DA4932"/>
    <w:rsid w:val="00DA6AF2"/>
    <w:rsid w:val="00E03358"/>
    <w:rsid w:val="00E23C8A"/>
    <w:rsid w:val="00E27FB5"/>
    <w:rsid w:val="00E64204"/>
    <w:rsid w:val="00E66ECB"/>
    <w:rsid w:val="00E70EB1"/>
    <w:rsid w:val="00EB7532"/>
    <w:rsid w:val="00EC3C4D"/>
    <w:rsid w:val="00F347A9"/>
    <w:rsid w:val="00F536B3"/>
    <w:rsid w:val="00F5425D"/>
    <w:rsid w:val="00F60E00"/>
    <w:rsid w:val="00FE3AEA"/>
    <w:rsid w:val="00FF1A5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3DDA"/>
  <w15:docId w15:val="{A624D28C-0C16-4105-BBFE-DDB8ECC59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uiPriority w:val="9"/>
    <w:qFormat/>
    <w:pPr>
      <w:pBdr>
        <w:bottom w:val="single" w:sz="4" w:space="4" w:color="1F3864"/>
      </w:pBdr>
      <w:spacing w:before="360" w:after="200"/>
      <w:outlineLvl w:val="0"/>
    </w:pPr>
    <w:rPr>
      <w:b/>
      <w:bCs/>
      <w:color w:val="1F3864"/>
      <w:sz w:val="36"/>
      <w:szCs w:val="36"/>
    </w:rPr>
  </w:style>
  <w:style w:type="paragraph" w:styleId="Rubrik2">
    <w:name w:val="heading 2"/>
    <w:uiPriority w:val="9"/>
    <w:unhideWhenUsed/>
    <w:qFormat/>
    <w:pPr>
      <w:spacing w:before="280" w:after="160"/>
      <w:outlineLvl w:val="1"/>
    </w:pPr>
    <w:rPr>
      <w:b/>
      <w:bCs/>
      <w:color w:val="2E5FA3"/>
      <w:sz w:val="28"/>
      <w:szCs w:val="28"/>
    </w:rPr>
  </w:style>
  <w:style w:type="paragraph" w:styleId="Rubrik3">
    <w:name w:val="heading 3"/>
    <w:uiPriority w:val="9"/>
    <w:semiHidden/>
    <w:unhideWhenUsed/>
    <w:qFormat/>
    <w:pPr>
      <w:spacing w:before="200" w:after="120"/>
      <w:outlineLvl w:val="2"/>
    </w:pPr>
    <w:rPr>
      <w:b/>
      <w:bCs/>
      <w:color w:val="404040"/>
    </w:rPr>
  </w:style>
  <w:style w:type="paragraph" w:styleId="Rubrik4">
    <w:name w:val="heading 4"/>
    <w:uiPriority w:val="9"/>
    <w:semiHidden/>
    <w:unhideWhenUsed/>
    <w:qFormat/>
    <w:pPr>
      <w:outlineLvl w:val="3"/>
    </w:pPr>
    <w:rPr>
      <w:i/>
      <w:iCs/>
      <w:color w:val="2E74B5"/>
    </w:rPr>
  </w:style>
  <w:style w:type="paragraph" w:styleId="Rubrik5">
    <w:name w:val="heading 5"/>
    <w:uiPriority w:val="9"/>
    <w:semiHidden/>
    <w:unhideWhenUsed/>
    <w:qFormat/>
    <w:pPr>
      <w:outlineLvl w:val="4"/>
    </w:pPr>
    <w:rPr>
      <w:color w:val="2E74B5"/>
    </w:rPr>
  </w:style>
  <w:style w:type="paragraph" w:styleId="Rubrik6">
    <w:name w:val="heading 6"/>
    <w:uiPriority w:val="9"/>
    <w:semiHidden/>
    <w:unhideWhenUsed/>
    <w:qFormat/>
    <w:pPr>
      <w:outlineLvl w:val="5"/>
    </w:pPr>
    <w:rPr>
      <w:color w:val="1F4D7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uiPriority w:val="10"/>
    <w:qFormat/>
    <w:rPr>
      <w:sz w:val="56"/>
      <w:szCs w:val="56"/>
    </w:rPr>
  </w:style>
  <w:style w:type="paragraph" w:customStyle="1" w:styleId="Strong1">
    <w:name w:val="Strong1"/>
    <w:qFormat/>
    <w:rPr>
      <w:b/>
      <w:bCs/>
    </w:rPr>
  </w:style>
  <w:style w:type="paragraph" w:styleId="Liststycke">
    <w:name w:val="List Paragraph"/>
    <w:qFormat/>
  </w:style>
  <w:style w:type="character" w:styleId="Hyperlnk">
    <w:name w:val="Hyperlink"/>
    <w:uiPriority w:val="99"/>
    <w:unhideWhenUsed/>
    <w:rPr>
      <w:color w:val="0563C1"/>
      <w:u w:val="single"/>
    </w:rPr>
  </w:style>
  <w:style w:type="character" w:styleId="Fotnotsreferens">
    <w:name w:val="footnote reference"/>
    <w:uiPriority w:val="99"/>
    <w:semiHidden/>
    <w:unhideWhenUsed/>
    <w:rPr>
      <w:vertAlign w:val="superscript"/>
    </w:rPr>
  </w:style>
  <w:style w:type="paragraph" w:styleId="Fotnotstext">
    <w:name w:val="footnote text"/>
    <w:link w:val="FotnotstextChar"/>
    <w:uiPriority w:val="99"/>
    <w:semiHidden/>
    <w:unhideWhenUsed/>
    <w:rPr>
      <w:sz w:val="20"/>
      <w:szCs w:val="20"/>
    </w:rPr>
  </w:style>
  <w:style w:type="character" w:customStyle="1" w:styleId="FotnotstextChar">
    <w:name w:val="Fotnotstext Char"/>
    <w:link w:val="Fotnotstext"/>
    <w:uiPriority w:val="99"/>
    <w:semiHidden/>
    <w:unhideWhenUsed/>
    <w:rPr>
      <w:sz w:val="20"/>
      <w:szCs w:val="20"/>
    </w:rPr>
  </w:style>
  <w:style w:type="character" w:styleId="Slutnotsreferens">
    <w:name w:val="endnote reference"/>
    <w:uiPriority w:val="99"/>
    <w:semiHidden/>
    <w:unhideWhenUsed/>
    <w:rPr>
      <w:vertAlign w:val="superscript"/>
    </w:rPr>
  </w:style>
  <w:style w:type="paragraph" w:styleId="Slutnotstext">
    <w:name w:val="endnote text"/>
    <w:link w:val="SlutnotstextChar"/>
    <w:uiPriority w:val="99"/>
    <w:semiHidden/>
    <w:unhideWhenUsed/>
    <w:rPr>
      <w:sz w:val="20"/>
      <w:szCs w:val="20"/>
    </w:rPr>
  </w:style>
  <w:style w:type="character" w:customStyle="1" w:styleId="SlutnotstextChar">
    <w:name w:val="Slutnotstext Char"/>
    <w:link w:val="Slutnotstext"/>
    <w:uiPriority w:val="99"/>
    <w:semiHidden/>
    <w:unhideWhenUsed/>
    <w:rPr>
      <w:sz w:val="20"/>
      <w:szCs w:val="20"/>
    </w:rPr>
  </w:style>
  <w:style w:type="character" w:styleId="Kommentarsreferens">
    <w:name w:val="annotation reference"/>
    <w:basedOn w:val="Standardstycketeckensnitt"/>
    <w:uiPriority w:val="99"/>
    <w:semiHidden/>
    <w:unhideWhenUsed/>
    <w:rsid w:val="00336691"/>
    <w:rPr>
      <w:sz w:val="16"/>
      <w:szCs w:val="16"/>
    </w:rPr>
  </w:style>
  <w:style w:type="paragraph" w:styleId="Kommentarer">
    <w:name w:val="annotation text"/>
    <w:basedOn w:val="Normal"/>
    <w:link w:val="KommentarerChar"/>
    <w:uiPriority w:val="99"/>
    <w:unhideWhenUsed/>
    <w:rsid w:val="00336691"/>
    <w:rPr>
      <w:sz w:val="20"/>
      <w:szCs w:val="20"/>
    </w:rPr>
  </w:style>
  <w:style w:type="character" w:customStyle="1" w:styleId="KommentarerChar">
    <w:name w:val="Kommentarer Char"/>
    <w:basedOn w:val="Standardstycketeckensnitt"/>
    <w:link w:val="Kommentarer"/>
    <w:uiPriority w:val="99"/>
    <w:rsid w:val="00336691"/>
    <w:rPr>
      <w:sz w:val="20"/>
      <w:szCs w:val="20"/>
    </w:rPr>
  </w:style>
  <w:style w:type="paragraph" w:styleId="Kommentarsmne">
    <w:name w:val="annotation subject"/>
    <w:basedOn w:val="Kommentarer"/>
    <w:next w:val="Kommentarer"/>
    <w:link w:val="KommentarsmneChar"/>
    <w:uiPriority w:val="99"/>
    <w:semiHidden/>
    <w:unhideWhenUsed/>
    <w:rsid w:val="00336691"/>
    <w:rPr>
      <w:b/>
      <w:bCs/>
    </w:rPr>
  </w:style>
  <w:style w:type="character" w:customStyle="1" w:styleId="KommentarsmneChar">
    <w:name w:val="Kommentarsämne Char"/>
    <w:basedOn w:val="KommentarerChar"/>
    <w:link w:val="Kommentarsmne"/>
    <w:uiPriority w:val="99"/>
    <w:semiHidden/>
    <w:rsid w:val="00336691"/>
    <w:rPr>
      <w:b/>
      <w:bCs/>
      <w:sz w:val="20"/>
      <w:szCs w:val="20"/>
    </w:rPr>
  </w:style>
  <w:style w:type="paragraph" w:styleId="Revision">
    <w:name w:val="Revision"/>
    <w:hidden/>
    <w:uiPriority w:val="99"/>
    <w:semiHidden/>
    <w:rsid w:val="00F5425D"/>
  </w:style>
  <w:style w:type="character" w:styleId="Platshllartext">
    <w:name w:val="Placeholder Text"/>
    <w:basedOn w:val="Standardstycketeckensnitt"/>
    <w:uiPriority w:val="99"/>
    <w:semiHidden/>
    <w:rsid w:val="00347D78"/>
    <w:rPr>
      <w:color w:val="666666"/>
    </w:rPr>
  </w:style>
  <w:style w:type="character" w:customStyle="1" w:styleId="mord">
    <w:name w:val="mord"/>
    <w:basedOn w:val="Standardstycketeckensnitt"/>
    <w:rsid w:val="00347D78"/>
  </w:style>
  <w:style w:type="character" w:customStyle="1" w:styleId="vlist-s">
    <w:name w:val="vlist-s"/>
    <w:basedOn w:val="Standardstycketeckensnitt"/>
    <w:rsid w:val="00347D78"/>
  </w:style>
  <w:style w:type="character" w:customStyle="1" w:styleId="mrel">
    <w:name w:val="mrel"/>
    <w:basedOn w:val="Standardstycketeckensnitt"/>
    <w:rsid w:val="00347D78"/>
  </w:style>
  <w:style w:type="character" w:customStyle="1" w:styleId="mbin">
    <w:name w:val="mbin"/>
    <w:basedOn w:val="Standardstycketeckensnitt"/>
    <w:rsid w:val="00347D78"/>
  </w:style>
  <w:style w:type="character" w:customStyle="1" w:styleId="mop">
    <w:name w:val="mop"/>
    <w:basedOn w:val="Standardstycketeckensnitt"/>
    <w:rsid w:val="00347D78"/>
  </w:style>
  <w:style w:type="character" w:customStyle="1" w:styleId="mpunct">
    <w:name w:val="mpunct"/>
    <w:basedOn w:val="Standardstycketeckensnitt"/>
    <w:rsid w:val="00347D78"/>
  </w:style>
  <w:style w:type="character" w:styleId="Stark">
    <w:name w:val="Strong"/>
    <w:basedOn w:val="Standardstycketeckensnitt"/>
    <w:uiPriority w:val="22"/>
    <w:qFormat/>
    <w:rsid w:val="00372EA3"/>
    <w:rPr>
      <w:b/>
      <w:bCs/>
    </w:rPr>
  </w:style>
  <w:style w:type="character" w:customStyle="1" w:styleId="apple-converted-space">
    <w:name w:val="apple-converted-space"/>
    <w:basedOn w:val="Standardstycketeckensnitt"/>
    <w:rsid w:val="00372EA3"/>
  </w:style>
  <w:style w:type="character" w:styleId="Olstomnmnande">
    <w:name w:val="Unresolved Mention"/>
    <w:basedOn w:val="Standardstycketeckensnitt"/>
    <w:uiPriority w:val="99"/>
    <w:semiHidden/>
    <w:unhideWhenUsed/>
    <w:rsid w:val="000A481D"/>
    <w:rPr>
      <w:color w:val="605E5C"/>
      <w:shd w:val="clear" w:color="auto" w:fill="E1DFDD"/>
    </w:rPr>
  </w:style>
  <w:style w:type="character" w:styleId="AnvndHyperlnk">
    <w:name w:val="FollowedHyperlink"/>
    <w:basedOn w:val="Standardstycketeckensnitt"/>
    <w:uiPriority w:val="99"/>
    <w:semiHidden/>
    <w:unhideWhenUsed/>
    <w:rsid w:val="000A48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ocialscienceregistry.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3557-2C8B-C146-8B90-05F910AEE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18</Pages>
  <Words>4887</Words>
  <Characters>25903</Characters>
  <Application>Microsoft Office Word</Application>
  <DocSecurity>0</DocSecurity>
  <Lines>215</Lines>
  <Paragraphs>61</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30729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Maria Perrotta Berlin</cp:lastModifiedBy>
  <cp:revision>15</cp:revision>
  <dcterms:created xsi:type="dcterms:W3CDTF">2026-08-19T12:20:00Z</dcterms:created>
  <dcterms:modified xsi:type="dcterms:W3CDTF">2026-08-20T12:55:00Z</dcterms:modified>
</cp:coreProperties>
</file>