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49B35" w14:textId="11F2475E" w:rsidR="009D70DD" w:rsidRDefault="00000000">
      <w:pPr>
        <w:pStyle w:val="Title"/>
      </w:pPr>
      <w:sdt>
        <w:sdtPr>
          <w:tag w:val="goog_rdk_0"/>
          <w:id w:val="-628220901"/>
          <w:showingPlcHdr/>
        </w:sdtPr>
        <w:sdtContent>
          <w:r w:rsidR="004B040D">
            <w:t xml:space="preserve">     </w:t>
          </w:r>
        </w:sdtContent>
      </w:sdt>
      <w:r w:rsidR="002E02A9">
        <w:t>Pre-Analysis Plan</w:t>
      </w:r>
    </w:p>
    <w:p w14:paraId="7EB49B36" w14:textId="77777777" w:rsidR="009D70DD" w:rsidRDefault="002E02A9">
      <w:pPr>
        <w:spacing w:after="240"/>
      </w:pPr>
      <w:r>
        <w:rPr>
          <w:b/>
          <w:bCs/>
          <w:sz w:val="24"/>
          <w:szCs w:val="24"/>
        </w:rPr>
        <w:t xml:space="preserve">Rapid Evaluation of the Impact of Gemini Guided Learning on Students’ Science Scores in Junior Secondary Schools in India </w:t>
      </w:r>
    </w:p>
    <w:p w14:paraId="7EB49B37" w14:textId="77777777" w:rsidR="009D70DD" w:rsidRDefault="002E02A9">
      <w:pPr>
        <w:pStyle w:val="Heading1"/>
      </w:pPr>
      <w:r>
        <w:t>Introduction</w:t>
      </w:r>
    </w:p>
    <w:p w14:paraId="7EB49B38" w14:textId="77777777" w:rsidR="009D70DD" w:rsidRDefault="002E02A9">
      <w:pPr>
        <w:spacing w:after="160" w:line="276" w:lineRule="auto"/>
      </w:pPr>
      <w:r>
        <w:t xml:space="preserve">This pre-analysis plan describes the evaluation design and planned statistical analysis for a cluster randomised controlled trial assessing the impact of Gemini Guided Learning on student science achievement in junior secondary classrooms in the City Montessori School (CMS) network in Lucknow, India. The intervention is implemented at the classroom level and integrates Gemini-supported instructional activities into regular Physics and Chemistry lessons </w:t>
      </w:r>
      <w:sdt>
        <w:sdtPr>
          <w:tag w:val="goog_rdk_5"/>
          <w:id w:val="-883452862"/>
        </w:sdtPr>
        <w:sdtContent/>
      </w:sdt>
      <w:sdt>
        <w:sdtPr>
          <w:tag w:val="goog_rdk_6"/>
          <w:id w:val="1514138492"/>
        </w:sdtPr>
        <w:sdtContent/>
      </w:sdt>
      <w:r>
        <w:t>over an academic term (Term 1).</w:t>
      </w:r>
      <w:r>
        <w:rPr>
          <w:color w:val="EE0000"/>
        </w:rPr>
        <w:t xml:space="preserve"> </w:t>
      </w:r>
      <w:r>
        <w:t>The evaluation uses baseline and endline student assessments developed by the Centre for Science of Student Learning (CSSL) and aligned with the relevant grade-level curriculum, complemented by a baseline student survey.</w:t>
      </w:r>
    </w:p>
    <w:p w14:paraId="7EB49B39" w14:textId="77777777" w:rsidR="009D70DD" w:rsidRDefault="002E02A9">
      <w:pPr>
        <w:spacing w:after="160" w:line="276" w:lineRule="auto"/>
      </w:pPr>
      <w:r>
        <w:t xml:space="preserve">Classrooms are randomly assigned to treatment or control within school (campus) and grade strata. The primary outcome is student achievement in science, covering Physics and Chemistry. </w:t>
      </w:r>
    </w:p>
    <w:p w14:paraId="7EB49B3A" w14:textId="77777777" w:rsidR="009D70DD" w:rsidRDefault="002E02A9">
      <w:pPr>
        <w:spacing w:after="160" w:line="276" w:lineRule="auto"/>
      </w:pPr>
      <w:r>
        <w:t>The study is part of a broader, multi-site portfolio of randomised controlled trials evaluating the educational efficacy of teacher-supported uses of generative AI in real-world classroom settings.</w:t>
      </w:r>
    </w:p>
    <w:p w14:paraId="7EB49B3B" w14:textId="77777777" w:rsidR="009D70DD" w:rsidRDefault="002E02A9">
      <w:pPr>
        <w:pStyle w:val="Heading1"/>
      </w:pPr>
      <w:r>
        <w:t>Summary Table</w:t>
      </w:r>
    </w:p>
    <w:tbl>
      <w:tblPr>
        <w:tblStyle w:val="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0"/>
        <w:gridCol w:w="6360"/>
      </w:tblGrid>
      <w:tr w:rsidR="009D70DD" w14:paraId="7EB49B3E" w14:textId="77777777">
        <w:tc>
          <w:tcPr>
            <w:tcW w:w="3000" w:type="dxa"/>
            <w:tcBorders>
              <w:top w:val="single" w:sz="4" w:space="0" w:color="BBBBBB"/>
              <w:left w:val="single" w:sz="4" w:space="0" w:color="BBBBBB"/>
              <w:bottom w:val="single" w:sz="4" w:space="0" w:color="BBBBBB"/>
              <w:right w:val="single" w:sz="4" w:space="0" w:color="BBBBBB"/>
            </w:tcBorders>
            <w:shd w:val="clear" w:color="auto" w:fill="EFEFEF"/>
            <w:tcMar>
              <w:top w:w="60" w:type="dxa"/>
              <w:left w:w="120" w:type="dxa"/>
              <w:bottom w:w="60" w:type="dxa"/>
              <w:right w:w="120" w:type="dxa"/>
            </w:tcMar>
          </w:tcPr>
          <w:p w14:paraId="7EB49B3C" w14:textId="77777777" w:rsidR="009D70DD" w:rsidRDefault="002E02A9">
            <w:r>
              <w:rPr>
                <w:b/>
                <w:bCs/>
                <w:sz w:val="21"/>
                <w:szCs w:val="21"/>
              </w:rPr>
              <w:t>Project title</w:t>
            </w:r>
          </w:p>
        </w:tc>
        <w:tc>
          <w:tcPr>
            <w:tcW w:w="6360" w:type="dxa"/>
            <w:tcBorders>
              <w:top w:val="single" w:sz="4" w:space="0" w:color="BBBBBB"/>
              <w:left w:val="single" w:sz="4" w:space="0" w:color="BBBBBB"/>
              <w:bottom w:val="single" w:sz="4" w:space="0" w:color="BBBBBB"/>
              <w:right w:val="single" w:sz="4" w:space="0" w:color="BBBBBB"/>
            </w:tcBorders>
            <w:tcMar>
              <w:top w:w="60" w:type="dxa"/>
              <w:left w:w="120" w:type="dxa"/>
              <w:bottom w:w="60" w:type="dxa"/>
              <w:right w:w="120" w:type="dxa"/>
            </w:tcMar>
          </w:tcPr>
          <w:p w14:paraId="7EB49B3D" w14:textId="77777777" w:rsidR="009D70DD" w:rsidRDefault="002E02A9">
            <w:r>
              <w:rPr>
                <w:sz w:val="21"/>
                <w:szCs w:val="21"/>
              </w:rPr>
              <w:t>Evaluating the impact of Gemini Guided Learning on science achievement in junior secondary classrooms in India</w:t>
            </w:r>
          </w:p>
        </w:tc>
      </w:tr>
      <w:tr w:rsidR="009D70DD" w14:paraId="7EB49B41" w14:textId="77777777">
        <w:tc>
          <w:tcPr>
            <w:tcW w:w="3000" w:type="dxa"/>
            <w:tcBorders>
              <w:top w:val="single" w:sz="4" w:space="0" w:color="BBBBBB"/>
              <w:left w:val="single" w:sz="4" w:space="0" w:color="BBBBBB"/>
              <w:bottom w:val="single" w:sz="4" w:space="0" w:color="BBBBBB"/>
              <w:right w:val="single" w:sz="4" w:space="0" w:color="BBBBBB"/>
            </w:tcBorders>
            <w:shd w:val="clear" w:color="auto" w:fill="EFEFEF"/>
            <w:tcMar>
              <w:top w:w="60" w:type="dxa"/>
              <w:left w:w="120" w:type="dxa"/>
              <w:bottom w:w="60" w:type="dxa"/>
              <w:right w:w="120" w:type="dxa"/>
            </w:tcMar>
          </w:tcPr>
          <w:p w14:paraId="7EB49B3F" w14:textId="77777777" w:rsidR="009D70DD" w:rsidRDefault="002E02A9">
            <w:r>
              <w:rPr>
                <w:b/>
                <w:bCs/>
                <w:sz w:val="21"/>
                <w:szCs w:val="21"/>
              </w:rPr>
              <w:t>Evaluator / research team</w:t>
            </w:r>
          </w:p>
        </w:tc>
        <w:tc>
          <w:tcPr>
            <w:tcW w:w="6360" w:type="dxa"/>
            <w:tcBorders>
              <w:top w:val="single" w:sz="4" w:space="0" w:color="BBBBBB"/>
              <w:left w:val="single" w:sz="4" w:space="0" w:color="BBBBBB"/>
              <w:bottom w:val="single" w:sz="4" w:space="0" w:color="BBBBBB"/>
              <w:right w:val="single" w:sz="4" w:space="0" w:color="BBBBBB"/>
            </w:tcBorders>
            <w:tcMar>
              <w:top w:w="60" w:type="dxa"/>
              <w:left w:w="120" w:type="dxa"/>
              <w:bottom w:w="60" w:type="dxa"/>
              <w:right w:w="120" w:type="dxa"/>
            </w:tcMar>
          </w:tcPr>
          <w:p w14:paraId="7EB49B40" w14:textId="77777777" w:rsidR="009D70DD" w:rsidRDefault="002E02A9">
            <w:r>
              <w:rPr>
                <w:sz w:val="21"/>
                <w:szCs w:val="21"/>
              </w:rPr>
              <w:t>Fab AI</w:t>
            </w:r>
          </w:p>
        </w:tc>
      </w:tr>
      <w:tr w:rsidR="009D70DD" w:rsidRPr="002920B7" w14:paraId="7EB49B44" w14:textId="77777777">
        <w:tc>
          <w:tcPr>
            <w:tcW w:w="3000" w:type="dxa"/>
            <w:tcBorders>
              <w:top w:val="single" w:sz="4" w:space="0" w:color="BBBBBB"/>
              <w:left w:val="single" w:sz="4" w:space="0" w:color="BBBBBB"/>
              <w:bottom w:val="single" w:sz="4" w:space="0" w:color="BBBBBB"/>
              <w:right w:val="single" w:sz="4" w:space="0" w:color="BBBBBB"/>
            </w:tcBorders>
            <w:shd w:val="clear" w:color="auto" w:fill="EFEFEF"/>
            <w:tcMar>
              <w:top w:w="60" w:type="dxa"/>
              <w:left w:w="120" w:type="dxa"/>
              <w:bottom w:w="60" w:type="dxa"/>
              <w:right w:w="120" w:type="dxa"/>
            </w:tcMar>
          </w:tcPr>
          <w:p w14:paraId="7EB49B42" w14:textId="77777777" w:rsidR="009D70DD" w:rsidRDefault="002E02A9">
            <w:r>
              <w:rPr>
                <w:b/>
                <w:bCs/>
                <w:sz w:val="21"/>
                <w:szCs w:val="21"/>
              </w:rPr>
              <w:t>Principal investigators</w:t>
            </w:r>
          </w:p>
        </w:tc>
        <w:tc>
          <w:tcPr>
            <w:tcW w:w="6360" w:type="dxa"/>
            <w:tcBorders>
              <w:top w:val="single" w:sz="4" w:space="0" w:color="BBBBBB"/>
              <w:left w:val="single" w:sz="4" w:space="0" w:color="BBBBBB"/>
              <w:bottom w:val="single" w:sz="4" w:space="0" w:color="BBBBBB"/>
              <w:right w:val="single" w:sz="4" w:space="0" w:color="BBBBBB"/>
            </w:tcBorders>
            <w:tcMar>
              <w:top w:w="60" w:type="dxa"/>
              <w:left w:w="120" w:type="dxa"/>
              <w:bottom w:w="60" w:type="dxa"/>
              <w:right w:w="120" w:type="dxa"/>
            </w:tcMar>
          </w:tcPr>
          <w:p w14:paraId="7EB49B43" w14:textId="46DBBA52" w:rsidR="009D70DD" w:rsidRPr="00260178" w:rsidRDefault="002E02A9">
            <w:pPr>
              <w:rPr>
                <w:lang w:val="es-419"/>
              </w:rPr>
            </w:pPr>
            <w:r w:rsidRPr="00260178">
              <w:rPr>
                <w:sz w:val="21"/>
                <w:szCs w:val="21"/>
                <w:lang w:val="es-419"/>
              </w:rPr>
              <w:t>Natalia Valdés Aspillaga; Usman Khawar; Ignacio Roman</w:t>
            </w:r>
          </w:p>
        </w:tc>
      </w:tr>
      <w:tr w:rsidR="009D70DD" w14:paraId="7EB49B47" w14:textId="77777777">
        <w:tc>
          <w:tcPr>
            <w:tcW w:w="3000" w:type="dxa"/>
            <w:tcBorders>
              <w:top w:val="single" w:sz="4" w:space="0" w:color="BBBBBB"/>
              <w:left w:val="single" w:sz="4" w:space="0" w:color="BBBBBB"/>
              <w:bottom w:val="single" w:sz="4" w:space="0" w:color="BBBBBB"/>
              <w:right w:val="single" w:sz="4" w:space="0" w:color="BBBBBB"/>
            </w:tcBorders>
            <w:shd w:val="clear" w:color="auto" w:fill="EFEFEF"/>
            <w:tcMar>
              <w:top w:w="60" w:type="dxa"/>
              <w:left w:w="120" w:type="dxa"/>
              <w:bottom w:w="60" w:type="dxa"/>
              <w:right w:w="120" w:type="dxa"/>
            </w:tcMar>
          </w:tcPr>
          <w:p w14:paraId="7EB49B45" w14:textId="77777777" w:rsidR="009D70DD" w:rsidRDefault="002E02A9">
            <w:r>
              <w:rPr>
                <w:b/>
                <w:bCs/>
                <w:sz w:val="21"/>
                <w:szCs w:val="21"/>
              </w:rPr>
              <w:t>Study collaborators</w:t>
            </w:r>
          </w:p>
        </w:tc>
        <w:tc>
          <w:tcPr>
            <w:tcW w:w="6360" w:type="dxa"/>
            <w:tcBorders>
              <w:top w:val="single" w:sz="4" w:space="0" w:color="BBBBBB"/>
              <w:left w:val="single" w:sz="4" w:space="0" w:color="BBBBBB"/>
              <w:bottom w:val="single" w:sz="4" w:space="0" w:color="BBBBBB"/>
              <w:right w:val="single" w:sz="4" w:space="0" w:color="BBBBBB"/>
            </w:tcBorders>
            <w:tcMar>
              <w:top w:w="60" w:type="dxa"/>
              <w:left w:w="120" w:type="dxa"/>
              <w:bottom w:w="60" w:type="dxa"/>
              <w:right w:w="120" w:type="dxa"/>
            </w:tcMar>
          </w:tcPr>
          <w:p w14:paraId="7EB49B46" w14:textId="77777777" w:rsidR="009D70DD" w:rsidRDefault="002E02A9">
            <w:r>
              <w:rPr>
                <w:sz w:val="21"/>
                <w:szCs w:val="21"/>
              </w:rPr>
              <w:t>Google DeepMind; City Montessori School (CMS); Centre for Science of Student Learning (CSSL)</w:t>
            </w:r>
          </w:p>
        </w:tc>
      </w:tr>
      <w:tr w:rsidR="009D70DD" w14:paraId="7EB49B4A" w14:textId="77777777">
        <w:tc>
          <w:tcPr>
            <w:tcW w:w="3000" w:type="dxa"/>
            <w:tcBorders>
              <w:top w:val="single" w:sz="4" w:space="0" w:color="BBBBBB"/>
              <w:left w:val="single" w:sz="4" w:space="0" w:color="BBBBBB"/>
              <w:bottom w:val="single" w:sz="4" w:space="0" w:color="BBBBBB"/>
              <w:right w:val="single" w:sz="4" w:space="0" w:color="BBBBBB"/>
            </w:tcBorders>
            <w:shd w:val="clear" w:color="auto" w:fill="EFEFEF"/>
            <w:tcMar>
              <w:top w:w="60" w:type="dxa"/>
              <w:left w:w="120" w:type="dxa"/>
              <w:bottom w:w="60" w:type="dxa"/>
              <w:right w:w="120" w:type="dxa"/>
            </w:tcMar>
          </w:tcPr>
          <w:p w14:paraId="7EB49B48" w14:textId="77777777" w:rsidR="009D70DD" w:rsidRDefault="002E02A9">
            <w:r>
              <w:rPr>
                <w:b/>
                <w:bCs/>
                <w:sz w:val="21"/>
                <w:szCs w:val="21"/>
              </w:rPr>
              <w:t>Trial design</w:t>
            </w:r>
          </w:p>
        </w:tc>
        <w:tc>
          <w:tcPr>
            <w:tcW w:w="6360" w:type="dxa"/>
            <w:tcBorders>
              <w:top w:val="single" w:sz="4" w:space="0" w:color="BBBBBB"/>
              <w:left w:val="single" w:sz="4" w:space="0" w:color="BBBBBB"/>
              <w:bottom w:val="single" w:sz="4" w:space="0" w:color="BBBBBB"/>
              <w:right w:val="single" w:sz="4" w:space="0" w:color="BBBBBB"/>
            </w:tcBorders>
            <w:tcMar>
              <w:top w:w="60" w:type="dxa"/>
              <w:left w:w="120" w:type="dxa"/>
              <w:bottom w:w="60" w:type="dxa"/>
              <w:right w:w="120" w:type="dxa"/>
            </w:tcMar>
          </w:tcPr>
          <w:p w14:paraId="7EB49B49" w14:textId="77777777" w:rsidR="009D70DD" w:rsidRDefault="002E02A9">
            <w:r>
              <w:rPr>
                <w:sz w:val="21"/>
                <w:szCs w:val="21"/>
              </w:rPr>
              <w:t>Two-arm cluster randomised controlled trial</w:t>
            </w:r>
          </w:p>
        </w:tc>
      </w:tr>
      <w:tr w:rsidR="009D70DD" w14:paraId="7EB49B4D" w14:textId="77777777">
        <w:tc>
          <w:tcPr>
            <w:tcW w:w="3000" w:type="dxa"/>
            <w:tcBorders>
              <w:top w:val="single" w:sz="4" w:space="0" w:color="BBBBBB"/>
              <w:left w:val="single" w:sz="4" w:space="0" w:color="BBBBBB"/>
              <w:bottom w:val="single" w:sz="4" w:space="0" w:color="BBBBBB"/>
              <w:right w:val="single" w:sz="4" w:space="0" w:color="BBBBBB"/>
            </w:tcBorders>
            <w:shd w:val="clear" w:color="auto" w:fill="EFEFEF"/>
            <w:tcMar>
              <w:top w:w="60" w:type="dxa"/>
              <w:left w:w="120" w:type="dxa"/>
              <w:bottom w:w="60" w:type="dxa"/>
              <w:right w:w="120" w:type="dxa"/>
            </w:tcMar>
          </w:tcPr>
          <w:p w14:paraId="7EB49B4B" w14:textId="77777777" w:rsidR="009D70DD" w:rsidRDefault="002E02A9">
            <w:r>
              <w:rPr>
                <w:b/>
                <w:bCs/>
                <w:sz w:val="21"/>
                <w:szCs w:val="21"/>
              </w:rPr>
              <w:t>Unit of randomisation</w:t>
            </w:r>
          </w:p>
        </w:tc>
        <w:tc>
          <w:tcPr>
            <w:tcW w:w="6360" w:type="dxa"/>
            <w:tcBorders>
              <w:top w:val="single" w:sz="4" w:space="0" w:color="BBBBBB"/>
              <w:left w:val="single" w:sz="4" w:space="0" w:color="BBBBBB"/>
              <w:bottom w:val="single" w:sz="4" w:space="0" w:color="BBBBBB"/>
              <w:right w:val="single" w:sz="4" w:space="0" w:color="BBBBBB"/>
            </w:tcBorders>
            <w:tcMar>
              <w:top w:w="60" w:type="dxa"/>
              <w:left w:w="120" w:type="dxa"/>
              <w:bottom w:w="60" w:type="dxa"/>
              <w:right w:w="120" w:type="dxa"/>
            </w:tcMar>
          </w:tcPr>
          <w:p w14:paraId="7EB49B4C" w14:textId="77777777" w:rsidR="009D70DD" w:rsidRDefault="002E02A9">
            <w:r>
              <w:rPr>
                <w:sz w:val="21"/>
                <w:szCs w:val="21"/>
              </w:rPr>
              <w:t>Classroom</w:t>
            </w:r>
          </w:p>
        </w:tc>
      </w:tr>
      <w:tr w:rsidR="009D70DD" w14:paraId="7EB49B50" w14:textId="77777777">
        <w:tc>
          <w:tcPr>
            <w:tcW w:w="3000" w:type="dxa"/>
            <w:tcBorders>
              <w:top w:val="single" w:sz="4" w:space="0" w:color="BBBBBB"/>
              <w:left w:val="single" w:sz="4" w:space="0" w:color="BBBBBB"/>
              <w:bottom w:val="single" w:sz="4" w:space="0" w:color="BBBBBB"/>
              <w:right w:val="single" w:sz="4" w:space="0" w:color="BBBBBB"/>
            </w:tcBorders>
            <w:shd w:val="clear" w:color="auto" w:fill="EFEFEF"/>
            <w:tcMar>
              <w:top w:w="60" w:type="dxa"/>
              <w:left w:w="120" w:type="dxa"/>
              <w:bottom w:w="60" w:type="dxa"/>
              <w:right w:w="120" w:type="dxa"/>
            </w:tcMar>
          </w:tcPr>
          <w:p w14:paraId="7EB49B4E" w14:textId="77777777" w:rsidR="009D70DD" w:rsidRDefault="002E02A9">
            <w:r>
              <w:rPr>
                <w:b/>
                <w:bCs/>
                <w:sz w:val="21"/>
                <w:szCs w:val="21"/>
              </w:rPr>
              <w:t>Unit of analysis</w:t>
            </w:r>
          </w:p>
        </w:tc>
        <w:tc>
          <w:tcPr>
            <w:tcW w:w="6360" w:type="dxa"/>
            <w:tcBorders>
              <w:top w:val="single" w:sz="4" w:space="0" w:color="BBBBBB"/>
              <w:left w:val="single" w:sz="4" w:space="0" w:color="BBBBBB"/>
              <w:bottom w:val="single" w:sz="4" w:space="0" w:color="BBBBBB"/>
              <w:right w:val="single" w:sz="4" w:space="0" w:color="BBBBBB"/>
            </w:tcBorders>
            <w:tcMar>
              <w:top w:w="60" w:type="dxa"/>
              <w:left w:w="120" w:type="dxa"/>
              <w:bottom w:w="60" w:type="dxa"/>
              <w:right w:w="120" w:type="dxa"/>
            </w:tcMar>
          </w:tcPr>
          <w:p w14:paraId="7EB49B4F" w14:textId="77777777" w:rsidR="009D70DD" w:rsidRDefault="002E02A9">
            <w:r>
              <w:rPr>
                <w:sz w:val="21"/>
                <w:szCs w:val="21"/>
              </w:rPr>
              <w:t>Student</w:t>
            </w:r>
          </w:p>
        </w:tc>
      </w:tr>
      <w:tr w:rsidR="009D70DD" w14:paraId="7EB49B53" w14:textId="77777777">
        <w:tc>
          <w:tcPr>
            <w:tcW w:w="3000" w:type="dxa"/>
            <w:tcBorders>
              <w:top w:val="single" w:sz="4" w:space="0" w:color="BBBBBB"/>
              <w:left w:val="single" w:sz="4" w:space="0" w:color="BBBBBB"/>
              <w:bottom w:val="single" w:sz="4" w:space="0" w:color="BBBBBB"/>
              <w:right w:val="single" w:sz="4" w:space="0" w:color="BBBBBB"/>
            </w:tcBorders>
            <w:shd w:val="clear" w:color="auto" w:fill="EFEFEF"/>
            <w:tcMar>
              <w:top w:w="60" w:type="dxa"/>
              <w:left w:w="120" w:type="dxa"/>
              <w:bottom w:w="60" w:type="dxa"/>
              <w:right w:w="120" w:type="dxa"/>
            </w:tcMar>
          </w:tcPr>
          <w:p w14:paraId="7EB49B51" w14:textId="77777777" w:rsidR="009D70DD" w:rsidRDefault="002E02A9">
            <w:r>
              <w:rPr>
                <w:b/>
                <w:bCs/>
                <w:sz w:val="21"/>
                <w:szCs w:val="21"/>
              </w:rPr>
              <w:t>Blocking / stratification</w:t>
            </w:r>
          </w:p>
        </w:tc>
        <w:tc>
          <w:tcPr>
            <w:tcW w:w="6360" w:type="dxa"/>
            <w:tcBorders>
              <w:top w:val="single" w:sz="4" w:space="0" w:color="BBBBBB"/>
              <w:left w:val="single" w:sz="4" w:space="0" w:color="BBBBBB"/>
              <w:bottom w:val="single" w:sz="4" w:space="0" w:color="BBBBBB"/>
              <w:right w:val="single" w:sz="4" w:space="0" w:color="BBBBBB"/>
            </w:tcBorders>
            <w:tcMar>
              <w:top w:w="60" w:type="dxa"/>
              <w:left w:w="120" w:type="dxa"/>
              <w:bottom w:w="60" w:type="dxa"/>
              <w:right w:w="120" w:type="dxa"/>
            </w:tcMar>
          </w:tcPr>
          <w:p w14:paraId="7EB49B52" w14:textId="77777777" w:rsidR="009D70DD" w:rsidRDefault="002E02A9">
            <w:r>
              <w:rPr>
                <w:sz w:val="21"/>
                <w:szCs w:val="21"/>
              </w:rPr>
              <w:t>School (campus) × grade</w:t>
            </w:r>
          </w:p>
        </w:tc>
      </w:tr>
      <w:tr w:rsidR="009D70DD" w14:paraId="7EB49B56" w14:textId="77777777">
        <w:tc>
          <w:tcPr>
            <w:tcW w:w="3000" w:type="dxa"/>
            <w:tcBorders>
              <w:top w:val="single" w:sz="4" w:space="0" w:color="BBBBBB"/>
              <w:left w:val="single" w:sz="4" w:space="0" w:color="BBBBBB"/>
              <w:bottom w:val="single" w:sz="4" w:space="0" w:color="BBBBBB"/>
              <w:right w:val="single" w:sz="4" w:space="0" w:color="BBBBBB"/>
            </w:tcBorders>
            <w:shd w:val="clear" w:color="auto" w:fill="EFEFEF"/>
            <w:tcMar>
              <w:top w:w="60" w:type="dxa"/>
              <w:left w:w="120" w:type="dxa"/>
              <w:bottom w:w="60" w:type="dxa"/>
              <w:right w:w="120" w:type="dxa"/>
            </w:tcMar>
          </w:tcPr>
          <w:p w14:paraId="7EB49B54" w14:textId="77777777" w:rsidR="009D70DD" w:rsidRDefault="002E02A9">
            <w:r>
              <w:rPr>
                <w:b/>
                <w:bCs/>
                <w:sz w:val="21"/>
                <w:szCs w:val="21"/>
              </w:rPr>
              <w:t>Target population</w:t>
            </w:r>
          </w:p>
        </w:tc>
        <w:tc>
          <w:tcPr>
            <w:tcW w:w="6360" w:type="dxa"/>
            <w:tcBorders>
              <w:top w:val="single" w:sz="4" w:space="0" w:color="BBBBBB"/>
              <w:left w:val="single" w:sz="4" w:space="0" w:color="BBBBBB"/>
              <w:bottom w:val="single" w:sz="4" w:space="0" w:color="BBBBBB"/>
              <w:right w:val="single" w:sz="4" w:space="0" w:color="BBBBBB"/>
            </w:tcBorders>
            <w:tcMar>
              <w:top w:w="60" w:type="dxa"/>
              <w:left w:w="120" w:type="dxa"/>
              <w:bottom w:w="60" w:type="dxa"/>
              <w:right w:w="120" w:type="dxa"/>
            </w:tcMar>
          </w:tcPr>
          <w:p w14:paraId="7EB49B55" w14:textId="77777777" w:rsidR="009D70DD" w:rsidRDefault="002E02A9">
            <w:r>
              <w:rPr>
                <w:sz w:val="21"/>
                <w:szCs w:val="21"/>
              </w:rPr>
              <w:t>Grade 6, 7 and 8 students across CMS campuses (Lucknow), restricted to students aged 10 or older (eligible for Gemini use)</w:t>
            </w:r>
          </w:p>
        </w:tc>
      </w:tr>
      <w:tr w:rsidR="009D70DD" w14:paraId="7EB49B59" w14:textId="77777777">
        <w:tc>
          <w:tcPr>
            <w:tcW w:w="3000" w:type="dxa"/>
            <w:tcBorders>
              <w:top w:val="single" w:sz="4" w:space="0" w:color="BBBBBB"/>
              <w:left w:val="single" w:sz="4" w:space="0" w:color="BBBBBB"/>
              <w:bottom w:val="single" w:sz="4" w:space="0" w:color="BBBBBB"/>
              <w:right w:val="single" w:sz="4" w:space="0" w:color="BBBBBB"/>
            </w:tcBorders>
            <w:shd w:val="clear" w:color="auto" w:fill="EFEFEF"/>
            <w:tcMar>
              <w:top w:w="60" w:type="dxa"/>
              <w:left w:w="120" w:type="dxa"/>
              <w:bottom w:w="60" w:type="dxa"/>
              <w:right w:w="120" w:type="dxa"/>
            </w:tcMar>
          </w:tcPr>
          <w:p w14:paraId="7EB49B57" w14:textId="77777777" w:rsidR="009D70DD" w:rsidRDefault="002E02A9">
            <w:r>
              <w:rPr>
                <w:b/>
                <w:bCs/>
                <w:sz w:val="21"/>
                <w:szCs w:val="21"/>
              </w:rPr>
              <w:t>Number of schools</w:t>
            </w:r>
          </w:p>
        </w:tc>
        <w:tc>
          <w:tcPr>
            <w:tcW w:w="6360" w:type="dxa"/>
            <w:tcBorders>
              <w:top w:val="single" w:sz="4" w:space="0" w:color="BBBBBB"/>
              <w:left w:val="single" w:sz="4" w:space="0" w:color="BBBBBB"/>
              <w:bottom w:val="single" w:sz="4" w:space="0" w:color="BBBBBB"/>
              <w:right w:val="single" w:sz="4" w:space="0" w:color="BBBBBB"/>
            </w:tcBorders>
            <w:tcMar>
              <w:top w:w="60" w:type="dxa"/>
              <w:left w:w="120" w:type="dxa"/>
              <w:bottom w:w="60" w:type="dxa"/>
              <w:right w:w="120" w:type="dxa"/>
            </w:tcMar>
          </w:tcPr>
          <w:p w14:paraId="7EB49B58" w14:textId="77777777" w:rsidR="009D70DD" w:rsidRDefault="002E02A9">
            <w:r>
              <w:rPr>
                <w:sz w:val="21"/>
                <w:szCs w:val="21"/>
              </w:rPr>
              <w:t>16 CMS campuses</w:t>
            </w:r>
          </w:p>
        </w:tc>
      </w:tr>
      <w:tr w:rsidR="009D70DD" w14:paraId="7EB49B5C" w14:textId="77777777">
        <w:tc>
          <w:tcPr>
            <w:tcW w:w="3000" w:type="dxa"/>
            <w:tcBorders>
              <w:top w:val="single" w:sz="4" w:space="0" w:color="BBBBBB"/>
              <w:left w:val="single" w:sz="4" w:space="0" w:color="BBBBBB"/>
              <w:bottom w:val="single" w:sz="4" w:space="0" w:color="BBBBBB"/>
              <w:right w:val="single" w:sz="4" w:space="0" w:color="BBBBBB"/>
            </w:tcBorders>
            <w:shd w:val="clear" w:color="auto" w:fill="EFEFEF"/>
            <w:tcMar>
              <w:top w:w="60" w:type="dxa"/>
              <w:left w:w="120" w:type="dxa"/>
              <w:bottom w:w="60" w:type="dxa"/>
              <w:right w:w="120" w:type="dxa"/>
            </w:tcMar>
          </w:tcPr>
          <w:p w14:paraId="7EB49B5A" w14:textId="77777777" w:rsidR="009D70DD" w:rsidRDefault="002E02A9">
            <w:r>
              <w:rPr>
                <w:b/>
                <w:bCs/>
                <w:sz w:val="21"/>
                <w:szCs w:val="21"/>
              </w:rPr>
              <w:t>Number of clusters</w:t>
            </w:r>
          </w:p>
        </w:tc>
        <w:tc>
          <w:tcPr>
            <w:tcW w:w="6360" w:type="dxa"/>
            <w:tcBorders>
              <w:top w:val="single" w:sz="4" w:space="0" w:color="BBBBBB"/>
              <w:left w:val="single" w:sz="4" w:space="0" w:color="BBBBBB"/>
              <w:bottom w:val="single" w:sz="4" w:space="0" w:color="BBBBBB"/>
              <w:right w:val="single" w:sz="4" w:space="0" w:color="BBBBBB"/>
            </w:tcBorders>
            <w:tcMar>
              <w:top w:w="60" w:type="dxa"/>
              <w:left w:w="120" w:type="dxa"/>
              <w:bottom w:w="60" w:type="dxa"/>
              <w:right w:w="120" w:type="dxa"/>
            </w:tcMar>
          </w:tcPr>
          <w:p w14:paraId="7EB49B5B" w14:textId="77777777" w:rsidR="009D70DD" w:rsidRDefault="002E02A9">
            <w:r>
              <w:rPr>
                <w:sz w:val="21"/>
                <w:szCs w:val="21"/>
              </w:rPr>
              <w:t>240 classrooms (71 in Grade 6, 83 in Grade 7, 86 in Grade 8)</w:t>
            </w:r>
          </w:p>
        </w:tc>
      </w:tr>
      <w:tr w:rsidR="009D70DD" w14:paraId="7EB49B5F" w14:textId="77777777">
        <w:tc>
          <w:tcPr>
            <w:tcW w:w="3000" w:type="dxa"/>
            <w:tcBorders>
              <w:top w:val="single" w:sz="4" w:space="0" w:color="BBBBBB"/>
              <w:left w:val="single" w:sz="4" w:space="0" w:color="BBBBBB"/>
              <w:bottom w:val="single" w:sz="4" w:space="0" w:color="BBBBBB"/>
              <w:right w:val="single" w:sz="4" w:space="0" w:color="BBBBBB"/>
            </w:tcBorders>
            <w:shd w:val="clear" w:color="auto" w:fill="EFEFEF"/>
            <w:tcMar>
              <w:top w:w="60" w:type="dxa"/>
              <w:left w:w="120" w:type="dxa"/>
              <w:bottom w:w="60" w:type="dxa"/>
              <w:right w:w="120" w:type="dxa"/>
            </w:tcMar>
          </w:tcPr>
          <w:p w14:paraId="7EB49B5D" w14:textId="77777777" w:rsidR="009D70DD" w:rsidRDefault="002E02A9">
            <w:r>
              <w:rPr>
                <w:b/>
                <w:bCs/>
                <w:sz w:val="21"/>
                <w:szCs w:val="21"/>
              </w:rPr>
              <w:t>Approximate sample size</w:t>
            </w:r>
          </w:p>
        </w:tc>
        <w:tc>
          <w:tcPr>
            <w:tcW w:w="6360" w:type="dxa"/>
            <w:tcBorders>
              <w:top w:val="single" w:sz="4" w:space="0" w:color="BBBBBB"/>
              <w:left w:val="single" w:sz="4" w:space="0" w:color="BBBBBB"/>
              <w:bottom w:val="single" w:sz="4" w:space="0" w:color="BBBBBB"/>
              <w:right w:val="single" w:sz="4" w:space="0" w:color="BBBBBB"/>
            </w:tcBorders>
            <w:tcMar>
              <w:top w:w="60" w:type="dxa"/>
              <w:left w:w="120" w:type="dxa"/>
              <w:bottom w:w="60" w:type="dxa"/>
              <w:right w:w="120" w:type="dxa"/>
            </w:tcMar>
          </w:tcPr>
          <w:p w14:paraId="7EB49B5E" w14:textId="46781267" w:rsidR="009D70DD" w:rsidRDefault="00822FDF">
            <w:r>
              <w:rPr>
                <w:sz w:val="21"/>
                <w:szCs w:val="21"/>
              </w:rPr>
              <w:t>9,000</w:t>
            </w:r>
            <w:r w:rsidR="002E02A9">
              <w:rPr>
                <w:sz w:val="21"/>
                <w:szCs w:val="21"/>
              </w:rPr>
              <w:t xml:space="preserve"> students</w:t>
            </w:r>
          </w:p>
        </w:tc>
      </w:tr>
      <w:tr w:rsidR="009D70DD" w14:paraId="7EB49B62" w14:textId="77777777">
        <w:tc>
          <w:tcPr>
            <w:tcW w:w="3000" w:type="dxa"/>
            <w:tcBorders>
              <w:top w:val="single" w:sz="4" w:space="0" w:color="BBBBBB"/>
              <w:left w:val="single" w:sz="4" w:space="0" w:color="BBBBBB"/>
              <w:bottom w:val="single" w:sz="4" w:space="0" w:color="BBBBBB"/>
              <w:right w:val="single" w:sz="4" w:space="0" w:color="BBBBBB"/>
            </w:tcBorders>
            <w:shd w:val="clear" w:color="auto" w:fill="EFEFEF"/>
            <w:tcMar>
              <w:top w:w="60" w:type="dxa"/>
              <w:left w:w="120" w:type="dxa"/>
              <w:bottom w:w="60" w:type="dxa"/>
              <w:right w:w="120" w:type="dxa"/>
            </w:tcMar>
          </w:tcPr>
          <w:p w14:paraId="7EB49B60" w14:textId="77777777" w:rsidR="009D70DD" w:rsidRDefault="002E02A9">
            <w:r>
              <w:rPr>
                <w:b/>
                <w:bCs/>
                <w:sz w:val="21"/>
                <w:szCs w:val="21"/>
              </w:rPr>
              <w:t>Primary outcome</w:t>
            </w:r>
          </w:p>
        </w:tc>
        <w:tc>
          <w:tcPr>
            <w:tcW w:w="6360" w:type="dxa"/>
            <w:tcBorders>
              <w:top w:val="single" w:sz="4" w:space="0" w:color="BBBBBB"/>
              <w:left w:val="single" w:sz="4" w:space="0" w:color="BBBBBB"/>
              <w:bottom w:val="single" w:sz="4" w:space="0" w:color="BBBBBB"/>
              <w:right w:val="single" w:sz="4" w:space="0" w:color="BBBBBB"/>
            </w:tcBorders>
            <w:tcMar>
              <w:top w:w="60" w:type="dxa"/>
              <w:left w:w="120" w:type="dxa"/>
              <w:bottom w:w="60" w:type="dxa"/>
              <w:right w:w="120" w:type="dxa"/>
            </w:tcMar>
          </w:tcPr>
          <w:p w14:paraId="7EB49B61" w14:textId="77777777" w:rsidR="009D70DD" w:rsidRDefault="002E02A9">
            <w:r>
              <w:rPr>
                <w:sz w:val="21"/>
                <w:szCs w:val="21"/>
              </w:rPr>
              <w:t>Endline science achievement (Physics and Chemistry), measured using a CSSL-developed standardised assessment</w:t>
            </w:r>
          </w:p>
        </w:tc>
      </w:tr>
      <w:tr w:rsidR="009D70DD" w14:paraId="7EB49B65" w14:textId="77777777">
        <w:tc>
          <w:tcPr>
            <w:tcW w:w="3000" w:type="dxa"/>
            <w:tcBorders>
              <w:top w:val="single" w:sz="4" w:space="0" w:color="BBBBBB"/>
              <w:left w:val="single" w:sz="4" w:space="0" w:color="BBBBBB"/>
              <w:bottom w:val="single" w:sz="4" w:space="0" w:color="BBBBBB"/>
              <w:right w:val="single" w:sz="4" w:space="0" w:color="BBBBBB"/>
            </w:tcBorders>
            <w:shd w:val="clear" w:color="auto" w:fill="EFEFEF"/>
            <w:tcMar>
              <w:top w:w="60" w:type="dxa"/>
              <w:left w:w="120" w:type="dxa"/>
              <w:bottom w:w="60" w:type="dxa"/>
              <w:right w:w="120" w:type="dxa"/>
            </w:tcMar>
          </w:tcPr>
          <w:p w14:paraId="7EB49B63" w14:textId="77777777" w:rsidR="009D70DD" w:rsidRDefault="002E02A9">
            <w:r>
              <w:rPr>
                <w:b/>
                <w:bCs/>
                <w:sz w:val="21"/>
                <w:szCs w:val="21"/>
              </w:rPr>
              <w:lastRenderedPageBreak/>
              <w:t xml:space="preserve">Primary </w:t>
            </w:r>
            <w:proofErr w:type="spellStart"/>
            <w:r>
              <w:rPr>
                <w:b/>
                <w:bCs/>
                <w:sz w:val="21"/>
                <w:szCs w:val="21"/>
              </w:rPr>
              <w:t>estimand</w:t>
            </w:r>
            <w:proofErr w:type="spellEnd"/>
          </w:p>
        </w:tc>
        <w:tc>
          <w:tcPr>
            <w:tcW w:w="6360" w:type="dxa"/>
            <w:tcBorders>
              <w:top w:val="single" w:sz="4" w:space="0" w:color="BBBBBB"/>
              <w:left w:val="single" w:sz="4" w:space="0" w:color="BBBBBB"/>
              <w:bottom w:val="single" w:sz="4" w:space="0" w:color="BBBBBB"/>
              <w:right w:val="single" w:sz="4" w:space="0" w:color="BBBBBB"/>
            </w:tcBorders>
            <w:tcMar>
              <w:top w:w="60" w:type="dxa"/>
              <w:left w:w="120" w:type="dxa"/>
              <w:bottom w:w="60" w:type="dxa"/>
              <w:right w:w="120" w:type="dxa"/>
            </w:tcMar>
          </w:tcPr>
          <w:p w14:paraId="7EB49B64" w14:textId="77777777" w:rsidR="009D70DD" w:rsidRDefault="002E02A9">
            <w:r>
              <w:rPr>
                <w:sz w:val="21"/>
                <w:szCs w:val="21"/>
              </w:rPr>
              <w:t>Intention-to-treat (ITT) effect of classroom assignment to Gemini Guided Learning</w:t>
            </w:r>
          </w:p>
        </w:tc>
      </w:tr>
      <w:tr w:rsidR="009D70DD" w14:paraId="7EB49B68" w14:textId="77777777">
        <w:tc>
          <w:tcPr>
            <w:tcW w:w="3000" w:type="dxa"/>
            <w:tcBorders>
              <w:top w:val="single" w:sz="4" w:space="0" w:color="BBBBBB"/>
              <w:left w:val="single" w:sz="4" w:space="0" w:color="BBBBBB"/>
              <w:bottom w:val="single" w:sz="4" w:space="0" w:color="BBBBBB"/>
              <w:right w:val="single" w:sz="4" w:space="0" w:color="BBBBBB"/>
            </w:tcBorders>
            <w:shd w:val="clear" w:color="auto" w:fill="EFEFEF"/>
            <w:tcMar>
              <w:top w:w="60" w:type="dxa"/>
              <w:left w:w="120" w:type="dxa"/>
              <w:bottom w:w="60" w:type="dxa"/>
              <w:right w:w="120" w:type="dxa"/>
            </w:tcMar>
          </w:tcPr>
          <w:p w14:paraId="7EB49B66" w14:textId="77777777" w:rsidR="009D70DD" w:rsidRDefault="002E02A9">
            <w:r>
              <w:rPr>
                <w:b/>
                <w:bCs/>
                <w:sz w:val="21"/>
                <w:szCs w:val="21"/>
              </w:rPr>
              <w:t xml:space="preserve">Secondary / exploratory </w:t>
            </w:r>
            <w:proofErr w:type="spellStart"/>
            <w:r>
              <w:rPr>
                <w:b/>
                <w:bCs/>
                <w:sz w:val="21"/>
                <w:szCs w:val="21"/>
              </w:rPr>
              <w:t>estimands</w:t>
            </w:r>
            <w:proofErr w:type="spellEnd"/>
          </w:p>
        </w:tc>
        <w:tc>
          <w:tcPr>
            <w:tcW w:w="6360" w:type="dxa"/>
            <w:tcBorders>
              <w:top w:val="single" w:sz="4" w:space="0" w:color="BBBBBB"/>
              <w:left w:val="single" w:sz="4" w:space="0" w:color="BBBBBB"/>
              <w:bottom w:val="single" w:sz="4" w:space="0" w:color="BBBBBB"/>
              <w:right w:val="single" w:sz="4" w:space="0" w:color="BBBBBB"/>
            </w:tcBorders>
            <w:tcMar>
              <w:top w:w="60" w:type="dxa"/>
              <w:left w:w="120" w:type="dxa"/>
              <w:bottom w:w="60" w:type="dxa"/>
              <w:right w:w="120" w:type="dxa"/>
            </w:tcMar>
          </w:tcPr>
          <w:p w14:paraId="7EB49B67" w14:textId="77777777" w:rsidR="009D70DD" w:rsidRDefault="002E02A9">
            <w:r>
              <w:rPr>
                <w:sz w:val="21"/>
                <w:szCs w:val="21"/>
              </w:rPr>
              <w:t>Treatment-on-the-treated and dosage effects; heterogeneity analysis</w:t>
            </w:r>
          </w:p>
        </w:tc>
      </w:tr>
    </w:tbl>
    <w:p w14:paraId="7EB49B69" w14:textId="77777777" w:rsidR="009D70DD" w:rsidRDefault="009D70DD">
      <w:pPr>
        <w:spacing w:after="160" w:line="276" w:lineRule="auto"/>
      </w:pPr>
    </w:p>
    <w:p w14:paraId="7EB49B6A" w14:textId="77777777" w:rsidR="009D70DD" w:rsidRDefault="002E02A9">
      <w:pPr>
        <w:pStyle w:val="Heading1"/>
      </w:pPr>
      <w:r>
        <w:t>Pre-Analysis Plan Commitments</w:t>
      </w:r>
    </w:p>
    <w:p w14:paraId="7EB49B6B" w14:textId="77777777" w:rsidR="009D70DD" w:rsidRDefault="002E02A9">
      <w:pPr>
        <w:spacing w:after="160" w:line="276" w:lineRule="auto"/>
      </w:pPr>
      <w:r>
        <w:t xml:space="preserve">This pre-analysis plan will be finalised before access to </w:t>
      </w:r>
      <w:sdt>
        <w:sdtPr>
          <w:tag w:val="goog_rdk_7"/>
          <w:id w:val="1454649360"/>
        </w:sdtPr>
        <w:sdtContent/>
      </w:sdt>
      <w:r>
        <w:t xml:space="preserve">baseline or endline data and before any impact analysis is conducted. Outcome construction, psychometric scaling, </w:t>
      </w:r>
      <w:proofErr w:type="spellStart"/>
      <w:r>
        <w:t>estimands</w:t>
      </w:r>
      <w:proofErr w:type="spellEnd"/>
      <w:r>
        <w:t>, model specifications, and decision rules for robustness and heterogeneity analyses are specified ex ante. Any deviations from this plan will be explicitly documented and justified in the final report.</w:t>
      </w:r>
    </w:p>
    <w:p w14:paraId="7EB49B6C" w14:textId="77777777" w:rsidR="009D70DD" w:rsidRDefault="002E02A9">
      <w:pPr>
        <w:spacing w:after="160" w:line="276" w:lineRule="auto"/>
      </w:pPr>
      <w:r>
        <w:t>Randomisation is conducted before the start of the intervention and after the final classroom rosters are confirmed. The randomisation seed, assignment code, and school-by-grade classroom rosters used for assignment will be archived for reproducibility.</w:t>
      </w:r>
    </w:p>
    <w:p w14:paraId="7EB49B6D" w14:textId="77777777" w:rsidR="009D70DD" w:rsidRDefault="002E02A9">
      <w:pPr>
        <w:pStyle w:val="Heading1"/>
      </w:pPr>
      <w:r>
        <w:t>Trial Aim</w:t>
      </w:r>
    </w:p>
    <w:p w14:paraId="7EB49B6E" w14:textId="77777777" w:rsidR="009D70DD" w:rsidRDefault="002E02A9">
      <w:pPr>
        <w:spacing w:after="160" w:line="276" w:lineRule="auto"/>
      </w:pPr>
      <w:r>
        <w:t>The primary aim of the trial is to estimate the causal effect of classroom-level assignment to Gemini Guided Learning on students’ science achievement over an academic term.</w:t>
      </w:r>
    </w:p>
    <w:p w14:paraId="7EB49B6F" w14:textId="77777777" w:rsidR="009D70DD" w:rsidRDefault="002E02A9">
      <w:pPr>
        <w:spacing w:after="160" w:line="276" w:lineRule="auto"/>
      </w:pPr>
      <w:r>
        <w:t xml:space="preserve">The main analysis will estimate the intention-to-treat effect of classroom assignment to Gemini Guided Learning. As a secondary analysis, the study will also estimate treatment-on-the-treated and dosage-based effects. These analyses will examine the effect of fulfilling the intended dosage of the trial and the effect of each additional hour of exposure to Gemini-supported instruction. Because actual exposure is not randomly assigned at the student level, dosage-based estimates will be interpreted as local average treatment effects for students whose exposure changes </w:t>
      </w:r>
      <w:proofErr w:type="gramStart"/>
      <w:r>
        <w:t>as a result of</w:t>
      </w:r>
      <w:proofErr w:type="gramEnd"/>
      <w:r>
        <w:t xml:space="preserve"> classroom assignment.</w:t>
      </w:r>
    </w:p>
    <w:p w14:paraId="7EB49B70" w14:textId="77777777" w:rsidR="009D70DD" w:rsidRDefault="002E02A9">
      <w:pPr>
        <w:pStyle w:val="Heading1"/>
      </w:pPr>
      <w:r>
        <w:t>Hypotheses</w:t>
      </w:r>
    </w:p>
    <w:p w14:paraId="7EB49B71" w14:textId="77777777" w:rsidR="009D70DD" w:rsidRDefault="002E02A9">
      <w:pPr>
        <w:spacing w:after="160" w:line="276" w:lineRule="auto"/>
      </w:pPr>
      <w:r>
        <w:t>The primary hypothesis is that students assigned to classrooms implementing Gemini Guided Learning will demonstrate higher science achievement at endline than students assigned to control classrooms receiving business-as-usual instruction, after adjusting for baseline achievement.</w:t>
      </w:r>
    </w:p>
    <w:p w14:paraId="7EB49B72" w14:textId="77777777" w:rsidR="009D70DD" w:rsidRDefault="002E02A9">
      <w:pPr>
        <w:spacing w:after="160" w:line="276" w:lineRule="auto"/>
      </w:pPr>
      <w:r>
        <w:t>An additional secondary hypothesis is that the impact of Gemini Guided Learning on science achievement varies by baseline achievement. We are particularly interested in whether lower-performing students benefit, and the direction of this heterogeneity is therefore not imposed ex ante.</w:t>
      </w:r>
    </w:p>
    <w:p w14:paraId="7EB49B73" w14:textId="77777777" w:rsidR="009D70DD" w:rsidRDefault="002E02A9">
      <w:pPr>
        <w:spacing w:after="160" w:line="276" w:lineRule="auto"/>
      </w:pPr>
      <w:r>
        <w:t>An exploratory hypothesis is that greater exposure to Gemini Guided Learning is associated with larger learning gains.</w:t>
      </w:r>
    </w:p>
    <w:p w14:paraId="7EB49B74" w14:textId="77777777" w:rsidR="009D70DD" w:rsidRDefault="002E02A9">
      <w:pPr>
        <w:pStyle w:val="Heading1"/>
      </w:pPr>
      <w:r>
        <w:t>Randomisation</w:t>
      </w:r>
    </w:p>
    <w:p w14:paraId="7EB49B75" w14:textId="7E2C9F71" w:rsidR="009D70DD" w:rsidRDefault="002E02A9">
      <w:pPr>
        <w:spacing w:after="160" w:line="276" w:lineRule="auto"/>
      </w:pPr>
      <w:r>
        <w:lastRenderedPageBreak/>
        <w:t xml:space="preserve">Randomisation is conducted at the classroom level across 240 classrooms in 16 CMS campuses, with an expected sample of approximately </w:t>
      </w:r>
      <w:r w:rsidR="000777D5">
        <w:t>9,000</w:t>
      </w:r>
      <w:r>
        <w:t xml:space="preserve"> students. Assignment is stratified by school (campus) and grade. Within each school × grade stratum, eligible classrooms are randomly assigned to treatment or control</w:t>
      </w:r>
      <w:r w:rsidR="003F3312">
        <w:t>. In most schools this targets a 50/50 allocation. In three larger schools (</w:t>
      </w:r>
      <w:proofErr w:type="spellStart"/>
      <w:r w:rsidR="003F3312">
        <w:t>Aliganj</w:t>
      </w:r>
      <w:proofErr w:type="spellEnd"/>
      <w:r w:rsidR="003F3312">
        <w:t xml:space="preserve"> I, Gomti Nagar I and Kanpur Road) classrooms are assigned in a 40/60 ratio, with 40% treated and 60% control, because these schools did not have the device and computer lab capacity to support a larger number of treatment classrooms. This results in 112 treatment and 128 control classrooms overall.</w:t>
      </w:r>
      <w:r w:rsidR="00D44E6D">
        <w:t xml:space="preserve"> </w:t>
      </w:r>
      <w:r>
        <w:t xml:space="preserve">The randomisation seed, assignment code, and classroom rosters are archived for reproducibility. Randomisation is completed after baseline data collection and before the start of the intervention. </w:t>
      </w:r>
    </w:p>
    <w:p w14:paraId="7EB49B76" w14:textId="77777777" w:rsidR="009D70DD" w:rsidRDefault="002E02A9">
      <w:pPr>
        <w:pStyle w:val="Heading1"/>
      </w:pPr>
      <w:r>
        <w:t>Ethics and Consent</w:t>
      </w:r>
    </w:p>
    <w:p w14:paraId="7EB49B77" w14:textId="4397EADA" w:rsidR="009D70DD" w:rsidRDefault="002E02A9">
      <w:pPr>
        <w:spacing w:after="160" w:line="276" w:lineRule="auto"/>
      </w:pPr>
      <w:r>
        <w:t>The overall study protocol received approval from the Human Behavioural Research Ethics Committee on 13 Oct 2025 (reference #25 00</w:t>
      </w:r>
      <w:r w:rsidR="00260178">
        <w:t>6</w:t>
      </w:r>
      <w:r>
        <w:t>). The amendment covering the India trial was approved on 26 March 2026 (reference #25 00</w:t>
      </w:r>
      <w:r w:rsidR="00260178">
        <w:t>6</w:t>
      </w:r>
      <w:r>
        <w:t>/A3).</w:t>
      </w:r>
    </w:p>
    <w:p w14:paraId="7EB49B78" w14:textId="77777777" w:rsidR="009D70DD" w:rsidRDefault="002E02A9">
      <w:pPr>
        <w:spacing w:after="160" w:line="276" w:lineRule="auto"/>
      </w:pPr>
      <w:r>
        <w:t>Participation in the study is voluntary. Active written parental or guardian consent is obtained for participating students, and information sheets are distributed and signed consent forms collected before baseline data collection. Written informed consent is obtained from participating teachers. Students may withdraw from the study at any time without consequences for their schooling or grades.</w:t>
      </w:r>
    </w:p>
    <w:p w14:paraId="7EB49B79" w14:textId="77777777" w:rsidR="009D70DD" w:rsidRDefault="002E02A9">
      <w:pPr>
        <w:pStyle w:val="Heading1"/>
      </w:pPr>
      <w:r>
        <w:t>Analysis Population</w:t>
      </w:r>
    </w:p>
    <w:p w14:paraId="7EB49B7A" w14:textId="77777777" w:rsidR="009D70DD" w:rsidRDefault="002E02A9">
      <w:pPr>
        <w:spacing w:after="160" w:line="276" w:lineRule="auto"/>
      </w:pPr>
      <w:r>
        <w:t xml:space="preserve">The primary analysis population includes students who meet </w:t>
      </w:r>
      <w:proofErr w:type="gramStart"/>
      <w:r>
        <w:t>all of</w:t>
      </w:r>
      <w:proofErr w:type="gramEnd"/>
      <w:r>
        <w:t xml:space="preserve"> the following criteria: they are enrolled in randomised Grade 6, 7 or 8 classrooms in the participating CMS campuses; they are aged 10 years or older; they have the required parental consent and student assent; and they have observed baseline and endline science outcome data. Students under the age of 10, and students who did not provide consent or assent, are excluded because Gemini use was not permitted for them and no outcome data are collected.</w:t>
      </w:r>
    </w:p>
    <w:p w14:paraId="7EB49B7B" w14:textId="77777777" w:rsidR="009D70DD" w:rsidRDefault="002E02A9">
      <w:pPr>
        <w:pStyle w:val="Heading1"/>
      </w:pPr>
      <w:r>
        <w:t>Outcome Measures and Construction</w:t>
      </w:r>
    </w:p>
    <w:p w14:paraId="7EB49B7C" w14:textId="77777777" w:rsidR="009D70DD" w:rsidRDefault="002E02A9">
      <w:pPr>
        <w:spacing w:after="160" w:line="276" w:lineRule="auto"/>
      </w:pPr>
      <w:r>
        <w:t>Student learning outcomes are measured at baseline and endline using curriculum-aligned assessments, administered under standardised conditions to students in both treatment and control classrooms.</w:t>
      </w:r>
    </w:p>
    <w:p w14:paraId="7EB49B7D" w14:textId="77777777" w:rsidR="009D70DD" w:rsidRDefault="002E02A9">
      <w:pPr>
        <w:spacing w:after="160" w:line="276" w:lineRule="auto"/>
      </w:pPr>
      <w:r>
        <w:t>Science is the primary academic outcome of the study. The assessment covers both Physics and Chemistry, with grade-specific versions developed and validated by CSSL for Grade 6, 7 and 8 students in the CMS network. Baseline and endline science scores will be constructed using Item Response Theory (IRT) methods. The evaluation team will rely only on the final locked IRT scores provided by CSSL, and does not influence the procedures for assessment design, scoring, scaling, and validation.</w:t>
      </w:r>
    </w:p>
    <w:p w14:paraId="7EB49B7E" w14:textId="77777777" w:rsidR="009D70DD" w:rsidRDefault="002E02A9">
      <w:pPr>
        <w:pStyle w:val="Heading1"/>
      </w:pPr>
      <w:r>
        <w:t>Covariates</w:t>
      </w:r>
    </w:p>
    <w:p w14:paraId="7EB49B7F" w14:textId="77777777" w:rsidR="009D70DD" w:rsidRDefault="002E02A9">
      <w:pPr>
        <w:spacing w:after="160" w:line="276" w:lineRule="auto"/>
      </w:pPr>
      <w:r>
        <w:lastRenderedPageBreak/>
        <w:t xml:space="preserve">Baseline data collection includes a short student survey administered before the intervention. The survey collects basic sociodemographic and background information. </w:t>
      </w:r>
    </w:p>
    <w:p w14:paraId="7EB49B80" w14:textId="77777777" w:rsidR="009D70DD" w:rsidRDefault="002E02A9">
      <w:pPr>
        <w:spacing w:after="160" w:line="276" w:lineRule="auto"/>
      </w:pPr>
      <w:r>
        <w:t xml:space="preserve">All covariates included in the analysis are pre-treatment variables. The main academic covariate is baseline science achievement. Additional student-level covariates from the baseline survey and administrative records may be included in robustness checks to improve precision, but they do not change the </w:t>
      </w:r>
      <w:proofErr w:type="spellStart"/>
      <w:r>
        <w:t>estimand</w:t>
      </w:r>
      <w:proofErr w:type="spellEnd"/>
      <w:r>
        <w:t xml:space="preserve"> of interest.</w:t>
      </w:r>
    </w:p>
    <w:p w14:paraId="7EB49B81" w14:textId="77777777" w:rsidR="009D70DD" w:rsidRDefault="002E02A9">
      <w:pPr>
        <w:pStyle w:val="Heading1"/>
      </w:pPr>
      <w:r>
        <w:t>Method of Analysis</w:t>
      </w:r>
    </w:p>
    <w:p w14:paraId="7EB49B82" w14:textId="77777777" w:rsidR="009D70DD" w:rsidRDefault="002E02A9">
      <w:pPr>
        <w:pStyle w:val="Heading2"/>
      </w:pPr>
      <w:r>
        <w:t>Intention-to-Treat Analysis</w:t>
      </w:r>
    </w:p>
    <w:p w14:paraId="7EB49B83" w14:textId="77777777" w:rsidR="009D70DD" w:rsidRDefault="002E02A9">
      <w:pPr>
        <w:spacing w:after="160" w:line="276" w:lineRule="auto"/>
      </w:pPr>
      <w:r>
        <w:t xml:space="preserve">The primary </w:t>
      </w:r>
      <w:proofErr w:type="spellStart"/>
      <w:r>
        <w:t>estimand</w:t>
      </w:r>
      <w:proofErr w:type="spellEnd"/>
      <w:r>
        <w:t xml:space="preserve"> is the intention-to-treat effect of classroom-level assignment to Gemini Guided Learning on student science achievement at endline. All ITT analyses are conducted at the student level. Standard errors are clustered at the classroom level, which is the unit of randomisation. All models include school × grade fixed effects, corresponding to the stratified randomisation design.</w:t>
      </w:r>
    </w:p>
    <w:p w14:paraId="7EB49B84" w14:textId="77777777" w:rsidR="009D70DD" w:rsidRDefault="002E02A9">
      <w:pPr>
        <w:pStyle w:val="Heading3"/>
      </w:pPr>
      <w:r>
        <w:t>ITT specification 1: Design-based endline-only model</w:t>
      </w:r>
    </w:p>
    <w:p w14:paraId="7EB49B85" w14:textId="77777777" w:rsidR="009D70DD" w:rsidRDefault="002E02A9">
      <w:pPr>
        <w:spacing w:after="160" w:line="276" w:lineRule="auto"/>
      </w:pPr>
      <w:r>
        <w:t>As a base specification, we estimate a design-based model that includes only the randomised treatment indicator and school × grade fixed effects. This specification relies solely on the randomisation design and does not condition on baseline data.</w:t>
      </w:r>
    </w:p>
    <w:p w14:paraId="7EB49B86" w14:textId="77777777" w:rsidR="009D70DD" w:rsidRDefault="00000000">
      <w:pPr>
        <w:jc w:val="center"/>
        <w:rPr>
          <w:rFonts w:ascii="Cambria Math" w:eastAsia="Cambria Math" w:hAnsi="Cambria Math" w:cs="Cambria Math"/>
          <w:color w:val="000000"/>
          <w:sz w:val="24"/>
          <w:szCs w:val="24"/>
        </w:rPr>
      </w:pPr>
      <m:oMathPara>
        <m:oMath>
          <m:sSubSup>
            <m:sSubSupPr>
              <m:ctrlPr>
                <w:rPr>
                  <w:rFonts w:ascii="Cambria Math" w:eastAsia="Cambria Math" w:hAnsi="Cambria Math" w:cs="Cambria Math"/>
                  <w:color w:val="000000"/>
                  <w:sz w:val="24"/>
                  <w:szCs w:val="24"/>
                </w:rPr>
              </m:ctrlPr>
            </m:sSubSupPr>
            <m:e>
              <m:r>
                <w:rPr>
                  <w:rFonts w:ascii="Cambria Math" w:eastAsia="Cambria Math" w:hAnsi="Cambria Math" w:cs="Cambria Math"/>
                  <w:color w:val="000000"/>
                  <w:sz w:val="24"/>
                  <w:szCs w:val="24"/>
                </w:rPr>
                <m:t>Y</m:t>
              </m:r>
            </m:e>
            <m:sub>
              <m:r>
                <w:rPr>
                  <w:rFonts w:ascii="Cambria Math" w:eastAsia="Cambria Math" w:hAnsi="Cambria Math" w:cs="Cambria Math"/>
                  <w:color w:val="000000"/>
                  <w:sz w:val="24"/>
                  <w:szCs w:val="24"/>
                </w:rPr>
                <m:t>icgs</m:t>
              </m:r>
            </m:sub>
            <m:sup>
              <m:r>
                <w:rPr>
                  <w:rFonts w:ascii="Cambria Math" w:eastAsia="Cambria Math" w:hAnsi="Cambria Math" w:cs="Cambria Math"/>
                  <w:color w:val="000000"/>
                  <w:sz w:val="24"/>
                  <w:szCs w:val="24"/>
                </w:rPr>
                <m:t>EL</m:t>
              </m:r>
            </m:sup>
          </m:sSubSup>
          <m:r>
            <w:rPr>
              <w:rFonts w:ascii="Cambria Math" w:eastAsia="Cambria Math" w:hAnsi="Cambria Math" w:cs="Cambria Math"/>
              <w:color w:val="000000"/>
              <w:sz w:val="24"/>
              <w:szCs w:val="24"/>
            </w:rPr>
            <m:t xml:space="preserve">= α+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βD</m:t>
              </m:r>
            </m:e>
            <m:sub>
              <m:r>
                <w:rPr>
                  <w:rFonts w:ascii="Cambria Math" w:eastAsia="Cambria Math" w:hAnsi="Cambria Math" w:cs="Cambria Math"/>
                  <w:color w:val="000000"/>
                  <w:sz w:val="24"/>
                  <w:szCs w:val="24"/>
                </w:rPr>
                <m:t>cgs</m:t>
              </m:r>
            </m:sub>
          </m:sSub>
          <m:r>
            <w:rPr>
              <w:rFonts w:ascii="Cambria Math" w:eastAsia="Cambria Math" w:hAnsi="Cambria Math" w:cs="Cambria Math"/>
              <w:color w:val="000000"/>
              <w:sz w:val="24"/>
              <w:szCs w:val="24"/>
            </w:rPr>
            <m:t xml:space="preserve">+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δ</m:t>
              </m:r>
            </m:e>
            <m:sub>
              <m:r>
                <w:rPr>
                  <w:rFonts w:ascii="Cambria Math" w:eastAsia="Cambria Math" w:hAnsi="Cambria Math" w:cs="Cambria Math"/>
                  <w:color w:val="000000"/>
                  <w:sz w:val="24"/>
                  <w:szCs w:val="24"/>
                </w:rPr>
                <m:t>gs</m:t>
              </m:r>
            </m:sub>
          </m:sSub>
          <m:r>
            <w:rPr>
              <w:rFonts w:ascii="Cambria Math" w:eastAsia="Cambria Math" w:hAnsi="Cambria Math" w:cs="Cambria Math"/>
              <w:color w:val="000000"/>
              <w:sz w:val="24"/>
              <w:szCs w:val="24"/>
            </w:rPr>
            <m:t xml:space="preserve"> +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ε</m:t>
              </m:r>
            </m:e>
            <m:sub>
              <m:r>
                <w:rPr>
                  <w:rFonts w:ascii="Cambria Math" w:eastAsia="Cambria Math" w:hAnsi="Cambria Math" w:cs="Cambria Math"/>
                  <w:color w:val="000000"/>
                  <w:sz w:val="24"/>
                  <w:szCs w:val="24"/>
                </w:rPr>
                <m:t>icgs</m:t>
              </m:r>
            </m:sub>
          </m:sSub>
        </m:oMath>
      </m:oMathPara>
    </w:p>
    <w:p w14:paraId="7EB49B87" w14:textId="77777777" w:rsidR="009D70DD" w:rsidRDefault="002E02A9">
      <w:pPr>
        <w:spacing w:after="160" w:line="276" w:lineRule="auto"/>
      </w:pPr>
      <w:r>
        <w:t xml:space="preserve">where </w:t>
      </w:r>
      <m:oMath>
        <m:sSubSup>
          <m:sSubSupPr>
            <m:ctrlPr>
              <w:rPr>
                <w:rFonts w:ascii="Cambria Math" w:eastAsia="Cambria Math" w:hAnsi="Cambria Math" w:cs="Cambria Math"/>
              </w:rPr>
            </m:ctrlPr>
          </m:sSubSupPr>
          <m:e>
            <m:r>
              <w:rPr>
                <w:rFonts w:ascii="Cambria Math" w:eastAsia="Cambria Math" w:hAnsi="Cambria Math" w:cs="Cambria Math"/>
              </w:rPr>
              <m:t>Y</m:t>
            </m:r>
          </m:e>
          <m:sub>
            <m:r>
              <w:rPr>
                <w:rFonts w:ascii="Cambria Math" w:eastAsia="Cambria Math" w:hAnsi="Cambria Math" w:cs="Cambria Math"/>
              </w:rPr>
              <m:t>icgs</m:t>
            </m:r>
          </m:sub>
          <m:sup>
            <m:r>
              <w:rPr>
                <w:rFonts w:ascii="Cambria Math" w:eastAsia="Cambria Math" w:hAnsi="Cambria Math" w:cs="Cambria Math"/>
              </w:rPr>
              <m:t>EL</m:t>
            </m:r>
          </m:sup>
        </m:sSubSup>
      </m:oMath>
      <w:r>
        <w:t xml:space="preserve"> is the endline science scaled score for student i in classroom c, grade g, campus s. </w:t>
      </w:r>
      <m:oMath>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cgs</m:t>
            </m:r>
          </m:sub>
        </m:sSub>
      </m:oMath>
      <w:r>
        <w:t xml:space="preserve"> is the classroom-level treatment indicator and </w:t>
      </w:r>
      <m:oMath>
        <m:sSub>
          <m:sSubPr>
            <m:ctrlPr>
              <w:rPr>
                <w:rFonts w:ascii="Cambria Math" w:eastAsia="Cambria Math" w:hAnsi="Cambria Math" w:cs="Cambria Math"/>
              </w:rPr>
            </m:ctrlPr>
          </m:sSubPr>
          <m:e>
            <m:r>
              <w:rPr>
                <w:rFonts w:ascii="Cambria Math" w:hAnsi="Cambria Math"/>
              </w:rPr>
              <m:t>δ</m:t>
            </m:r>
          </m:e>
          <m:sub>
            <m:r>
              <w:rPr>
                <w:rFonts w:ascii="Cambria Math" w:eastAsia="Cambria Math" w:hAnsi="Cambria Math" w:cs="Cambria Math"/>
              </w:rPr>
              <m:t>gs</m:t>
            </m:r>
          </m:sub>
        </m:sSub>
        <m:r>
          <w:rPr>
            <w:rFonts w:ascii="Cambria Math" w:eastAsia="Cambria Math" w:hAnsi="Cambria Math" w:cs="Cambria Math"/>
          </w:rPr>
          <m:t xml:space="preserve"> </m:t>
        </m:r>
      </m:oMath>
      <w:r>
        <w:t xml:space="preserve"> are fixed effects for each school-by-grade stratum. Standard errors are clustered at the classroom level. This specification can be estimated for all students with observed endline outcomes, irrespective of baseline data availability, and serves as a transparent design-based benchmark.</w:t>
      </w:r>
    </w:p>
    <w:p w14:paraId="7EB49B88" w14:textId="77777777" w:rsidR="009D70DD" w:rsidRDefault="002E02A9">
      <w:pPr>
        <w:pStyle w:val="Heading3"/>
      </w:pPr>
      <w:r>
        <w:t>ITT specification 2: ANCOVA with baseline achievement (primary)</w:t>
      </w:r>
    </w:p>
    <w:p w14:paraId="7EB49B89" w14:textId="77777777" w:rsidR="009D70DD" w:rsidRDefault="002E02A9">
      <w:pPr>
        <w:spacing w:after="160" w:line="276" w:lineRule="auto"/>
      </w:pPr>
      <w:r>
        <w:t>The primary analysis uses an ANCOVA specification that conditions on baseline science achievement to improve precision. This specification is estimated on the subset of students with both baseline and endline science scores and is the primary basis for inference.</w:t>
      </w:r>
    </w:p>
    <w:p w14:paraId="7EB49B8A" w14:textId="77777777" w:rsidR="009D70DD" w:rsidRDefault="002E02A9">
      <w:pPr>
        <w:jc w:val="center"/>
        <w:rPr>
          <w:rFonts w:ascii="Cambria Math" w:eastAsia="Cambria Math" w:hAnsi="Cambria Math" w:cs="Cambria Math"/>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Cambria Math" w:eastAsia="Cambria Math" w:hAnsi="Cambria Math" w:cs="Cambria Math"/>
          <w:i/>
          <w:iCs/>
          <w:color w:val="000000"/>
          <w:sz w:val="24"/>
          <w:szCs w:val="24"/>
        </w:rPr>
        <w:br/>
      </w:r>
      <m:oMathPara>
        <m:oMath>
          <m:sSubSup>
            <m:sSubSupPr>
              <m:ctrlPr>
                <w:rPr>
                  <w:rFonts w:ascii="Cambria Math" w:eastAsia="Cambria Math" w:hAnsi="Cambria Math" w:cs="Cambria Math"/>
                  <w:color w:val="000000"/>
                  <w:sz w:val="24"/>
                  <w:szCs w:val="24"/>
                </w:rPr>
              </m:ctrlPr>
            </m:sSubSupPr>
            <m:e>
              <m:r>
                <w:rPr>
                  <w:rFonts w:ascii="Cambria Math" w:eastAsia="Cambria Math" w:hAnsi="Cambria Math" w:cs="Cambria Math"/>
                  <w:color w:val="000000"/>
                  <w:sz w:val="24"/>
                  <w:szCs w:val="24"/>
                </w:rPr>
                <m:t>Y</m:t>
              </m:r>
            </m:e>
            <m:sub>
              <m:r>
                <w:rPr>
                  <w:rFonts w:ascii="Cambria Math" w:eastAsia="Cambria Math" w:hAnsi="Cambria Math" w:cs="Cambria Math"/>
                  <w:color w:val="000000"/>
                  <w:sz w:val="24"/>
                  <w:szCs w:val="24"/>
                </w:rPr>
                <m:t>icgs</m:t>
              </m:r>
            </m:sub>
            <m:sup>
              <m:r>
                <w:rPr>
                  <w:rFonts w:ascii="Cambria Math" w:eastAsia="Cambria Math" w:hAnsi="Cambria Math" w:cs="Cambria Math"/>
                  <w:color w:val="000000"/>
                  <w:sz w:val="24"/>
                  <w:szCs w:val="24"/>
                </w:rPr>
                <m:t>EL</m:t>
              </m:r>
            </m:sup>
          </m:sSubSup>
          <m:r>
            <w:rPr>
              <w:rFonts w:ascii="Cambria Math" w:eastAsia="Cambria Math" w:hAnsi="Cambria Math" w:cs="Cambria Math"/>
              <w:color w:val="000000"/>
              <w:sz w:val="24"/>
              <w:szCs w:val="24"/>
            </w:rPr>
            <m:t xml:space="preserve">= α+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βD</m:t>
              </m:r>
            </m:e>
            <m:sub>
              <m:r>
                <w:rPr>
                  <w:rFonts w:ascii="Cambria Math" w:eastAsia="Cambria Math" w:hAnsi="Cambria Math" w:cs="Cambria Math"/>
                  <w:color w:val="000000"/>
                  <w:sz w:val="24"/>
                  <w:szCs w:val="24"/>
                </w:rPr>
                <m:t>cgs</m:t>
              </m:r>
            </m:sub>
          </m:sSub>
          <m:r>
            <w:rPr>
              <w:rFonts w:ascii="Cambria Math" w:eastAsia="Cambria Math" w:hAnsi="Cambria Math" w:cs="Cambria Math"/>
              <w:color w:val="000000"/>
              <w:sz w:val="24"/>
              <w:szCs w:val="24"/>
            </w:rPr>
            <m:t xml:space="preserve">+ </m:t>
          </m:r>
          <m:sSubSup>
            <m:sSubSupPr>
              <m:ctrlPr>
                <w:rPr>
                  <w:rFonts w:ascii="Cambria Math" w:eastAsia="Cambria Math" w:hAnsi="Cambria Math" w:cs="Cambria Math"/>
                  <w:color w:val="000000"/>
                  <w:sz w:val="24"/>
                  <w:szCs w:val="24"/>
                </w:rPr>
              </m:ctrlPr>
            </m:sSubSupPr>
            <m:e>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γ</m:t>
                  </m:r>
                </m:e>
                <m:sub>
                  <m:r>
                    <w:rPr>
                      <w:rFonts w:ascii="Cambria Math" w:eastAsia="Cambria Math" w:hAnsi="Cambria Math" w:cs="Cambria Math"/>
                      <w:color w:val="000000"/>
                      <w:sz w:val="24"/>
                      <w:szCs w:val="24"/>
                    </w:rPr>
                    <m:t>1</m:t>
                  </m:r>
                </m:sub>
              </m:sSub>
              <m:r>
                <w:rPr>
                  <w:rFonts w:ascii="Cambria Math" w:eastAsia="Cambria Math" w:hAnsi="Cambria Math" w:cs="Cambria Math"/>
                  <w:color w:val="000000"/>
                  <w:sz w:val="24"/>
                  <w:szCs w:val="24"/>
                </w:rPr>
                <m:t>Y</m:t>
              </m:r>
            </m:e>
            <m:sub>
              <m:r>
                <w:rPr>
                  <w:rFonts w:ascii="Cambria Math" w:eastAsia="Cambria Math" w:hAnsi="Cambria Math" w:cs="Cambria Math"/>
                  <w:color w:val="000000"/>
                  <w:sz w:val="24"/>
                  <w:szCs w:val="24"/>
                </w:rPr>
                <m:t>icgs</m:t>
              </m:r>
            </m:sub>
            <m:sup>
              <m:r>
                <w:rPr>
                  <w:rFonts w:ascii="Cambria Math" w:eastAsia="Cambria Math" w:hAnsi="Cambria Math" w:cs="Cambria Math"/>
                  <w:color w:val="000000"/>
                  <w:sz w:val="24"/>
                  <w:szCs w:val="24"/>
                </w:rPr>
                <m:t>BL</m:t>
              </m:r>
            </m:sup>
          </m:sSubSup>
          <m:r>
            <w:rPr>
              <w:rFonts w:ascii="Cambria Math" w:eastAsia="Cambria Math" w:hAnsi="Cambria Math" w:cs="Cambria Math"/>
              <w:color w:val="000000"/>
              <w:sz w:val="24"/>
              <w:szCs w:val="24"/>
            </w:rPr>
            <m:t>+</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δ</m:t>
              </m:r>
            </m:e>
            <m:sub>
              <m:r>
                <w:rPr>
                  <w:rFonts w:ascii="Cambria Math" w:eastAsia="Cambria Math" w:hAnsi="Cambria Math" w:cs="Cambria Math"/>
                  <w:color w:val="000000"/>
                  <w:sz w:val="24"/>
                  <w:szCs w:val="24"/>
                </w:rPr>
                <m:t>gs</m:t>
              </m:r>
            </m:sub>
          </m:sSub>
          <m:r>
            <w:rPr>
              <w:rFonts w:ascii="Cambria Math" w:eastAsia="Cambria Math" w:hAnsi="Cambria Math" w:cs="Cambria Math"/>
              <w:color w:val="000000"/>
              <w:sz w:val="24"/>
              <w:szCs w:val="24"/>
            </w:rPr>
            <m:t xml:space="preserve"> +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ε</m:t>
              </m:r>
            </m:e>
            <m:sub>
              <m:r>
                <w:rPr>
                  <w:rFonts w:ascii="Cambria Math" w:eastAsia="Cambria Math" w:hAnsi="Cambria Math" w:cs="Cambria Math"/>
                  <w:color w:val="000000"/>
                  <w:sz w:val="24"/>
                  <w:szCs w:val="24"/>
                </w:rPr>
                <m:t>icgs</m:t>
              </m:r>
            </m:sub>
          </m:sSub>
        </m:oMath>
      </m:oMathPara>
    </w:p>
    <w:p w14:paraId="7EB49B8B" w14:textId="77777777" w:rsidR="009D70DD" w:rsidRDefault="002E02A9">
      <w:pPr>
        <w:spacing w:after="160" w:line="276" w:lineRule="auto"/>
      </w:pPr>
      <w:r>
        <w:t xml:space="preserve">where </w:t>
      </w:r>
      <m:oMath>
        <m:sSubSup>
          <m:sSubSupPr>
            <m:ctrlPr>
              <w:rPr>
                <w:rFonts w:ascii="Cambria Math" w:eastAsia="Cambria Math" w:hAnsi="Cambria Math" w:cs="Cambria Math"/>
              </w:rPr>
            </m:ctrlPr>
          </m:sSubSupPr>
          <m:e>
            <m:r>
              <w:rPr>
                <w:rFonts w:ascii="Cambria Math" w:eastAsia="Cambria Math" w:hAnsi="Cambria Math" w:cs="Cambria Math"/>
              </w:rPr>
              <m:t>Y</m:t>
            </m:r>
          </m:e>
          <m:sub>
            <m:r>
              <w:rPr>
                <w:rFonts w:ascii="Cambria Math" w:eastAsia="Cambria Math" w:hAnsi="Cambria Math" w:cs="Cambria Math"/>
              </w:rPr>
              <m:t>icgs</m:t>
            </m:r>
          </m:sub>
          <m:sup>
            <m:r>
              <w:rPr>
                <w:rFonts w:ascii="Cambria Math" w:eastAsia="Cambria Math" w:hAnsi="Cambria Math" w:cs="Cambria Math"/>
              </w:rPr>
              <m:t>BL</m:t>
            </m:r>
          </m:sup>
        </m:sSubSup>
      </m:oMath>
      <w:r>
        <w:t xml:space="preserve"> is the baseline science scaled score and </w:t>
      </w:r>
      <m:oMath>
        <m:sSub>
          <m:sSubPr>
            <m:ctrlPr>
              <w:rPr>
                <w:rFonts w:ascii="Cambria Math" w:eastAsia="Cambria Math" w:hAnsi="Cambria Math" w:cs="Cambria Math"/>
              </w:rPr>
            </m:ctrlPr>
          </m:sSubPr>
          <m:e>
            <m:r>
              <w:rPr>
                <w:rFonts w:ascii="Cambria Math" w:hAnsi="Cambria Math"/>
              </w:rPr>
              <m:t>γ</m:t>
            </m:r>
          </m:e>
          <m:sub>
            <m:r>
              <w:rPr>
                <w:rFonts w:ascii="Cambria Math" w:eastAsia="Cambria Math" w:hAnsi="Cambria Math" w:cs="Cambria Math"/>
              </w:rPr>
              <m:t>1</m:t>
            </m:r>
          </m:sub>
        </m:sSub>
      </m:oMath>
      <w:r>
        <w:t xml:space="preserve"> is its coefficient. This specification includes the same school × grade fixed effects and clustered standard errors as Specification 1. The coefficient </w:t>
      </w:r>
      <m:oMath>
        <m:r>
          <w:rPr>
            <w:rFonts w:ascii="Cambria Math" w:hAnsi="Cambria Math"/>
          </w:rPr>
          <m:t>β</m:t>
        </m:r>
      </m:oMath>
      <w:r>
        <w:t xml:space="preserve"> captures the ITT effect of interest.</w:t>
      </w:r>
    </w:p>
    <w:p w14:paraId="7EB49B8C" w14:textId="77777777" w:rsidR="009D70DD" w:rsidRDefault="002E02A9">
      <w:pPr>
        <w:pStyle w:val="Heading3"/>
      </w:pPr>
      <w:r>
        <w:t>ITT specification 3: ANCOVA with demographic covariates (robustness)</w:t>
      </w:r>
    </w:p>
    <w:p w14:paraId="7EB49B8D" w14:textId="77777777" w:rsidR="009D70DD" w:rsidRDefault="002E02A9">
      <w:pPr>
        <w:spacing w:after="160" w:line="276" w:lineRule="auto"/>
      </w:pPr>
      <w:r>
        <w:t xml:space="preserve">As a robustness check, we estimate an augmented ANCOVA specification that additionally adjusts for pre-treatment student characteristics collected at baseline and from administrative records. These include basic demographics (age and gender), household and socioeconomic background, prior achievement, and digital familiarity. Age and gender are always included and </w:t>
      </w:r>
      <w:r>
        <w:lastRenderedPageBreak/>
        <w:t xml:space="preserve">are fully observed. Additional baseline covariates are restricted to pre-treatment variables and included only when they have sufficient response rates to contribute meaningful information. Treatment assignment and school × grade fixed effects are always included. This specification does not change the </w:t>
      </w:r>
      <w:proofErr w:type="spellStart"/>
      <w:r>
        <w:t>estimand</w:t>
      </w:r>
      <w:proofErr w:type="spellEnd"/>
      <w:r>
        <w:t xml:space="preserve"> and is used solely to assess robustness and potential precision gains.</w:t>
      </w:r>
    </w:p>
    <w:p w14:paraId="7EB49B8E" w14:textId="77777777" w:rsidR="009D70DD" w:rsidRDefault="00000000">
      <w:pPr>
        <w:jc w:val="center"/>
        <w:rPr>
          <w:rFonts w:ascii="Cambria Math" w:eastAsia="Cambria Math" w:hAnsi="Cambria Math" w:cs="Cambria Math"/>
        </w:rPr>
      </w:pPr>
      <m:oMathPara>
        <m:oMath>
          <m:sSubSup>
            <m:sSubSupPr>
              <m:ctrlPr>
                <w:rPr>
                  <w:rFonts w:ascii="Cambria Math" w:eastAsia="Cambria Math" w:hAnsi="Cambria Math" w:cs="Cambria Math"/>
                </w:rPr>
              </m:ctrlPr>
            </m:sSubSupPr>
            <m:e>
              <m:r>
                <w:rPr>
                  <w:rFonts w:ascii="Cambria Math" w:eastAsia="Cambria Math" w:hAnsi="Cambria Math" w:cs="Cambria Math"/>
                </w:rPr>
                <m:t>Y</m:t>
              </m:r>
            </m:e>
            <m:sub>
              <m:r>
                <w:rPr>
                  <w:rFonts w:ascii="Cambria Math" w:eastAsia="Cambria Math" w:hAnsi="Cambria Math" w:cs="Cambria Math"/>
                </w:rPr>
                <m:t>icgs</m:t>
              </m:r>
            </m:sub>
            <m:sup>
              <m:r>
                <w:rPr>
                  <w:rFonts w:ascii="Cambria Math" w:eastAsia="Cambria Math" w:hAnsi="Cambria Math" w:cs="Cambria Math"/>
                </w:rPr>
                <m:t>EL</m:t>
              </m:r>
            </m:sup>
          </m:sSubSup>
          <m:r>
            <w:rPr>
              <w:rFonts w:ascii="Cambria Math" w:eastAsia="Cambria Math" w:hAnsi="Cambria Math" w:cs="Cambria Math"/>
            </w:rPr>
            <m:t>=α+β</m:t>
          </m:r>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cgs</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γ</m:t>
              </m:r>
            </m:e>
            <m:sub>
              <m:r>
                <w:rPr>
                  <w:rFonts w:ascii="Cambria Math" w:eastAsia="Cambria Math" w:hAnsi="Cambria Math" w:cs="Cambria Math"/>
                </w:rPr>
                <m:t>1</m:t>
              </m:r>
            </m:sub>
          </m:sSub>
          <m:sSubSup>
            <m:sSubSupPr>
              <m:ctrlPr>
                <w:rPr>
                  <w:rFonts w:ascii="Cambria Math" w:eastAsia="Cambria Math" w:hAnsi="Cambria Math" w:cs="Cambria Math"/>
                </w:rPr>
              </m:ctrlPr>
            </m:sSubSupPr>
            <m:e>
              <m:r>
                <w:rPr>
                  <w:rFonts w:ascii="Cambria Math" w:eastAsia="Cambria Math" w:hAnsi="Cambria Math" w:cs="Cambria Math"/>
                </w:rPr>
                <m:t>Y</m:t>
              </m:r>
            </m:e>
            <m:sub>
              <m:r>
                <w:rPr>
                  <w:rFonts w:ascii="Cambria Math" w:eastAsia="Cambria Math" w:hAnsi="Cambria Math" w:cs="Cambria Math"/>
                </w:rPr>
                <m:t>icgs</m:t>
              </m:r>
            </m:sub>
            <m:sup>
              <m:r>
                <w:rPr>
                  <w:rFonts w:ascii="Cambria Math" w:eastAsia="Cambria Math" w:hAnsi="Cambria Math" w:cs="Cambria Math"/>
                </w:rPr>
                <m:t>BL</m:t>
              </m:r>
            </m:sup>
          </m:sSubSup>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icgs</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δ</m:t>
              </m:r>
            </m:e>
            <m:sub>
              <m:r>
                <w:rPr>
                  <w:rFonts w:ascii="Cambria Math" w:eastAsia="Cambria Math" w:hAnsi="Cambria Math" w:cs="Cambria Math"/>
                </w:rPr>
                <m:t>gs</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ε</m:t>
              </m:r>
            </m:e>
            <m:sub>
              <m:r>
                <w:rPr>
                  <w:rFonts w:ascii="Cambria Math" w:eastAsia="Cambria Math" w:hAnsi="Cambria Math" w:cs="Cambria Math"/>
                </w:rPr>
                <m:t>icgs</m:t>
              </m:r>
            </m:sub>
          </m:sSub>
        </m:oMath>
      </m:oMathPara>
    </w:p>
    <w:p w14:paraId="7EB49B8F" w14:textId="77777777" w:rsidR="009D70DD" w:rsidRDefault="00000000">
      <w:pPr>
        <w:spacing w:after="160" w:line="276" w:lineRule="auto"/>
      </w:pPr>
      <m:oMath>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icgs</m:t>
            </m:r>
          </m:sub>
        </m:sSub>
      </m:oMath>
      <w:r w:rsidR="002E02A9">
        <w:t xml:space="preserve"> includes student-level sociodemographic covariates (for example gender, age, and household characteristics).</w:t>
      </w:r>
    </w:p>
    <w:p w14:paraId="153DF19F" w14:textId="77777777" w:rsidR="002920B7" w:rsidRPr="002920B7" w:rsidRDefault="002920B7" w:rsidP="002920B7">
      <w:pPr>
        <w:pStyle w:val="NormalWeb"/>
        <w:rPr>
          <w:rFonts w:ascii="Arial" w:eastAsia="Arial" w:hAnsi="Arial" w:cs="Arial"/>
          <w:sz w:val="22"/>
          <w:szCs w:val="22"/>
        </w:rPr>
      </w:pPr>
      <w:r w:rsidRPr="002920B7">
        <w:rPr>
          <w:rFonts w:ascii="Arial" w:eastAsia="Arial" w:hAnsi="Arial" w:cs="Arial"/>
          <w:sz w:val="22"/>
          <w:szCs w:val="22"/>
        </w:rPr>
        <w:t>As an additional robustness check, we will estimate the ITT effect using a difference-in-differences specification that regresses the change in achievement between baseline and endline on classroom assignment and school × grade fixed effects, with standard errors clustered at the classroom level.</w:t>
      </w:r>
    </w:p>
    <w:p w14:paraId="046B1A29" w14:textId="77777777" w:rsidR="002920B7" w:rsidRPr="002920B7" w:rsidRDefault="002920B7" w:rsidP="002920B7">
      <w:pPr>
        <w:pStyle w:val="NormalWeb"/>
        <w:rPr>
          <w:rFonts w:ascii="Arial" w:eastAsia="Arial" w:hAnsi="Arial" w:cs="Arial"/>
          <w:sz w:val="22"/>
          <w:szCs w:val="22"/>
        </w:rPr>
      </w:pPr>
      <w:r w:rsidRPr="002920B7">
        <w:rPr>
          <w:rFonts w:ascii="Arial" w:eastAsia="Arial" w:hAnsi="Arial" w:cs="Arial"/>
          <w:sz w:val="22"/>
          <w:szCs w:val="22"/>
        </w:rPr>
        <w:t>As a further robustness check, we will re-estimate the primary ANCOVA specification (ITT Specification 2) with the classroom (section) mean of baseline science achievement added alongside the individual-level baseline control:</w:t>
      </w:r>
    </w:p>
    <w:p w14:paraId="19A9FD4C" w14:textId="3282ED85" w:rsidR="002920B7" w:rsidRPr="002920B7" w:rsidRDefault="002920B7" w:rsidP="002920B7">
      <w:pPr>
        <w:pStyle w:val="NormalWeb"/>
        <w:rPr>
          <w:i/>
          <w:iCs/>
        </w:rPr>
      </w:pPr>
      <m:oMathPara>
        <m:oMath>
          <m:sSubSup>
            <m:sSubSupPr>
              <m:ctrlPr>
                <w:rPr>
                  <w:rFonts w:ascii="Cambria Math" w:eastAsia="Cambria Math" w:hAnsi="Cambria Math" w:cs="Cambria Math"/>
                  <w:color w:val="000000"/>
                </w:rPr>
              </m:ctrlPr>
            </m:sSubSupPr>
            <m:e>
              <m:r>
                <w:rPr>
                  <w:rFonts w:ascii="Cambria Math" w:eastAsia="Cambria Math" w:hAnsi="Cambria Math" w:cs="Cambria Math"/>
                  <w:color w:val="000000"/>
                </w:rPr>
                <m:t>Y</m:t>
              </m:r>
            </m:e>
            <m:sub>
              <m:r>
                <w:rPr>
                  <w:rFonts w:ascii="Cambria Math" w:eastAsia="Cambria Math" w:hAnsi="Cambria Math" w:cs="Cambria Math"/>
                  <w:color w:val="000000"/>
                </w:rPr>
                <m:t>icgs</m:t>
              </m:r>
            </m:sub>
            <m:sup>
              <m:r>
                <w:rPr>
                  <w:rFonts w:ascii="Cambria Math" w:eastAsia="Cambria Math" w:hAnsi="Cambria Math" w:cs="Cambria Math"/>
                  <w:color w:val="000000"/>
                </w:rPr>
                <m:t>EL</m:t>
              </m:r>
            </m:sup>
          </m:sSubSup>
          <m:r>
            <w:rPr>
              <w:rFonts w:ascii="Cambria Math" w:eastAsia="Cambria Math" w:hAnsi="Cambria Math" w:cs="Cambria Math"/>
              <w:color w:val="000000"/>
            </w:rPr>
            <m:t xml:space="preserve">= α+ </m:t>
          </m:r>
          <m:sSub>
            <m:sSubPr>
              <m:ctrlPr>
                <w:rPr>
                  <w:rFonts w:ascii="Cambria Math" w:eastAsia="Cambria Math" w:hAnsi="Cambria Math" w:cs="Cambria Math"/>
                  <w:color w:val="000000"/>
                </w:rPr>
              </m:ctrlPr>
            </m:sSubPr>
            <m:e>
              <m:r>
                <w:rPr>
                  <w:rFonts w:ascii="Cambria Math" w:eastAsia="Cambria Math" w:hAnsi="Cambria Math" w:cs="Cambria Math"/>
                  <w:color w:val="000000"/>
                </w:rPr>
                <m:t>βD</m:t>
              </m:r>
            </m:e>
            <m:sub>
              <m:r>
                <w:rPr>
                  <w:rFonts w:ascii="Cambria Math" w:eastAsia="Cambria Math" w:hAnsi="Cambria Math" w:cs="Cambria Math"/>
                  <w:color w:val="000000"/>
                </w:rPr>
                <m:t>cgs</m:t>
              </m:r>
            </m:sub>
          </m:sSub>
          <m:r>
            <w:rPr>
              <w:rFonts w:ascii="Cambria Math" w:eastAsia="Cambria Math" w:hAnsi="Cambria Math" w:cs="Cambria Math"/>
              <w:color w:val="000000"/>
            </w:rPr>
            <m:t xml:space="preserve">+ </m:t>
          </m:r>
          <m:sSubSup>
            <m:sSubSupPr>
              <m:ctrlPr>
                <w:rPr>
                  <w:rFonts w:ascii="Cambria Math" w:eastAsia="Cambria Math" w:hAnsi="Cambria Math" w:cs="Cambria Math"/>
                  <w:color w:val="000000"/>
                </w:rPr>
              </m:ctrlPr>
            </m:sSubSupPr>
            <m:e>
              <m:sSub>
                <m:sSubPr>
                  <m:ctrlPr>
                    <w:rPr>
                      <w:rFonts w:ascii="Cambria Math" w:eastAsia="Cambria Math" w:hAnsi="Cambria Math" w:cs="Cambria Math"/>
                      <w:color w:val="000000"/>
                    </w:rPr>
                  </m:ctrlPr>
                </m:sSubPr>
                <m:e>
                  <m:r>
                    <w:rPr>
                      <w:rFonts w:ascii="Cambria Math" w:eastAsia="Cambria Math" w:hAnsi="Cambria Math" w:cs="Cambria Math"/>
                      <w:color w:val="000000"/>
                    </w:rPr>
                    <m:t>γ</m:t>
                  </m:r>
                </m:e>
                <m:sub>
                  <m:r>
                    <w:rPr>
                      <w:rFonts w:ascii="Cambria Math" w:eastAsia="Cambria Math" w:hAnsi="Cambria Math" w:cs="Cambria Math"/>
                      <w:color w:val="000000"/>
                    </w:rPr>
                    <m:t>1</m:t>
                  </m:r>
                </m:sub>
              </m:sSub>
              <m:r>
                <w:rPr>
                  <w:rFonts w:ascii="Cambria Math" w:eastAsia="Cambria Math" w:hAnsi="Cambria Math" w:cs="Cambria Math"/>
                  <w:color w:val="000000"/>
                </w:rPr>
                <m:t>Y</m:t>
              </m:r>
            </m:e>
            <m:sub>
              <m:r>
                <w:rPr>
                  <w:rFonts w:ascii="Cambria Math" w:eastAsia="Cambria Math" w:hAnsi="Cambria Math" w:cs="Cambria Math"/>
                  <w:color w:val="000000"/>
                </w:rPr>
                <m:t>icgs</m:t>
              </m:r>
            </m:sub>
            <m:sup>
              <m:r>
                <w:rPr>
                  <w:rFonts w:ascii="Cambria Math" w:eastAsia="Cambria Math" w:hAnsi="Cambria Math" w:cs="Cambria Math"/>
                  <w:color w:val="000000"/>
                </w:rPr>
                <m:t>BL</m:t>
              </m:r>
            </m:sup>
          </m:sSubSup>
          <m:r>
            <w:rPr>
              <w:rFonts w:ascii="Cambria Math" w:eastAsia="Cambria Math" w:hAnsi="Cambria Math" w:cs="Cambria Math"/>
              <w:color w:val="000000"/>
            </w:rPr>
            <m:t xml:space="preserve">+ </m:t>
          </m:r>
          <m:sSubSup>
            <m:sSubSupPr>
              <m:ctrlPr>
                <w:rPr>
                  <w:rFonts w:ascii="Cambria Math" w:eastAsia="Cambria Math" w:hAnsi="Cambria Math" w:cs="Cambria Math"/>
                  <w:color w:val="000000"/>
                </w:rPr>
              </m:ctrlPr>
            </m:sSubSupPr>
            <m:e>
              <m:sSub>
                <m:sSubPr>
                  <m:ctrlPr>
                    <w:rPr>
                      <w:rFonts w:ascii="Cambria Math" w:eastAsia="Cambria Math" w:hAnsi="Cambria Math" w:cs="Cambria Math"/>
                      <w:color w:val="000000"/>
                    </w:rPr>
                  </m:ctrlPr>
                </m:sSubPr>
                <m:e>
                  <m:r>
                    <w:rPr>
                      <w:rFonts w:ascii="Cambria Math" w:eastAsia="Cambria Math" w:hAnsi="Cambria Math" w:cs="Cambria Math"/>
                      <w:color w:val="000000"/>
                    </w:rPr>
                    <m:t>γ</m:t>
                  </m:r>
                </m:e>
                <m:sub>
                  <m:r>
                    <w:rPr>
                      <w:rFonts w:ascii="Cambria Math" w:eastAsia="Cambria Math" w:hAnsi="Cambria Math" w:cs="Cambria Math"/>
                      <w:color w:val="000000"/>
                    </w:rPr>
                    <m:t>2</m:t>
                  </m:r>
                </m:sub>
              </m:sSub>
              <m:acc>
                <m:accPr>
                  <m:chr m:val="̅"/>
                  <m:ctrlPr>
                    <w:rPr>
                      <w:rFonts w:ascii="Cambria Math" w:eastAsia="Cambria Math" w:hAnsi="Cambria Math" w:cs="Cambria Math"/>
                      <w:i/>
                      <w:color w:val="000000"/>
                    </w:rPr>
                  </m:ctrlPr>
                </m:accPr>
                <m:e>
                  <m:r>
                    <w:rPr>
                      <w:rFonts w:ascii="Cambria Math" w:eastAsia="Cambria Math" w:hAnsi="Cambria Math" w:cs="Cambria Math"/>
                      <w:color w:val="000000"/>
                    </w:rPr>
                    <m:t>Y</m:t>
                  </m:r>
                </m:e>
              </m:acc>
            </m:e>
            <m:sub>
              <m:r>
                <w:rPr>
                  <w:rFonts w:ascii="Cambria Math" w:eastAsia="Cambria Math" w:hAnsi="Cambria Math" w:cs="Cambria Math"/>
                  <w:color w:val="000000"/>
                </w:rPr>
                <m:t>cgs</m:t>
              </m:r>
            </m:sub>
            <m:sup>
              <m:r>
                <w:rPr>
                  <w:rFonts w:ascii="Cambria Math" w:eastAsia="Cambria Math" w:hAnsi="Cambria Math" w:cs="Cambria Math"/>
                  <w:color w:val="000000"/>
                </w:rPr>
                <m:t>BL</m:t>
              </m:r>
            </m:sup>
          </m:sSubSup>
          <m:r>
            <w:rPr>
              <w:rFonts w:ascii="Cambria Math" w:eastAsia="Cambria Math" w:hAnsi="Cambria Math" w:cs="Cambria Math"/>
              <w:color w:val="000000"/>
            </w:rPr>
            <m:t>+</m:t>
          </m:r>
          <m:sSub>
            <m:sSubPr>
              <m:ctrlPr>
                <w:rPr>
                  <w:rFonts w:ascii="Cambria Math" w:eastAsia="Cambria Math" w:hAnsi="Cambria Math" w:cs="Cambria Math"/>
                  <w:color w:val="000000"/>
                </w:rPr>
              </m:ctrlPr>
            </m:sSubPr>
            <m:e>
              <m:r>
                <w:rPr>
                  <w:rFonts w:ascii="Cambria Math" w:eastAsia="Cambria Math" w:hAnsi="Cambria Math" w:cs="Cambria Math"/>
                  <w:color w:val="000000"/>
                </w:rPr>
                <m:t>δ</m:t>
              </m:r>
            </m:e>
            <m:sub>
              <m:r>
                <w:rPr>
                  <w:rFonts w:ascii="Cambria Math" w:eastAsia="Cambria Math" w:hAnsi="Cambria Math" w:cs="Cambria Math"/>
                  <w:color w:val="000000"/>
                </w:rPr>
                <m:t>gs</m:t>
              </m:r>
            </m:sub>
          </m:sSub>
          <m:r>
            <w:rPr>
              <w:rFonts w:ascii="Cambria Math" w:eastAsia="Cambria Math" w:hAnsi="Cambria Math" w:cs="Cambria Math"/>
              <w:color w:val="000000"/>
            </w:rPr>
            <m:t xml:space="preserve"> + </m:t>
          </m:r>
          <m:sSub>
            <m:sSubPr>
              <m:ctrlPr>
                <w:rPr>
                  <w:rFonts w:ascii="Cambria Math" w:eastAsia="Cambria Math" w:hAnsi="Cambria Math" w:cs="Cambria Math"/>
                  <w:color w:val="000000"/>
                </w:rPr>
              </m:ctrlPr>
            </m:sSubPr>
            <m:e>
              <m:r>
                <w:rPr>
                  <w:rFonts w:ascii="Cambria Math" w:eastAsia="Cambria Math" w:hAnsi="Cambria Math" w:cs="Cambria Math"/>
                  <w:color w:val="000000"/>
                </w:rPr>
                <m:t>ε</m:t>
              </m:r>
            </m:e>
            <m:sub>
              <m:r>
                <w:rPr>
                  <w:rFonts w:ascii="Cambria Math" w:eastAsia="Cambria Math" w:hAnsi="Cambria Math" w:cs="Cambria Math"/>
                  <w:color w:val="000000"/>
                </w:rPr>
                <m:t>icgs</m:t>
              </m:r>
            </m:sub>
          </m:sSub>
        </m:oMath>
      </m:oMathPara>
    </w:p>
    <w:p w14:paraId="2E162722" w14:textId="42CF5D93" w:rsidR="002920B7" w:rsidRPr="002920B7" w:rsidRDefault="002920B7" w:rsidP="002920B7">
      <w:pPr>
        <w:pStyle w:val="NormalWeb"/>
        <w:rPr>
          <w:rFonts w:ascii="Arial" w:eastAsia="Arial" w:hAnsi="Arial" w:cs="Arial"/>
          <w:sz w:val="22"/>
          <w:szCs w:val="22"/>
        </w:rPr>
      </w:pPr>
      <w:r w:rsidRPr="002920B7">
        <w:rPr>
          <w:rFonts w:ascii="Arial" w:eastAsia="Arial" w:hAnsi="Arial" w:cs="Arial"/>
          <w:sz w:val="22"/>
          <w:szCs w:val="22"/>
        </w:rPr>
        <w:t xml:space="preserve">where </w:t>
      </w:r>
      <m:oMath>
        <m:sSubSup>
          <m:sSubSupPr>
            <m:ctrlPr>
              <w:rPr>
                <w:rFonts w:ascii="Cambria Math" w:eastAsia="Cambria Math" w:hAnsi="Cambria Math" w:cs="Cambria Math"/>
                <w:sz w:val="22"/>
                <w:szCs w:val="22"/>
              </w:rPr>
            </m:ctrlPr>
          </m:sSubSupPr>
          <m:e>
            <m:acc>
              <m:accPr>
                <m:chr m:val="̅"/>
                <m:ctrlPr>
                  <w:rPr>
                    <w:rFonts w:ascii="Cambria Math" w:eastAsia="Cambria Math" w:hAnsi="Cambria Math" w:cs="Cambria Math"/>
                    <w:sz w:val="22"/>
                    <w:szCs w:val="22"/>
                  </w:rPr>
                </m:ctrlPr>
              </m:accPr>
              <m:e>
                <m:r>
                  <w:rPr>
                    <w:rFonts w:ascii="Cambria Math" w:eastAsia="Cambria Math" w:hAnsi="Cambria Math" w:cs="Cambria Math"/>
                    <w:sz w:val="22"/>
                    <w:szCs w:val="22"/>
                  </w:rPr>
                  <m:t>Y</m:t>
                </m:r>
              </m:e>
            </m:acc>
          </m:e>
          <m:sub>
            <m:r>
              <w:rPr>
                <w:rFonts w:ascii="Cambria Math" w:eastAsia="Cambria Math" w:hAnsi="Cambria Math" w:cs="Cambria Math"/>
                <w:sz w:val="22"/>
                <w:szCs w:val="22"/>
              </w:rPr>
              <m:t>cgs</m:t>
            </m:r>
          </m:sub>
          <m:sup>
            <m:r>
              <w:rPr>
                <w:rFonts w:ascii="Cambria Math" w:eastAsia="Cambria Math" w:hAnsi="Cambria Math" w:cs="Cambria Math"/>
                <w:sz w:val="22"/>
                <w:szCs w:val="22"/>
              </w:rPr>
              <m:t>BL</m:t>
            </m:r>
          </m:sup>
        </m:sSubSup>
        <m:r>
          <m:rPr>
            <m:sty m:val="p"/>
          </m:rPr>
          <w:rPr>
            <w:rFonts w:ascii="Cambria Math" w:eastAsia="Cambria Math" w:hAnsi="Cambria Math" w:cs="Cambria Math"/>
            <w:sz w:val="22"/>
            <w:szCs w:val="22"/>
          </w:rPr>
          <m:t xml:space="preserve"> </m:t>
        </m:r>
      </m:oMath>
      <w:r w:rsidRPr="002920B7">
        <w:rPr>
          <w:rFonts w:ascii="Arial" w:eastAsia="Arial" w:hAnsi="Arial" w:cs="Arial"/>
          <w:sz w:val="22"/>
          <w:szCs w:val="22"/>
        </w:rPr>
        <w:t xml:space="preserve">is the mean baseline score of consenting students in student i's own classroom. This does not change the </w:t>
      </w:r>
      <w:proofErr w:type="spellStart"/>
      <w:r w:rsidRPr="002920B7">
        <w:rPr>
          <w:rFonts w:ascii="Arial" w:eastAsia="Arial" w:hAnsi="Arial" w:cs="Arial"/>
          <w:sz w:val="22"/>
          <w:szCs w:val="22"/>
        </w:rPr>
        <w:t>estimand</w:t>
      </w:r>
      <w:proofErr w:type="spellEnd"/>
      <w:r w:rsidRPr="002920B7">
        <w:rPr>
          <w:rFonts w:ascii="Arial" w:eastAsia="Arial" w:hAnsi="Arial" w:cs="Arial"/>
          <w:sz w:val="22"/>
          <w:szCs w:val="22"/>
        </w:rPr>
        <w:t xml:space="preserve"> and is included only to assess whether it improves the precision of β, motivated by the fact that CMS sections are ability-sorted rather than randomly composed, leaving residual between-classroom variance in baseline achievement that the school × grade fixed effects alone may not fully absorb (Raudenbush, 1997). Because </w:t>
      </w:r>
      <m:oMath>
        <m:sSubSup>
          <m:sSubSupPr>
            <m:ctrlPr>
              <w:rPr>
                <w:rFonts w:ascii="Cambria Math" w:eastAsia="Cambria Math" w:hAnsi="Cambria Math" w:cs="Cambria Math"/>
                <w:sz w:val="22"/>
                <w:szCs w:val="22"/>
              </w:rPr>
            </m:ctrlPr>
          </m:sSubSupPr>
          <m:e>
            <m:acc>
              <m:accPr>
                <m:chr m:val="̅"/>
                <m:ctrlPr>
                  <w:rPr>
                    <w:rFonts w:ascii="Cambria Math" w:eastAsia="Cambria Math" w:hAnsi="Cambria Math" w:cs="Cambria Math"/>
                    <w:sz w:val="22"/>
                    <w:szCs w:val="22"/>
                  </w:rPr>
                </m:ctrlPr>
              </m:accPr>
              <m:e>
                <m:r>
                  <w:rPr>
                    <w:rFonts w:ascii="Cambria Math" w:eastAsia="Cambria Math" w:hAnsi="Cambria Math" w:cs="Cambria Math"/>
                    <w:sz w:val="22"/>
                    <w:szCs w:val="22"/>
                  </w:rPr>
                  <m:t>Y</m:t>
                </m:r>
              </m:e>
            </m:acc>
          </m:e>
          <m:sub>
            <m:r>
              <w:rPr>
                <w:rFonts w:ascii="Cambria Math" w:eastAsia="Cambria Math" w:hAnsi="Cambria Math" w:cs="Cambria Math"/>
                <w:sz w:val="22"/>
                <w:szCs w:val="22"/>
              </w:rPr>
              <m:t>cgs</m:t>
            </m:r>
          </m:sub>
          <m:sup>
            <m:r>
              <w:rPr>
                <w:rFonts w:ascii="Cambria Math" w:eastAsia="Cambria Math" w:hAnsi="Cambria Math" w:cs="Cambria Math"/>
                <w:sz w:val="22"/>
                <w:szCs w:val="22"/>
              </w:rPr>
              <m:t>BL</m:t>
            </m:r>
          </m:sup>
        </m:sSubSup>
        <m:r>
          <m:rPr>
            <m:sty m:val="p"/>
          </m:rPr>
          <w:rPr>
            <w:rFonts w:ascii="Cambria Math" w:eastAsia="Cambria Math" w:hAnsi="Cambria Math" w:cs="Cambria Math"/>
            <w:sz w:val="22"/>
            <w:szCs w:val="22"/>
          </w:rPr>
          <m:t xml:space="preserve"> </m:t>
        </m:r>
      </m:oMath>
      <w:r w:rsidRPr="002920B7">
        <w:rPr>
          <w:rFonts w:ascii="Arial" w:eastAsia="Arial" w:hAnsi="Arial" w:cs="Arial"/>
          <w:sz w:val="22"/>
          <w:szCs w:val="22"/>
        </w:rPr>
        <w:t>is highly collinear with the fixed effects, γ</w:t>
      </w:r>
      <w:r w:rsidRPr="002920B7">
        <w:rPr>
          <w:rFonts w:ascii="Cambria Math" w:eastAsia="Arial" w:hAnsi="Cambria Math" w:cs="Cambria Math"/>
          <w:sz w:val="22"/>
          <w:szCs w:val="22"/>
        </w:rPr>
        <w:t>₂</w:t>
      </w:r>
      <w:r w:rsidRPr="002920B7">
        <w:rPr>
          <w:rFonts w:ascii="Arial" w:eastAsia="Arial" w:hAnsi="Arial" w:cs="Arial"/>
          <w:sz w:val="22"/>
          <w:szCs w:val="22"/>
        </w:rPr>
        <w:t xml:space="preserve"> will not be interpreted as a compositional or peer effect; it is included solely for precision.</w:t>
      </w:r>
    </w:p>
    <w:p w14:paraId="7EB49B91" w14:textId="77777777" w:rsidR="009D70DD" w:rsidRDefault="002E02A9">
      <w:pPr>
        <w:pStyle w:val="Heading2"/>
      </w:pPr>
      <w:r>
        <w:t>Treatment-on-the-Treated and Dosage Analyses</w:t>
      </w:r>
    </w:p>
    <w:p w14:paraId="7EB49B92" w14:textId="77777777" w:rsidR="009D70DD" w:rsidRDefault="002E02A9">
      <w:pPr>
        <w:pStyle w:val="Heading3"/>
      </w:pPr>
      <w:r>
        <w:t xml:space="preserve">Motivation and </w:t>
      </w:r>
      <w:proofErr w:type="spellStart"/>
      <w:r>
        <w:t>estimand</w:t>
      </w:r>
      <w:proofErr w:type="spellEnd"/>
    </w:p>
    <w:p w14:paraId="7EB49B93" w14:textId="77777777" w:rsidR="009D70DD" w:rsidRDefault="002E02A9">
      <w:pPr>
        <w:spacing w:after="160" w:line="276" w:lineRule="auto"/>
      </w:pPr>
      <w:r>
        <w:t xml:space="preserve">As a secondary analysis, we estimate treatment-on-the-treated and dosage-based effects to examine whether exposure to Gemini Guided Learning is associated with larger learning gains. We consider two complementary measures of exposure. First, the effect of each additional hour of exposure to Gemini-supported instruction, capturing a continuous dose-response relationship. Second, the effect of fulfilling the intended dosage of the intervention, defined as whether a student received the planned level of exposure over the intervention period. Because actual exposure is not randomly assigned at the student level, both measures are instrumented using classroom assignment to treatment, and the estimates are interpreted as local average treatment effects for students whose exposure changes </w:t>
      </w:r>
      <w:proofErr w:type="gramStart"/>
      <w:r>
        <w:t>as a result of</w:t>
      </w:r>
      <w:proofErr w:type="gramEnd"/>
      <w:r>
        <w:t xml:space="preserve"> classroom assignment.</w:t>
      </w:r>
    </w:p>
    <w:p w14:paraId="7EB49B94" w14:textId="77777777" w:rsidR="009D70DD" w:rsidRDefault="002E02A9">
      <w:pPr>
        <w:pStyle w:val="Heading3"/>
      </w:pPr>
      <w:r>
        <w:t>Dosage definition</w:t>
      </w:r>
    </w:p>
    <w:p w14:paraId="7EB49B95" w14:textId="6139AD0C" w:rsidR="009D70DD" w:rsidRDefault="002E02A9">
      <w:pPr>
        <w:spacing w:after="160" w:line="276" w:lineRule="auto"/>
      </w:pPr>
      <w:r>
        <w:t xml:space="preserve">Dosage is constructed from implementation monitoring data and student attendance records for Gemini-supported lessons. The continuous measure is the total number of hours each student was present during Gemini-supported lessons. The intended dosage measure is whether the student reached the planned exposure level for the intervention, this is 2 science classes (one </w:t>
      </w:r>
      <w:r>
        <w:lastRenderedPageBreak/>
        <w:t xml:space="preserve">each of Physics and Chemistry) by week (35 minutes each) for </w:t>
      </w:r>
      <w:sdt>
        <w:sdtPr>
          <w:tag w:val="goog_rdk_8"/>
          <w:id w:val="1272071204"/>
        </w:sdtPr>
        <w:sdtContent/>
      </w:sdt>
      <w:sdt>
        <w:sdtPr>
          <w:tag w:val="goog_rdk_9"/>
          <w:id w:val="948369425"/>
        </w:sdtPr>
        <w:sdtContent/>
      </w:sdt>
      <w:sdt>
        <w:sdtPr>
          <w:tag w:val="goog_rdk_10"/>
          <w:id w:val="1276796057"/>
        </w:sdtPr>
        <w:sdtContent/>
      </w:sdt>
      <w:sdt>
        <w:sdtPr>
          <w:tag w:val="goog_rdk_11"/>
          <w:id w:val="192679275"/>
        </w:sdtPr>
        <w:sdtContent/>
      </w:sdt>
      <w:r>
        <w:t>around 1</w:t>
      </w:r>
      <w:r w:rsidR="00A06220">
        <w:t>3</w:t>
      </w:r>
      <w:r>
        <w:t xml:space="preserve"> academic weeks. Both measures are instrumented using classroom assignment to treatment, since actual exposure depends on attendance and implementation fidelity.</w:t>
      </w:r>
    </w:p>
    <w:p w14:paraId="7EB49B96" w14:textId="77777777" w:rsidR="009D70DD" w:rsidRDefault="002E02A9">
      <w:pPr>
        <w:pStyle w:val="Heading3"/>
      </w:pPr>
      <w:r>
        <w:t>TOT specification 1: Design-based endline-only IV model</w:t>
      </w:r>
    </w:p>
    <w:p w14:paraId="7EB49B97" w14:textId="77777777" w:rsidR="009D70DD" w:rsidRDefault="002E02A9">
      <w:pPr>
        <w:spacing w:after="160" w:line="276" w:lineRule="auto"/>
      </w:pPr>
      <w:r>
        <w:t>This specification mirrors the design-based ITT benchmark and does not condition on baseline outcomes.</w:t>
      </w:r>
    </w:p>
    <w:p w14:paraId="7EB49B98" w14:textId="77777777" w:rsidR="009D70DD" w:rsidRDefault="002E02A9">
      <w:pPr>
        <w:spacing w:before="80" w:after="160"/>
        <w:jc w:val="center"/>
      </w:pPr>
      <w:r>
        <w:rPr>
          <w:i/>
          <w:iCs/>
        </w:rPr>
        <w:t xml:space="preserve">First stage:  </w:t>
      </w:r>
      <m:oMath>
        <m:sSub>
          <m:sSubPr>
            <m:ctrlPr>
              <w:rPr>
                <w:rFonts w:ascii="Cambria Math" w:eastAsia="Cambria Math" w:hAnsi="Cambria Math" w:cs="Cambria Math"/>
              </w:rPr>
            </m:ctrlPr>
          </m:sSubPr>
          <m:e>
            <m:r>
              <w:rPr>
                <w:rFonts w:ascii="Cambria Math" w:eastAsia="Cambria Math" w:hAnsi="Cambria Math" w:cs="Cambria Math"/>
              </w:rPr>
              <m:t>Dosage</m:t>
            </m:r>
          </m:e>
          <m:sub>
            <m:r>
              <w:rPr>
                <w:rFonts w:ascii="Cambria Math" w:eastAsia="Cambria Math" w:hAnsi="Cambria Math" w:cs="Cambria Math"/>
              </w:rPr>
              <m:t>icgs</m:t>
            </m:r>
          </m:sub>
        </m:sSub>
        <m:r>
          <w:rPr>
            <w:rFonts w:ascii="Cambria Math" w:eastAsia="Cambria Math" w:hAnsi="Cambria Math" w:cs="Cambria Math"/>
          </w:rPr>
          <m:t xml:space="preserve">= κ+ </m:t>
        </m:r>
        <m:sSub>
          <m:sSubPr>
            <m:ctrlPr>
              <w:rPr>
                <w:rFonts w:ascii="Cambria Math" w:eastAsia="Cambria Math" w:hAnsi="Cambria Math" w:cs="Cambria Math"/>
              </w:rPr>
            </m:ctrlPr>
          </m:sSubPr>
          <m:e>
            <m:r>
              <w:rPr>
                <w:rFonts w:ascii="Cambria Math" w:eastAsia="Cambria Math" w:hAnsi="Cambria Math" w:cs="Cambria Math"/>
              </w:rPr>
              <m:t>κ</m:t>
            </m:r>
          </m:e>
          <m:sub>
            <m:r>
              <w:rPr>
                <w:rFonts w:ascii="Cambria Math" w:eastAsia="Cambria Math" w:hAnsi="Cambria Math" w:cs="Cambria Math"/>
              </w:rPr>
              <m:t>1</m:t>
            </m:r>
          </m:sub>
        </m:sSub>
        <m:sSub>
          <m:sSubPr>
            <m:ctrlPr>
              <w:rPr>
                <w:rFonts w:ascii="Cambria Math" w:eastAsia="Cambria Math" w:hAnsi="Cambria Math" w:cs="Cambria Math"/>
              </w:rPr>
            </m:ctrlPr>
          </m:sSubPr>
          <m:e>
            <m:r>
              <w:rPr>
                <w:rFonts w:ascii="Cambria Math" w:eastAsia="Cambria Math" w:hAnsi="Cambria Math" w:cs="Cambria Math"/>
              </w:rPr>
              <m:t>D</m:t>
            </m:r>
          </m:e>
          <m:sub>
            <m:r>
              <w:rPr>
                <w:rFonts w:ascii="Cambria Math" w:eastAsia="Cambria Math" w:hAnsi="Cambria Math" w:cs="Cambria Math"/>
              </w:rPr>
              <m:t>cgs</m:t>
            </m:r>
          </m:sub>
        </m:sSub>
        <m:r>
          <w:rPr>
            <w:rFonts w:ascii="Cambria Math" w:eastAsia="Cambria Math" w:hAnsi="Cambria Math" w:cs="Cambria Math"/>
          </w:rPr>
          <m:t xml:space="preserve">+ </m:t>
        </m:r>
        <m:sSub>
          <m:sSubPr>
            <m:ctrlPr>
              <w:rPr>
                <w:rFonts w:ascii="Cambria Math" w:eastAsia="Cambria Math" w:hAnsi="Cambria Math" w:cs="Cambria Math"/>
              </w:rPr>
            </m:ctrlPr>
          </m:sSubPr>
          <m:e>
            <m:r>
              <w:rPr>
                <w:rFonts w:ascii="Cambria Math" w:eastAsia="Cambria Math" w:hAnsi="Cambria Math" w:cs="Cambria Math"/>
              </w:rPr>
              <m:t>δ</m:t>
            </m:r>
          </m:e>
          <m:sub>
            <m:r>
              <w:rPr>
                <w:rFonts w:ascii="Cambria Math" w:eastAsia="Cambria Math" w:hAnsi="Cambria Math" w:cs="Cambria Math"/>
              </w:rPr>
              <m:t>gs</m:t>
            </m:r>
          </m:sub>
        </m:sSub>
        <m:r>
          <w:rPr>
            <w:rFonts w:ascii="Cambria Math" w:eastAsia="Cambria Math" w:hAnsi="Cambria Math" w:cs="Cambria Math"/>
          </w:rPr>
          <m:t xml:space="preserve"> + </m:t>
        </m:r>
        <m:sSub>
          <m:sSubPr>
            <m:ctrlPr>
              <w:rPr>
                <w:rFonts w:ascii="Cambria Math" w:eastAsia="Cambria Math" w:hAnsi="Cambria Math" w:cs="Cambria Math"/>
              </w:rPr>
            </m:ctrlPr>
          </m:sSubPr>
          <m:e>
            <m:r>
              <w:rPr>
                <w:rFonts w:ascii="Cambria Math" w:eastAsia="Cambria Math" w:hAnsi="Cambria Math" w:cs="Cambria Math"/>
              </w:rPr>
              <m:t>μ</m:t>
            </m:r>
          </m:e>
          <m:sub>
            <m:r>
              <w:rPr>
                <w:rFonts w:ascii="Cambria Math" w:eastAsia="Cambria Math" w:hAnsi="Cambria Math" w:cs="Cambria Math"/>
              </w:rPr>
              <m:t>icgs</m:t>
            </m:r>
          </m:sub>
        </m:sSub>
      </m:oMath>
    </w:p>
    <w:p w14:paraId="7EB49B99" w14:textId="77777777" w:rsidR="009D70DD" w:rsidRDefault="002E02A9">
      <w:pPr>
        <w:pBdr>
          <w:top w:val="nil"/>
          <w:left w:val="nil"/>
          <w:bottom w:val="nil"/>
          <w:right w:val="nil"/>
          <w:between w:val="nil"/>
        </w:pBdr>
        <w:jc w:val="center"/>
        <w:rPr>
          <w:color w:val="000000"/>
          <w:sz w:val="24"/>
          <w:szCs w:val="24"/>
        </w:rPr>
      </w:pPr>
      <w:r>
        <w:rPr>
          <w:i/>
          <w:iCs/>
          <w:color w:val="000000"/>
        </w:rPr>
        <w:t xml:space="preserve">Second stage:  </w:t>
      </w:r>
      <m:oMath>
        <m:sSubSup>
          <m:sSubSupPr>
            <m:ctrlPr>
              <w:rPr>
                <w:rFonts w:ascii="Cambria Math" w:eastAsia="Cambria Math" w:hAnsi="Cambria Math" w:cs="Cambria Math"/>
                <w:color w:val="000000"/>
                <w:sz w:val="24"/>
                <w:szCs w:val="24"/>
              </w:rPr>
            </m:ctrlPr>
          </m:sSubSupPr>
          <m:e>
            <m:r>
              <w:rPr>
                <w:rFonts w:ascii="Cambria Math" w:eastAsia="Cambria Math" w:hAnsi="Cambria Math" w:cs="Cambria Math"/>
                <w:color w:val="000000"/>
                <w:sz w:val="24"/>
                <w:szCs w:val="24"/>
              </w:rPr>
              <m:t>Y</m:t>
            </m:r>
          </m:e>
          <m:sub>
            <m:r>
              <w:rPr>
                <w:rFonts w:ascii="Cambria Math" w:eastAsia="Cambria Math" w:hAnsi="Cambria Math" w:cs="Cambria Math"/>
                <w:color w:val="000000"/>
                <w:sz w:val="24"/>
                <w:szCs w:val="24"/>
              </w:rPr>
              <m:t>icgs</m:t>
            </m:r>
          </m:sub>
          <m:sup>
            <m:r>
              <w:rPr>
                <w:rFonts w:ascii="Cambria Math" w:eastAsia="Cambria Math" w:hAnsi="Cambria Math" w:cs="Cambria Math"/>
                <w:color w:val="000000"/>
                <w:sz w:val="24"/>
                <w:szCs w:val="24"/>
              </w:rPr>
              <m:t>EL</m:t>
            </m:r>
          </m:sup>
        </m:sSubSup>
        <m:r>
          <w:rPr>
            <w:rFonts w:ascii="Cambria Math" w:eastAsia="Cambria Math" w:hAnsi="Cambria Math" w:cs="Cambria Math"/>
            <w:color w:val="000000"/>
            <w:sz w:val="24"/>
            <w:szCs w:val="24"/>
          </w:rPr>
          <m:t xml:space="preserve">= α+ </m:t>
        </m:r>
        <m:sSub>
          <m:sSubPr>
            <m:ctrlPr>
              <w:rPr>
                <w:rFonts w:ascii="Cambria Math" w:eastAsia="Cambria Math" w:hAnsi="Cambria Math" w:cs="Cambria Math"/>
                <w:color w:val="000000"/>
                <w:sz w:val="24"/>
                <w:szCs w:val="24"/>
              </w:rPr>
            </m:ctrlPr>
          </m:sSubPr>
          <m:e>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β</m:t>
                </m:r>
              </m:e>
              <m:sub>
                <m:r>
                  <w:rPr>
                    <w:rFonts w:ascii="Cambria Math" w:eastAsia="Cambria Math" w:hAnsi="Cambria Math" w:cs="Cambria Math"/>
                    <w:color w:val="000000"/>
                    <w:sz w:val="24"/>
                    <w:szCs w:val="24"/>
                  </w:rPr>
                  <m:t>tot</m:t>
                </m:r>
              </m:sub>
            </m:sSub>
            <m:acc>
              <m:accPr>
                <m:ctrlPr>
                  <w:rPr>
                    <w:rFonts w:ascii="Cambria Math" w:eastAsia="Cambria Math" w:hAnsi="Cambria Math" w:cs="Cambria Math"/>
                    <w:color w:val="000000"/>
                    <w:sz w:val="24"/>
                    <w:szCs w:val="24"/>
                  </w:rPr>
                </m:ctrlPr>
              </m:accPr>
              <m:e>
                <m:r>
                  <w:rPr>
                    <w:rFonts w:ascii="Cambria Math" w:eastAsia="Cambria Math" w:hAnsi="Cambria Math" w:cs="Cambria Math"/>
                    <w:color w:val="000000"/>
                    <w:sz w:val="24"/>
                    <w:szCs w:val="24"/>
                  </w:rPr>
                  <m:t>Dosage</m:t>
                </m:r>
              </m:e>
            </m:acc>
          </m:e>
          <m:sub>
            <m:r>
              <w:rPr>
                <w:rFonts w:ascii="Cambria Math" w:eastAsia="Cambria Math" w:hAnsi="Cambria Math" w:cs="Cambria Math"/>
                <w:color w:val="000000"/>
                <w:sz w:val="24"/>
                <w:szCs w:val="24"/>
              </w:rPr>
              <m:t xml:space="preserve">icgs </m:t>
            </m:r>
          </m:sub>
        </m:sSub>
        <m:r>
          <w:rPr>
            <w:rFonts w:ascii="Cambria Math" w:eastAsia="Cambria Math" w:hAnsi="Cambria Math" w:cs="Cambria Math"/>
            <w:color w:val="000000"/>
            <w:sz w:val="24"/>
            <w:szCs w:val="24"/>
          </w:rPr>
          <m:t xml:space="preserve">+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δ</m:t>
            </m:r>
          </m:e>
          <m:sub>
            <m:r>
              <w:rPr>
                <w:rFonts w:ascii="Cambria Math" w:eastAsia="Cambria Math" w:hAnsi="Cambria Math" w:cs="Cambria Math"/>
                <w:color w:val="000000"/>
                <w:sz w:val="24"/>
                <w:szCs w:val="24"/>
              </w:rPr>
              <m:t xml:space="preserve">gs </m:t>
            </m:r>
          </m:sub>
        </m:sSub>
        <m:r>
          <w:rPr>
            <w:rFonts w:ascii="Cambria Math" w:eastAsia="Cambria Math" w:hAnsi="Cambria Math" w:cs="Cambria Math"/>
            <w:color w:val="000000"/>
            <w:sz w:val="24"/>
            <w:szCs w:val="24"/>
          </w:rPr>
          <m:t xml:space="preserve"> +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ε</m:t>
            </m:r>
          </m:e>
          <m:sub>
            <m:r>
              <w:rPr>
                <w:rFonts w:ascii="Cambria Math" w:eastAsia="Cambria Math" w:hAnsi="Cambria Math" w:cs="Cambria Math"/>
                <w:color w:val="000000"/>
                <w:sz w:val="24"/>
                <w:szCs w:val="24"/>
              </w:rPr>
              <m:t>icgs</m:t>
            </m:r>
          </m:sub>
        </m:sSub>
      </m:oMath>
    </w:p>
    <w:p w14:paraId="7EB49B9A" w14:textId="77777777" w:rsidR="009D70DD" w:rsidRDefault="00000000">
      <w:pPr>
        <w:spacing w:after="160" w:line="276" w:lineRule="auto"/>
      </w:pPr>
      <m:oMath>
        <m:sSub>
          <m:sSubPr>
            <m:ctrlPr>
              <w:rPr>
                <w:rFonts w:ascii="Cambria Math" w:eastAsia="Cambria Math" w:hAnsi="Cambria Math" w:cs="Cambria Math"/>
              </w:rPr>
            </m:ctrlPr>
          </m:sSubPr>
          <m:e>
            <m:r>
              <w:rPr>
                <w:rFonts w:ascii="Cambria Math" w:eastAsia="Cambria Math" w:hAnsi="Cambria Math" w:cs="Cambria Math"/>
              </w:rPr>
              <m:t>Dosage</m:t>
            </m:r>
          </m:e>
          <m:sub>
            <m:r>
              <w:rPr>
                <w:rFonts w:ascii="Cambria Math" w:eastAsia="Cambria Math" w:hAnsi="Cambria Math" w:cs="Cambria Math"/>
              </w:rPr>
              <m:t>icgs</m:t>
            </m:r>
          </m:sub>
        </m:sSub>
      </m:oMath>
      <w:r w:rsidR="002E02A9">
        <w:t xml:space="preserve"> denotes either total hours of exposure or intended dosage completion, depending on the specification. </w:t>
      </w:r>
      <m:oMath>
        <m:sSub>
          <m:sSubPr>
            <m:ctrlPr>
              <w:rPr>
                <w:rFonts w:ascii="Cambria Math" w:eastAsia="Cambria Math" w:hAnsi="Cambria Math" w:cs="Cambria Math"/>
              </w:rPr>
            </m:ctrlPr>
          </m:sSubPr>
          <m:e>
            <m:r>
              <w:rPr>
                <w:rFonts w:ascii="Cambria Math" w:hAnsi="Cambria Math"/>
              </w:rPr>
              <m:t>β</m:t>
            </m:r>
          </m:e>
          <m:sub>
            <m:r>
              <w:rPr>
                <w:rFonts w:ascii="Cambria Math" w:eastAsia="Cambria Math" w:hAnsi="Cambria Math" w:cs="Cambria Math"/>
              </w:rPr>
              <m:t>tot</m:t>
            </m:r>
          </m:sub>
        </m:sSub>
      </m:oMath>
      <w:r w:rsidR="002E02A9">
        <w:t xml:space="preserve"> is interpreted as the effect on endline science achievement per additional hour of Gemini exposure for compliers.</w:t>
      </w:r>
    </w:p>
    <w:p w14:paraId="7EB49B9B" w14:textId="77777777" w:rsidR="009D70DD" w:rsidRDefault="002E02A9">
      <w:pPr>
        <w:pStyle w:val="Heading3"/>
      </w:pPr>
      <w:r>
        <w:t>TOT specification 2: IV-ANCOVA with baseline achievement (primary)</w:t>
      </w:r>
    </w:p>
    <w:p w14:paraId="7EB49B9C" w14:textId="77777777" w:rsidR="009D70DD" w:rsidRDefault="002E02A9">
      <w:pPr>
        <w:spacing w:after="160" w:line="276" w:lineRule="auto"/>
      </w:pPr>
      <w:r>
        <w:t>We estimate a two-stage least squares model that instruments student dosage with classroom assignment to treatment. All specifications include school × grade fixed effects, and standard errors are clustered at the classroom level. This is the preferred dosage specification.</w:t>
      </w:r>
    </w:p>
    <w:p w14:paraId="7EB49B9D" w14:textId="77777777" w:rsidR="009D70DD" w:rsidRDefault="00000000">
      <w:pPr>
        <w:jc w:val="center"/>
        <w:rPr>
          <w:rFonts w:ascii="Cambria Math" w:eastAsia="Cambria Math" w:hAnsi="Cambria Math" w:cs="Cambria Math"/>
          <w:color w:val="000000"/>
          <w:sz w:val="24"/>
          <w:szCs w:val="24"/>
        </w:rPr>
      </w:pPr>
      <m:oMathPara>
        <m:oMath>
          <m:sSubSup>
            <m:sSubSupPr>
              <m:ctrlPr>
                <w:rPr>
                  <w:rFonts w:ascii="Cambria Math" w:eastAsia="Cambria Math" w:hAnsi="Cambria Math" w:cs="Cambria Math"/>
                  <w:color w:val="000000"/>
                  <w:sz w:val="24"/>
                  <w:szCs w:val="24"/>
                </w:rPr>
              </m:ctrlPr>
            </m:sSubSupPr>
            <m:e>
              <m:r>
                <w:rPr>
                  <w:rFonts w:ascii="Cambria Math" w:eastAsia="Cambria Math" w:hAnsi="Cambria Math" w:cs="Cambria Math"/>
                  <w:color w:val="000000"/>
                  <w:sz w:val="24"/>
                  <w:szCs w:val="24"/>
                </w:rPr>
                <m:t>Y</m:t>
              </m:r>
            </m:e>
            <m:sub>
              <m:r>
                <w:rPr>
                  <w:rFonts w:ascii="Cambria Math" w:eastAsia="Cambria Math" w:hAnsi="Cambria Math" w:cs="Cambria Math"/>
                  <w:color w:val="000000"/>
                  <w:sz w:val="24"/>
                  <w:szCs w:val="24"/>
                </w:rPr>
                <m:t>icgs</m:t>
              </m:r>
            </m:sub>
            <m:sup>
              <m:r>
                <w:rPr>
                  <w:rFonts w:ascii="Cambria Math" w:eastAsia="Cambria Math" w:hAnsi="Cambria Math" w:cs="Cambria Math"/>
                  <w:color w:val="000000"/>
                  <w:sz w:val="24"/>
                  <w:szCs w:val="24"/>
                </w:rPr>
                <m:t>EL</m:t>
              </m:r>
            </m:sup>
          </m:sSubSup>
          <m:r>
            <w:rPr>
              <w:rFonts w:ascii="Cambria Math" w:eastAsia="Cambria Math" w:hAnsi="Cambria Math" w:cs="Cambria Math"/>
              <w:color w:val="000000"/>
              <w:sz w:val="24"/>
              <w:szCs w:val="24"/>
            </w:rPr>
            <m:t xml:space="preserve">= α+ </m:t>
          </m:r>
          <m:sSub>
            <m:sSubPr>
              <m:ctrlPr>
                <w:rPr>
                  <w:rFonts w:ascii="Cambria Math" w:eastAsia="Cambria Math" w:hAnsi="Cambria Math" w:cs="Cambria Math"/>
                  <w:color w:val="000000"/>
                  <w:sz w:val="24"/>
                  <w:szCs w:val="24"/>
                </w:rPr>
              </m:ctrlPr>
            </m:sSubPr>
            <m:e>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β</m:t>
                  </m:r>
                </m:e>
                <m:sub>
                  <m:r>
                    <w:rPr>
                      <w:rFonts w:ascii="Cambria Math" w:eastAsia="Cambria Math" w:hAnsi="Cambria Math" w:cs="Cambria Math"/>
                      <w:color w:val="000000"/>
                      <w:sz w:val="24"/>
                      <w:szCs w:val="24"/>
                    </w:rPr>
                    <m:t>tot</m:t>
                  </m:r>
                </m:sub>
              </m:sSub>
              <m:acc>
                <m:accPr>
                  <m:ctrlPr>
                    <w:rPr>
                      <w:rFonts w:ascii="Cambria Math" w:eastAsia="Cambria Math" w:hAnsi="Cambria Math" w:cs="Cambria Math"/>
                      <w:color w:val="000000"/>
                      <w:sz w:val="24"/>
                      <w:szCs w:val="24"/>
                    </w:rPr>
                  </m:ctrlPr>
                </m:accPr>
                <m:e>
                  <m:r>
                    <w:rPr>
                      <w:rFonts w:ascii="Cambria Math" w:eastAsia="Cambria Math" w:hAnsi="Cambria Math" w:cs="Cambria Math"/>
                      <w:color w:val="000000"/>
                      <w:sz w:val="24"/>
                      <w:szCs w:val="24"/>
                    </w:rPr>
                    <m:t>Dosage</m:t>
                  </m:r>
                </m:e>
              </m:acc>
            </m:e>
            <m:sub>
              <m:r>
                <w:rPr>
                  <w:rFonts w:ascii="Cambria Math" w:eastAsia="Cambria Math" w:hAnsi="Cambria Math" w:cs="Cambria Math"/>
                  <w:color w:val="000000"/>
                  <w:sz w:val="24"/>
                  <w:szCs w:val="24"/>
                </w:rPr>
                <m:t xml:space="preserve">icgs </m:t>
              </m:r>
            </m:sub>
          </m:sSub>
          <m:r>
            <w:rPr>
              <w:rFonts w:ascii="Cambria Math" w:eastAsia="Cambria Math" w:hAnsi="Cambria Math" w:cs="Cambria Math"/>
              <w:color w:val="000000"/>
              <w:sz w:val="24"/>
              <w:szCs w:val="24"/>
            </w:rPr>
            <m:t xml:space="preserve">+ </m:t>
          </m:r>
          <m:sSubSup>
            <m:sSubSupPr>
              <m:ctrlPr>
                <w:rPr>
                  <w:rFonts w:ascii="Cambria Math" w:eastAsia="Cambria Math" w:hAnsi="Cambria Math" w:cs="Cambria Math"/>
                  <w:color w:val="000000"/>
                  <w:sz w:val="24"/>
                  <w:szCs w:val="24"/>
                </w:rPr>
              </m:ctrlPr>
            </m:sSubSupPr>
            <m:e>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γ</m:t>
                  </m:r>
                </m:e>
                <m:sub>
                  <m:r>
                    <w:rPr>
                      <w:rFonts w:ascii="Cambria Math" w:eastAsia="Cambria Math" w:hAnsi="Cambria Math" w:cs="Cambria Math"/>
                      <w:color w:val="000000"/>
                      <w:sz w:val="24"/>
                      <w:szCs w:val="24"/>
                    </w:rPr>
                    <m:t>1</m:t>
                  </m:r>
                </m:sub>
              </m:sSub>
              <m:r>
                <w:rPr>
                  <w:rFonts w:ascii="Cambria Math" w:eastAsia="Cambria Math" w:hAnsi="Cambria Math" w:cs="Cambria Math"/>
                  <w:color w:val="000000"/>
                  <w:sz w:val="24"/>
                  <w:szCs w:val="24"/>
                </w:rPr>
                <m:t>Y</m:t>
              </m:r>
            </m:e>
            <m:sub>
              <m:r>
                <w:rPr>
                  <w:rFonts w:ascii="Cambria Math" w:eastAsia="Cambria Math" w:hAnsi="Cambria Math" w:cs="Cambria Math"/>
                  <w:color w:val="000000"/>
                  <w:sz w:val="24"/>
                  <w:szCs w:val="24"/>
                </w:rPr>
                <m:t>icgs</m:t>
              </m:r>
            </m:sub>
            <m:sup>
              <m:r>
                <w:rPr>
                  <w:rFonts w:ascii="Cambria Math" w:eastAsia="Cambria Math" w:hAnsi="Cambria Math" w:cs="Cambria Math"/>
                  <w:color w:val="000000"/>
                  <w:sz w:val="24"/>
                  <w:szCs w:val="24"/>
                </w:rPr>
                <m:t>BL</m:t>
              </m:r>
            </m:sup>
          </m:sSubSup>
          <m:r>
            <w:rPr>
              <w:rFonts w:ascii="Cambria Math" w:eastAsia="Cambria Math" w:hAnsi="Cambria Math" w:cs="Cambria Math"/>
              <w:color w:val="000000"/>
              <w:sz w:val="24"/>
              <w:szCs w:val="24"/>
            </w:rPr>
            <m:t xml:space="preserve">+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δ</m:t>
              </m:r>
            </m:e>
            <m:sub>
              <m:r>
                <w:rPr>
                  <w:rFonts w:ascii="Cambria Math" w:eastAsia="Cambria Math" w:hAnsi="Cambria Math" w:cs="Cambria Math"/>
                  <w:color w:val="000000"/>
                  <w:sz w:val="24"/>
                  <w:szCs w:val="24"/>
                </w:rPr>
                <m:t xml:space="preserve">gs </m:t>
              </m:r>
            </m:sub>
          </m:sSub>
          <m:r>
            <w:rPr>
              <w:rFonts w:ascii="Cambria Math" w:eastAsia="Cambria Math" w:hAnsi="Cambria Math" w:cs="Cambria Math"/>
              <w:color w:val="000000"/>
              <w:sz w:val="24"/>
              <w:szCs w:val="24"/>
            </w:rPr>
            <m:t xml:space="preserve"> +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ε</m:t>
              </m:r>
            </m:e>
            <m:sub>
              <m:r>
                <w:rPr>
                  <w:rFonts w:ascii="Cambria Math" w:eastAsia="Cambria Math" w:hAnsi="Cambria Math" w:cs="Cambria Math"/>
                  <w:color w:val="000000"/>
                  <w:sz w:val="24"/>
                  <w:szCs w:val="24"/>
                </w:rPr>
                <m:t>icgs</m:t>
              </m:r>
            </m:sub>
          </m:sSub>
        </m:oMath>
      </m:oMathPara>
    </w:p>
    <w:p w14:paraId="7EB49B9E" w14:textId="77777777" w:rsidR="009D70DD" w:rsidRDefault="002E02A9">
      <w:pPr>
        <w:pStyle w:val="Heading3"/>
      </w:pPr>
      <w:r>
        <w:t>TOT specification 3: IV-ANCOVA with additional baseline adjustment (robustness)</w:t>
      </w:r>
    </w:p>
    <w:p w14:paraId="7EB49B9F" w14:textId="77777777" w:rsidR="009D70DD" w:rsidRDefault="002E02A9">
      <w:pPr>
        <w:spacing w:after="160" w:line="276" w:lineRule="auto"/>
      </w:pPr>
      <w:r>
        <w:t xml:space="preserve">As a robustness check, we estimate an augmented IV-ANCOVA specification that additionally adjusts for the pre-treatment student characteristics collected at baseline. Treatment assignment and school × grade fixed effects are always included. This specification does not change the </w:t>
      </w:r>
      <w:proofErr w:type="spellStart"/>
      <w:r>
        <w:t>estimand</w:t>
      </w:r>
      <w:proofErr w:type="spellEnd"/>
      <w:r>
        <w:t xml:space="preserve"> and is used to assess robustness and potential precision gains.</w:t>
      </w:r>
    </w:p>
    <w:p w14:paraId="7EB49BA0" w14:textId="77777777" w:rsidR="009D70DD" w:rsidRDefault="00000000">
      <w:pPr>
        <w:jc w:val="center"/>
        <w:rPr>
          <w:rFonts w:ascii="Cambria Math" w:eastAsia="Cambria Math" w:hAnsi="Cambria Math" w:cs="Cambria Math"/>
          <w:color w:val="000000"/>
          <w:sz w:val="24"/>
          <w:szCs w:val="24"/>
        </w:rPr>
      </w:pPr>
      <m:oMathPara>
        <m:oMath>
          <m:sSubSup>
            <m:sSubSupPr>
              <m:ctrlPr>
                <w:rPr>
                  <w:rFonts w:ascii="Cambria Math" w:eastAsia="Cambria Math" w:hAnsi="Cambria Math" w:cs="Cambria Math"/>
                  <w:color w:val="000000"/>
                  <w:sz w:val="24"/>
                  <w:szCs w:val="24"/>
                </w:rPr>
              </m:ctrlPr>
            </m:sSubSupPr>
            <m:e>
              <m:r>
                <w:rPr>
                  <w:rFonts w:ascii="Cambria Math" w:eastAsia="Cambria Math" w:hAnsi="Cambria Math" w:cs="Cambria Math"/>
                  <w:color w:val="000000"/>
                  <w:sz w:val="24"/>
                  <w:szCs w:val="24"/>
                </w:rPr>
                <m:t>Y</m:t>
              </m:r>
            </m:e>
            <m:sub>
              <m:r>
                <w:rPr>
                  <w:rFonts w:ascii="Cambria Math" w:eastAsia="Cambria Math" w:hAnsi="Cambria Math" w:cs="Cambria Math"/>
                  <w:color w:val="000000"/>
                  <w:sz w:val="24"/>
                  <w:szCs w:val="24"/>
                </w:rPr>
                <m:t>icgs</m:t>
              </m:r>
            </m:sub>
            <m:sup>
              <m:r>
                <w:rPr>
                  <w:rFonts w:ascii="Cambria Math" w:eastAsia="Cambria Math" w:hAnsi="Cambria Math" w:cs="Cambria Math"/>
                  <w:color w:val="000000"/>
                  <w:sz w:val="24"/>
                  <w:szCs w:val="24"/>
                </w:rPr>
                <m:t>EL</m:t>
              </m:r>
            </m:sup>
          </m:sSubSup>
          <m:r>
            <w:rPr>
              <w:rFonts w:ascii="Cambria Math" w:eastAsia="Cambria Math" w:hAnsi="Cambria Math" w:cs="Cambria Math"/>
              <w:color w:val="000000"/>
              <w:sz w:val="24"/>
              <w:szCs w:val="24"/>
            </w:rPr>
            <m:t xml:space="preserve">= α+ </m:t>
          </m:r>
          <m:sSub>
            <m:sSubPr>
              <m:ctrlPr>
                <w:rPr>
                  <w:rFonts w:ascii="Cambria Math" w:eastAsia="Cambria Math" w:hAnsi="Cambria Math" w:cs="Cambria Math"/>
                  <w:color w:val="000000"/>
                  <w:sz w:val="24"/>
                  <w:szCs w:val="24"/>
                </w:rPr>
              </m:ctrlPr>
            </m:sSubPr>
            <m:e>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β</m:t>
                  </m:r>
                </m:e>
                <m:sub>
                  <m:r>
                    <w:rPr>
                      <w:rFonts w:ascii="Cambria Math" w:eastAsia="Cambria Math" w:hAnsi="Cambria Math" w:cs="Cambria Math"/>
                      <w:color w:val="000000"/>
                      <w:sz w:val="24"/>
                      <w:szCs w:val="24"/>
                    </w:rPr>
                    <m:t>tot</m:t>
                  </m:r>
                </m:sub>
              </m:sSub>
              <m:acc>
                <m:accPr>
                  <m:ctrlPr>
                    <w:rPr>
                      <w:rFonts w:ascii="Cambria Math" w:eastAsia="Cambria Math" w:hAnsi="Cambria Math" w:cs="Cambria Math"/>
                      <w:color w:val="000000"/>
                      <w:sz w:val="24"/>
                      <w:szCs w:val="24"/>
                    </w:rPr>
                  </m:ctrlPr>
                </m:accPr>
                <m:e>
                  <m:r>
                    <w:rPr>
                      <w:rFonts w:ascii="Cambria Math" w:eastAsia="Cambria Math" w:hAnsi="Cambria Math" w:cs="Cambria Math"/>
                      <w:color w:val="000000"/>
                      <w:sz w:val="24"/>
                      <w:szCs w:val="24"/>
                    </w:rPr>
                    <m:t>Dosage</m:t>
                  </m:r>
                </m:e>
              </m:acc>
            </m:e>
            <m:sub>
              <m:r>
                <w:rPr>
                  <w:rFonts w:ascii="Cambria Math" w:eastAsia="Cambria Math" w:hAnsi="Cambria Math" w:cs="Cambria Math"/>
                  <w:color w:val="000000"/>
                  <w:sz w:val="24"/>
                  <w:szCs w:val="24"/>
                </w:rPr>
                <m:t xml:space="preserve">icgs </m:t>
              </m:r>
            </m:sub>
          </m:sSub>
          <m:r>
            <w:rPr>
              <w:rFonts w:ascii="Cambria Math" w:eastAsia="Cambria Math" w:hAnsi="Cambria Math" w:cs="Cambria Math"/>
              <w:color w:val="000000"/>
              <w:sz w:val="24"/>
              <w:szCs w:val="24"/>
            </w:rPr>
            <m:t xml:space="preserve">+ </m:t>
          </m:r>
          <m:sSubSup>
            <m:sSubSupPr>
              <m:ctrlPr>
                <w:rPr>
                  <w:rFonts w:ascii="Cambria Math" w:eastAsia="Cambria Math" w:hAnsi="Cambria Math" w:cs="Cambria Math"/>
                  <w:color w:val="000000"/>
                  <w:sz w:val="24"/>
                  <w:szCs w:val="24"/>
                </w:rPr>
              </m:ctrlPr>
            </m:sSubSupPr>
            <m:e>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γ</m:t>
                  </m:r>
                </m:e>
                <m:sub>
                  <m:r>
                    <w:rPr>
                      <w:rFonts w:ascii="Cambria Math" w:eastAsia="Cambria Math" w:hAnsi="Cambria Math" w:cs="Cambria Math"/>
                      <w:color w:val="000000"/>
                      <w:sz w:val="24"/>
                      <w:szCs w:val="24"/>
                    </w:rPr>
                    <m:t>1</m:t>
                  </m:r>
                </m:sub>
              </m:sSub>
              <m:r>
                <w:rPr>
                  <w:rFonts w:ascii="Cambria Math" w:eastAsia="Cambria Math" w:hAnsi="Cambria Math" w:cs="Cambria Math"/>
                  <w:color w:val="000000"/>
                  <w:sz w:val="24"/>
                  <w:szCs w:val="24"/>
                </w:rPr>
                <m:t>Y</m:t>
              </m:r>
            </m:e>
            <m:sub>
              <m:r>
                <w:rPr>
                  <w:rFonts w:ascii="Cambria Math" w:eastAsia="Cambria Math" w:hAnsi="Cambria Math" w:cs="Cambria Math"/>
                  <w:color w:val="000000"/>
                  <w:sz w:val="24"/>
                  <w:szCs w:val="24"/>
                </w:rPr>
                <m:t>icgs</m:t>
              </m:r>
            </m:sub>
            <m:sup>
              <m:r>
                <w:rPr>
                  <w:rFonts w:ascii="Cambria Math" w:eastAsia="Cambria Math" w:hAnsi="Cambria Math" w:cs="Cambria Math"/>
                  <w:color w:val="000000"/>
                  <w:sz w:val="24"/>
                  <w:szCs w:val="24"/>
                </w:rPr>
                <m:t>BL</m:t>
              </m:r>
            </m:sup>
          </m:sSubSup>
          <m:r>
            <w:rPr>
              <w:rFonts w:ascii="Cambria Math" w:eastAsia="Cambria Math" w:hAnsi="Cambria Math" w:cs="Cambria Math"/>
              <w:color w:val="000000"/>
              <w:sz w:val="24"/>
              <w:szCs w:val="24"/>
            </w:rPr>
            <m:t>+ +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X</m:t>
              </m:r>
            </m:e>
            <m:sub>
              <m:r>
                <w:rPr>
                  <w:rFonts w:ascii="Cambria Math" w:eastAsia="Cambria Math" w:hAnsi="Cambria Math" w:cs="Cambria Math"/>
                  <w:color w:val="000000"/>
                  <w:sz w:val="24"/>
                  <w:szCs w:val="24"/>
                </w:rPr>
                <m:t>icgs</m:t>
              </m:r>
            </m:sub>
          </m:sSub>
          <m:r>
            <w:rPr>
              <w:rFonts w:ascii="Cambria Math" w:eastAsia="Cambria Math" w:hAnsi="Cambria Math" w:cs="Cambria Math"/>
              <w:color w:val="000000"/>
              <w:sz w:val="24"/>
              <w:szCs w:val="24"/>
            </w:rPr>
            <m:t xml:space="preserve">)+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δ</m:t>
              </m:r>
            </m:e>
            <m:sub>
              <m:r>
                <w:rPr>
                  <w:rFonts w:ascii="Cambria Math" w:eastAsia="Cambria Math" w:hAnsi="Cambria Math" w:cs="Cambria Math"/>
                  <w:color w:val="000000"/>
                  <w:sz w:val="24"/>
                  <w:szCs w:val="24"/>
                </w:rPr>
                <m:t xml:space="preserve">gs </m:t>
              </m:r>
            </m:sub>
          </m:sSub>
          <m:r>
            <w:rPr>
              <w:rFonts w:ascii="Cambria Math" w:eastAsia="Cambria Math" w:hAnsi="Cambria Math" w:cs="Cambria Math"/>
              <w:color w:val="000000"/>
              <w:sz w:val="24"/>
              <w:szCs w:val="24"/>
            </w:rPr>
            <m:t xml:space="preserve"> +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ε</m:t>
              </m:r>
            </m:e>
            <m:sub>
              <m:r>
                <w:rPr>
                  <w:rFonts w:ascii="Cambria Math" w:eastAsia="Cambria Math" w:hAnsi="Cambria Math" w:cs="Cambria Math"/>
                  <w:color w:val="000000"/>
                  <w:sz w:val="24"/>
                  <w:szCs w:val="24"/>
                </w:rPr>
                <m:t>icgs</m:t>
              </m:r>
            </m:sub>
          </m:sSub>
        </m:oMath>
      </m:oMathPara>
    </w:p>
    <w:p w14:paraId="7EB49BA1" w14:textId="77777777" w:rsidR="009D70DD" w:rsidRDefault="002E02A9">
      <w:pPr>
        <w:spacing w:after="160" w:line="276" w:lineRule="auto"/>
      </w:pPr>
      <w:r>
        <w:t xml:space="preserve">For each specification we report </w:t>
      </w:r>
      <m:oMath>
        <m:sSub>
          <m:sSubPr>
            <m:ctrlPr>
              <w:rPr>
                <w:rFonts w:ascii="Cambria Math" w:eastAsia="Cambria Math" w:hAnsi="Cambria Math" w:cs="Cambria Math"/>
              </w:rPr>
            </m:ctrlPr>
          </m:sSubPr>
          <m:e>
            <m:r>
              <w:rPr>
                <w:rFonts w:ascii="Cambria Math" w:hAnsi="Cambria Math"/>
              </w:rPr>
              <m:t>β</m:t>
            </m:r>
          </m:e>
          <m:sub>
            <m:r>
              <w:rPr>
                <w:rFonts w:ascii="Cambria Math" w:eastAsia="Cambria Math" w:hAnsi="Cambria Math" w:cs="Cambria Math"/>
              </w:rPr>
              <m:t>tot</m:t>
            </m:r>
          </m:sub>
        </m:sSub>
      </m:oMath>
      <w:r>
        <w:t xml:space="preserve"> 95 percent confidence intervals, and p-</w:t>
      </w:r>
      <w:proofErr w:type="gramStart"/>
      <w:r>
        <w:t>values..</w:t>
      </w:r>
      <w:proofErr w:type="gramEnd"/>
    </w:p>
    <w:p w14:paraId="7EB49BA2" w14:textId="77777777" w:rsidR="009D70DD" w:rsidRDefault="002E02A9">
      <w:pPr>
        <w:pStyle w:val="Heading1"/>
      </w:pPr>
      <w:r>
        <w:t>Attrition and Balance</w:t>
      </w:r>
    </w:p>
    <w:p w14:paraId="7EB49BA3" w14:textId="7FD4369E" w:rsidR="009D70DD" w:rsidRDefault="002E02A9">
      <w:pPr>
        <w:spacing w:after="160" w:line="276" w:lineRule="auto"/>
      </w:pPr>
      <w:r>
        <w:t xml:space="preserve">We will document the flow of students through the study using a CONSORT-style diagram. </w:t>
      </w:r>
      <w:sdt>
        <w:sdtPr>
          <w:tag w:val="goog_rdk_12"/>
          <w:id w:val="1685834948"/>
        </w:sdtPr>
        <w:sdtContent/>
      </w:sdt>
      <w:sdt>
        <w:sdtPr>
          <w:tag w:val="goog_rdk_13"/>
          <w:id w:val="1215701915"/>
        </w:sdtPr>
        <w:sdtContent/>
      </w:sdt>
      <w:sdt>
        <w:sdtPr>
          <w:tag w:val="goog_rdk_14"/>
          <w:id w:val="-351270612"/>
        </w:sdtPr>
        <w:sdtContent/>
      </w:sdt>
      <w:sdt>
        <w:sdtPr>
          <w:tag w:val="goog_rdk_15"/>
          <w:id w:val="-1645641511"/>
        </w:sdtPr>
        <w:sdtContent/>
      </w:sdt>
      <w:sdt>
        <w:sdtPr>
          <w:tag w:val="goog_rdk_16"/>
          <w:id w:val="-1233548143"/>
        </w:sdtPr>
        <w:sdtContent/>
      </w:sdt>
      <w:r>
        <w:t>This distinguishes the following groups: students listed in eligible classroom rosters; students with parental consent; students assessed at baseline; students assessed at endline; students observed at endline but missing baseline data; and students observed at baseline but not endline. These counts are reported overall and by the treatment arm.</w:t>
      </w:r>
    </w:p>
    <w:p w14:paraId="7EB49BA4" w14:textId="77777777" w:rsidR="009D70DD" w:rsidRDefault="002E02A9">
      <w:pPr>
        <w:spacing w:after="160" w:line="276" w:lineRule="auto"/>
      </w:pPr>
      <w:r>
        <w:t>We will also report endline follow-up rates by treatment arm and test whether endline observation is predicted by treatment assignment, baseline achievement, and baseline demographic characteristics. If differential attrition between treatment and control groups exceeds 10 percentage points, we will report Lee bounds (Lee, 2009) as a sensitivity analysis to assess the robustness of ITT estimates to differential attrition.</w:t>
      </w:r>
    </w:p>
    <w:p w14:paraId="7EB49BA5" w14:textId="77777777" w:rsidR="009D70DD" w:rsidRDefault="002E02A9">
      <w:pPr>
        <w:spacing w:after="160" w:line="276" w:lineRule="auto"/>
      </w:pPr>
      <w:r>
        <w:t xml:space="preserve">For missing baseline achievement, the primary ANCOVA specification is estimated on students with both baseline and endline scores. For missing non-academic baseline covariates included </w:t>
      </w:r>
      <w:r>
        <w:lastRenderedPageBreak/>
        <w:t>in robustness checks, we use missingness indicators and neutral imputed values where appropriate, provided the variable is pre-treatment. These robustness checks do not replace the primary specification. Baseline balance is assessed using pre-treatment variables, in particular baseline science achievement.</w:t>
      </w:r>
    </w:p>
    <w:p w14:paraId="7EB49BA6" w14:textId="77777777" w:rsidR="009D70DD" w:rsidRDefault="002E02A9">
      <w:pPr>
        <w:pStyle w:val="Heading1"/>
      </w:pPr>
      <w:r>
        <w:t>Heterogeneity Analyses</w:t>
      </w:r>
    </w:p>
    <w:p w14:paraId="7EB49BA7" w14:textId="77777777" w:rsidR="009D70DD" w:rsidRDefault="002E02A9">
      <w:pPr>
        <w:spacing w:after="160" w:line="276" w:lineRule="auto"/>
      </w:pPr>
      <w:r>
        <w:t xml:space="preserve">All heterogeneity analyses are secondary. They do not change the primary </w:t>
      </w:r>
      <w:proofErr w:type="spellStart"/>
      <w:r>
        <w:t>estimand</w:t>
      </w:r>
      <w:proofErr w:type="spellEnd"/>
      <w:r>
        <w:t xml:space="preserve"> and are interpreted as (exploratory) evidence on for whom the intervention may be </w:t>
      </w:r>
      <w:proofErr w:type="gramStart"/>
      <w:r>
        <w:t>more or less effective</w:t>
      </w:r>
      <w:proofErr w:type="gramEnd"/>
      <w:r>
        <w:t>. Heterogeneity is assessed using pre-treatment characteristics only. All heterogeneity models include school × grade fixed effects and cluster standard errors at the classroom level. Heterogeneity is assessed by interacting treatment assignment with an indicator for the pre-specified variable.</w:t>
      </w:r>
    </w:p>
    <w:p w14:paraId="7EB49BA8" w14:textId="77777777" w:rsidR="009D70DD" w:rsidRDefault="00000000">
      <w:pPr>
        <w:jc w:val="center"/>
        <w:rPr>
          <w:rFonts w:ascii="Cambria Math" w:eastAsia="Cambria Math" w:hAnsi="Cambria Math" w:cs="Cambria Math"/>
          <w:color w:val="000000"/>
          <w:sz w:val="24"/>
          <w:szCs w:val="24"/>
        </w:rPr>
      </w:pPr>
      <m:oMathPara>
        <m:oMath>
          <m:sSubSup>
            <m:sSubSupPr>
              <m:ctrlPr>
                <w:rPr>
                  <w:rFonts w:ascii="Cambria Math" w:eastAsia="Cambria Math" w:hAnsi="Cambria Math" w:cs="Cambria Math"/>
                  <w:color w:val="000000"/>
                  <w:sz w:val="24"/>
                  <w:szCs w:val="24"/>
                </w:rPr>
              </m:ctrlPr>
            </m:sSubSupPr>
            <m:e>
              <m:r>
                <w:rPr>
                  <w:rFonts w:ascii="Cambria Math" w:eastAsia="Cambria Math" w:hAnsi="Cambria Math" w:cs="Cambria Math"/>
                  <w:color w:val="000000"/>
                  <w:sz w:val="24"/>
                  <w:szCs w:val="24"/>
                </w:rPr>
                <m:t>Y</m:t>
              </m:r>
            </m:e>
            <m:sub>
              <m:r>
                <w:rPr>
                  <w:rFonts w:ascii="Cambria Math" w:eastAsia="Cambria Math" w:hAnsi="Cambria Math" w:cs="Cambria Math"/>
                  <w:color w:val="000000"/>
                  <w:sz w:val="24"/>
                  <w:szCs w:val="24"/>
                </w:rPr>
                <m:t>icgs</m:t>
              </m:r>
            </m:sub>
            <m:sup>
              <m:r>
                <w:rPr>
                  <w:rFonts w:ascii="Cambria Math" w:eastAsia="Cambria Math" w:hAnsi="Cambria Math" w:cs="Cambria Math"/>
                  <w:color w:val="000000"/>
                  <w:sz w:val="24"/>
                  <w:szCs w:val="24"/>
                </w:rPr>
                <m:t>EL</m:t>
              </m:r>
            </m:sup>
          </m:sSubSup>
          <m:r>
            <w:rPr>
              <w:rFonts w:ascii="Cambria Math" w:eastAsia="Cambria Math" w:hAnsi="Cambria Math" w:cs="Cambria Math"/>
              <w:color w:val="000000"/>
              <w:sz w:val="24"/>
              <w:szCs w:val="24"/>
            </w:rPr>
            <m:t xml:space="preserve">= α+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βD</m:t>
              </m:r>
            </m:e>
            <m:sub>
              <m:r>
                <w:rPr>
                  <w:rFonts w:ascii="Cambria Math" w:eastAsia="Cambria Math" w:hAnsi="Cambria Math" w:cs="Cambria Math"/>
                  <w:color w:val="000000"/>
                  <w:sz w:val="24"/>
                  <w:szCs w:val="24"/>
                </w:rPr>
                <m:t>cgs</m:t>
              </m:r>
            </m:sub>
          </m:sSub>
          <m:r>
            <w:rPr>
              <w:rFonts w:ascii="Cambria Math" w:eastAsia="Cambria Math" w:hAnsi="Cambria Math" w:cs="Cambria Math"/>
              <w:color w:val="000000"/>
              <w:sz w:val="24"/>
              <w:szCs w:val="24"/>
            </w:rPr>
            <m:t xml:space="preserve">*+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(D</m:t>
              </m:r>
            </m:e>
            <m:sub>
              <m:r>
                <w:rPr>
                  <w:rFonts w:ascii="Cambria Math" w:eastAsia="Cambria Math" w:hAnsi="Cambria Math" w:cs="Cambria Math"/>
                  <w:color w:val="000000"/>
                  <w:sz w:val="24"/>
                  <w:szCs w:val="24"/>
                </w:rPr>
                <m:t>cgs</m:t>
              </m:r>
            </m:sub>
          </m:sSub>
          <m:r>
            <w:rPr>
              <w:rFonts w:ascii="Cambria Math" w:eastAsia="Cambria Math" w:hAnsi="Cambria Math" w:cs="Cambria Math"/>
              <w:color w:val="000000"/>
              <w:sz w:val="24"/>
              <w:szCs w:val="24"/>
            </w:rPr>
            <m:t xml:space="preserve"> x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H</m:t>
              </m:r>
            </m:e>
            <m:sub>
              <m:r>
                <w:rPr>
                  <w:rFonts w:ascii="Cambria Math" w:eastAsia="Cambria Math" w:hAnsi="Cambria Math" w:cs="Cambria Math"/>
                  <w:color w:val="000000"/>
                  <w:sz w:val="24"/>
                  <w:szCs w:val="24"/>
                </w:rPr>
                <m:t>i</m:t>
              </m:r>
            </m:sub>
          </m:sSub>
          <m:r>
            <w:rPr>
              <w:rFonts w:ascii="Cambria Math" w:eastAsia="Cambria Math" w:hAnsi="Cambria Math" w:cs="Cambria Math"/>
              <w:color w:val="000000"/>
              <w:sz w:val="24"/>
              <w:szCs w:val="24"/>
            </w:rPr>
            <m:t xml:space="preserve">) + </m:t>
          </m:r>
          <m:sSubSup>
            <m:sSubSupPr>
              <m:ctrlPr>
                <w:rPr>
                  <w:rFonts w:ascii="Cambria Math" w:eastAsia="Cambria Math" w:hAnsi="Cambria Math" w:cs="Cambria Math"/>
                  <w:color w:val="000000"/>
                  <w:sz w:val="24"/>
                  <w:szCs w:val="24"/>
                </w:rPr>
              </m:ctrlPr>
            </m:sSubSupPr>
            <m:e>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γ</m:t>
                  </m:r>
                </m:e>
                <m:sub>
                  <m:r>
                    <w:rPr>
                      <w:rFonts w:ascii="Cambria Math" w:eastAsia="Cambria Math" w:hAnsi="Cambria Math" w:cs="Cambria Math"/>
                      <w:color w:val="000000"/>
                      <w:sz w:val="24"/>
                      <w:szCs w:val="24"/>
                    </w:rPr>
                    <m:t>1</m:t>
                  </m:r>
                </m:sub>
              </m:sSub>
              <m:r>
                <w:rPr>
                  <w:rFonts w:ascii="Cambria Math" w:eastAsia="Cambria Math" w:hAnsi="Cambria Math" w:cs="Cambria Math"/>
                  <w:color w:val="000000"/>
                  <w:sz w:val="24"/>
                  <w:szCs w:val="24"/>
                </w:rPr>
                <m:t>Y</m:t>
              </m:r>
            </m:e>
            <m:sub>
              <m:r>
                <w:rPr>
                  <w:rFonts w:ascii="Cambria Math" w:eastAsia="Cambria Math" w:hAnsi="Cambria Math" w:cs="Cambria Math"/>
                  <w:color w:val="000000"/>
                  <w:sz w:val="24"/>
                  <w:szCs w:val="24"/>
                </w:rPr>
                <m:t>icgs</m:t>
              </m:r>
            </m:sub>
            <m:sup>
              <m:r>
                <w:rPr>
                  <w:rFonts w:ascii="Cambria Math" w:eastAsia="Cambria Math" w:hAnsi="Cambria Math" w:cs="Cambria Math"/>
                  <w:color w:val="000000"/>
                  <w:sz w:val="24"/>
                  <w:szCs w:val="24"/>
                </w:rPr>
                <m:t>BL</m:t>
              </m:r>
            </m:sup>
          </m:sSubSup>
          <m:r>
            <w:rPr>
              <w:rFonts w:ascii="Cambria Math" w:eastAsia="Cambria Math" w:hAnsi="Cambria Math" w:cs="Cambria Math"/>
              <w:color w:val="000000"/>
              <w:sz w:val="24"/>
              <w:szCs w:val="24"/>
            </w:rPr>
            <m:t xml:space="preserve">+ +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γ</m:t>
              </m:r>
            </m:e>
            <m:sub>
              <m:r>
                <w:rPr>
                  <w:rFonts w:ascii="Cambria Math" w:eastAsia="Cambria Math" w:hAnsi="Cambria Math" w:cs="Cambria Math"/>
                  <w:color w:val="000000"/>
                  <w:sz w:val="24"/>
                  <w:szCs w:val="24"/>
                </w:rPr>
                <m:t>2</m:t>
              </m:r>
            </m:sub>
          </m:sSub>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H</m:t>
              </m:r>
            </m:e>
            <m:sub>
              <m:r>
                <w:rPr>
                  <w:rFonts w:ascii="Cambria Math" w:eastAsia="Cambria Math" w:hAnsi="Cambria Math" w:cs="Cambria Math"/>
                  <w:color w:val="000000"/>
                  <w:sz w:val="24"/>
                  <w:szCs w:val="24"/>
                </w:rPr>
                <m:t>i</m:t>
              </m:r>
            </m:sub>
          </m:sSub>
          <m:r>
            <w:rPr>
              <w:rFonts w:ascii="Cambria Math" w:eastAsia="Cambria Math" w:hAnsi="Cambria Math" w:cs="Cambria Math"/>
              <w:color w:val="000000"/>
              <w:sz w:val="24"/>
              <w:szCs w:val="24"/>
            </w:rPr>
            <m:t xml:space="preserve">+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δ</m:t>
              </m:r>
            </m:e>
            <m:sub>
              <m:r>
                <w:rPr>
                  <w:rFonts w:ascii="Cambria Math" w:eastAsia="Cambria Math" w:hAnsi="Cambria Math" w:cs="Cambria Math"/>
                  <w:color w:val="000000"/>
                  <w:sz w:val="24"/>
                  <w:szCs w:val="24"/>
                </w:rPr>
                <m:t>gs</m:t>
              </m:r>
            </m:sub>
          </m:sSub>
          <m:r>
            <w:rPr>
              <w:rFonts w:ascii="Cambria Math" w:eastAsia="Cambria Math" w:hAnsi="Cambria Math" w:cs="Cambria Math"/>
              <w:color w:val="000000"/>
              <w:sz w:val="24"/>
              <w:szCs w:val="24"/>
            </w:rPr>
            <m:t xml:space="preserve"> + </m:t>
          </m:r>
          <m:sSub>
            <m:sSubPr>
              <m:ctrlPr>
                <w:rPr>
                  <w:rFonts w:ascii="Cambria Math" w:eastAsia="Cambria Math" w:hAnsi="Cambria Math" w:cs="Cambria Math"/>
                  <w:color w:val="000000"/>
                  <w:sz w:val="24"/>
                  <w:szCs w:val="24"/>
                </w:rPr>
              </m:ctrlPr>
            </m:sSubPr>
            <m:e>
              <m:r>
                <w:rPr>
                  <w:rFonts w:ascii="Cambria Math" w:eastAsia="Cambria Math" w:hAnsi="Cambria Math" w:cs="Cambria Math"/>
                  <w:color w:val="000000"/>
                  <w:sz w:val="24"/>
                  <w:szCs w:val="24"/>
                </w:rPr>
                <m:t>ε</m:t>
              </m:r>
            </m:e>
            <m:sub>
              <m:r>
                <w:rPr>
                  <w:rFonts w:ascii="Cambria Math" w:eastAsia="Cambria Math" w:hAnsi="Cambria Math" w:cs="Cambria Math"/>
                  <w:color w:val="000000"/>
                  <w:sz w:val="24"/>
                  <w:szCs w:val="24"/>
                </w:rPr>
                <m:t>icgs</m:t>
              </m:r>
            </m:sub>
          </m:sSub>
        </m:oMath>
      </m:oMathPara>
    </w:p>
    <w:p w14:paraId="7EB49BA9" w14:textId="77777777" w:rsidR="009D70DD" w:rsidRDefault="002E02A9">
      <w:pPr>
        <w:spacing w:after="160" w:line="276" w:lineRule="auto"/>
      </w:pPr>
      <w:r>
        <w:t xml:space="preserve">where </w:t>
      </w:r>
      <m:oMath>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i</m:t>
            </m:r>
          </m:sub>
        </m:sSub>
      </m:oMath>
      <w:r>
        <w:t xml:space="preserve"> is the pre-specified baseline characteristic used for the heterogeneity analysis.</w:t>
      </w:r>
    </w:p>
    <w:p w14:paraId="7EB49BAA" w14:textId="77777777" w:rsidR="009D70DD" w:rsidRDefault="002E02A9">
      <w:pPr>
        <w:pStyle w:val="Heading3"/>
      </w:pPr>
      <w:r>
        <w:t>Grade heterogeneity</w:t>
      </w:r>
    </w:p>
    <w:p w14:paraId="7EB49BAB" w14:textId="77777777" w:rsidR="009D70DD" w:rsidRDefault="002E02A9">
      <w:pPr>
        <w:spacing w:after="160" w:line="276" w:lineRule="auto"/>
      </w:pPr>
      <w:r>
        <w:t>We will test whether impacts differ across grades (Grade 6, 7 and 8) by estimating the primary specification augmented with an interaction between treatment assignment and grade</w:t>
      </w:r>
      <w:sdt>
        <w:sdtPr>
          <w:tag w:val="goog_rdk_17"/>
          <w:id w:val="1587051270"/>
        </w:sdtPr>
        <w:sdtContent/>
      </w:sdt>
      <w:sdt>
        <w:sdtPr>
          <w:tag w:val="goog_rdk_18"/>
          <w:id w:val="1334671703"/>
        </w:sdtPr>
        <w:sdtContent/>
      </w:sdt>
      <w:sdt>
        <w:sdtPr>
          <w:tag w:val="goog_rdk_19"/>
          <w:id w:val="-974851284"/>
        </w:sdtPr>
        <w:sdtContent/>
      </w:sdt>
      <w:sdt>
        <w:sdtPr>
          <w:tag w:val="goog_rdk_20"/>
          <w:id w:val="-1491283569"/>
        </w:sdtPr>
        <w:sdtContent/>
      </w:sdt>
      <w:r>
        <w:t>.</w:t>
      </w:r>
    </w:p>
    <w:p w14:paraId="7EB49BAC" w14:textId="77777777" w:rsidR="009D70DD" w:rsidRDefault="002E02A9">
      <w:pPr>
        <w:pStyle w:val="Heading3"/>
      </w:pPr>
      <w:r>
        <w:t>Gender heterogeneity</w:t>
      </w:r>
    </w:p>
    <w:p w14:paraId="7EB49BAD" w14:textId="77777777" w:rsidR="009D70DD" w:rsidRDefault="002E02A9">
      <w:pPr>
        <w:spacing w:after="160" w:line="276" w:lineRule="auto"/>
      </w:pPr>
      <w:r>
        <w:t>We will test whether impacts differ by gender by interacting treatment assignment with an indicator for being female.</w:t>
      </w:r>
    </w:p>
    <w:p w14:paraId="7EB49BAE" w14:textId="77777777" w:rsidR="009D70DD" w:rsidRDefault="002E02A9">
      <w:pPr>
        <w:pStyle w:val="Heading3"/>
      </w:pPr>
      <w:r>
        <w:t>Age heterogeneity</w:t>
      </w:r>
    </w:p>
    <w:p w14:paraId="7EB49BAF" w14:textId="77777777" w:rsidR="009D70DD" w:rsidRDefault="002E02A9">
      <w:pPr>
        <w:spacing w:after="160" w:line="276" w:lineRule="auto"/>
      </w:pPr>
      <w:r>
        <w:t>We will test whether impacts differ by student age. To avoid conflating age with grade level, we define an “older student” indicator equal to one if the student’s age is above the median age within grade at baseline.</w:t>
      </w:r>
    </w:p>
    <w:p w14:paraId="7EB49BB0" w14:textId="77777777" w:rsidR="009D70DD" w:rsidRDefault="002E02A9">
      <w:pPr>
        <w:pStyle w:val="Heading3"/>
      </w:pPr>
      <w:r>
        <w:t>Baseline science achievement heterogeneity</w:t>
      </w:r>
    </w:p>
    <w:p w14:paraId="7EB49BB1" w14:textId="77777777" w:rsidR="009D70DD" w:rsidRDefault="002E02A9">
      <w:pPr>
        <w:spacing w:after="160" w:line="276" w:lineRule="auto"/>
      </w:pPr>
      <w:r>
        <w:t xml:space="preserve">We will examine whether treatment effects vary by baseline science achievement, interacting treatment assignment with baseline achievement as a continuous variable. </w:t>
      </w:r>
    </w:p>
    <w:p w14:paraId="7EB49BB2" w14:textId="77777777" w:rsidR="009D70DD" w:rsidRDefault="002E02A9">
      <w:pPr>
        <w:pStyle w:val="Heading3"/>
      </w:pPr>
      <w:r>
        <w:t>Digital familiarity heterogeneity</w:t>
      </w:r>
    </w:p>
    <w:p w14:paraId="7EB49BB3" w14:textId="77777777" w:rsidR="009D70DD" w:rsidRDefault="002E02A9">
      <w:pPr>
        <w:spacing w:after="160" w:line="276" w:lineRule="auto"/>
      </w:pPr>
      <w:r>
        <w:t xml:space="preserve">We will examine whether impacts differ by students’ baseline digital familiarity, measured using online survey items on device access, digital confidence, and prior exposure to AI tools. </w:t>
      </w:r>
    </w:p>
    <w:p w14:paraId="7EB49BB4" w14:textId="77777777" w:rsidR="009D70DD" w:rsidRDefault="002E02A9">
      <w:pPr>
        <w:pStyle w:val="Heading1"/>
      </w:pPr>
      <w:r>
        <w:t>Power and Minimum Detectable Effect Size</w:t>
      </w:r>
    </w:p>
    <w:p w14:paraId="7EB49BB5" w14:textId="6EFC8C8A" w:rsidR="009D70DD" w:rsidRDefault="002E02A9">
      <w:pPr>
        <w:spacing w:after="160" w:line="276" w:lineRule="auto"/>
      </w:pPr>
      <w:r>
        <w:t xml:space="preserve">The study is designed as a two-arm cluster randomised controlled trial with classroom-level randomisation and student-level analysis, comprising 240 classrooms across 16 CMS campuses, with an expected sample of approximately </w:t>
      </w:r>
      <w:r w:rsidR="00EF07DA">
        <w:t>9,000</w:t>
      </w:r>
      <w:r>
        <w:t xml:space="preserve"> students (an average of about </w:t>
      </w:r>
      <w:r w:rsidR="00EF07DA">
        <w:t>37</w:t>
      </w:r>
      <w:r>
        <w:t xml:space="preserve"> students per classroom). Power calculations assume two-sided testing with α = 0.05 and power = 0.80, and </w:t>
      </w:r>
      <w:r w:rsidR="00072C9D">
        <w:t xml:space="preserve">almost </w:t>
      </w:r>
      <w:r>
        <w:t>equal allocation across arms</w:t>
      </w:r>
      <w:r w:rsidR="00072C9D">
        <w:t xml:space="preserve"> (112 treated versus 128 control)</w:t>
      </w:r>
      <w:r>
        <w:t>.</w:t>
      </w:r>
    </w:p>
    <w:p w14:paraId="7EB49BB6" w14:textId="2A6DB396" w:rsidR="009D70DD" w:rsidRDefault="002E02A9">
      <w:pPr>
        <w:spacing w:after="160" w:line="276" w:lineRule="auto"/>
      </w:pPr>
      <w:r>
        <w:lastRenderedPageBreak/>
        <w:t>Intraclass correlation coefficient is based on a previous trial conducted by us in the same school trust CMS, this is 0.241 conditional to blocks and baseline. Based on these parameters, the minimum detectable effect size for the primary endline science outcome is approximately 0.14</w:t>
      </w:r>
      <w:r w:rsidR="00072C9D">
        <w:t>4</w:t>
      </w:r>
      <w:r>
        <w:t xml:space="preserve"> SD. The following graph presents the MDES across a range of plausible ICC values, holding power constant at 0.80, to illustrate the design’s robustness to assumptions about within-classroom clustering.</w:t>
      </w:r>
    </w:p>
    <w:p w14:paraId="7EB49BB7" w14:textId="5644AA57" w:rsidR="009D70DD" w:rsidRDefault="00E56DAA">
      <w:pPr>
        <w:spacing w:after="160" w:line="276" w:lineRule="auto"/>
      </w:pPr>
      <w:r w:rsidRPr="00E56DAA">
        <w:rPr>
          <w:noProof/>
        </w:rPr>
        <w:drawing>
          <wp:inline distT="0" distB="0" distL="0" distR="0" wp14:anchorId="2347ACDD" wp14:editId="0FBF6B49">
            <wp:extent cx="5029200" cy="3657600"/>
            <wp:effectExtent l="0" t="0" r="0" b="0"/>
            <wp:docPr id="1404363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363512" name=""/>
                    <pic:cNvPicPr/>
                  </pic:nvPicPr>
                  <pic:blipFill>
                    <a:blip r:embed="rId5"/>
                    <a:stretch>
                      <a:fillRect/>
                    </a:stretch>
                  </pic:blipFill>
                  <pic:spPr>
                    <a:xfrm>
                      <a:off x="0" y="0"/>
                      <a:ext cx="5029200" cy="3657600"/>
                    </a:xfrm>
                    <a:prstGeom prst="rect">
                      <a:avLst/>
                    </a:prstGeom>
                  </pic:spPr>
                </pic:pic>
              </a:graphicData>
            </a:graphic>
          </wp:inline>
        </w:drawing>
      </w:r>
    </w:p>
    <w:p w14:paraId="7EB49BB8" w14:textId="77777777" w:rsidR="009D70DD" w:rsidRDefault="009D70DD">
      <w:pPr>
        <w:spacing w:after="160" w:line="276" w:lineRule="auto"/>
      </w:pPr>
    </w:p>
    <w:p w14:paraId="7EB49BB9" w14:textId="77777777" w:rsidR="009D70DD" w:rsidRDefault="002E02A9">
      <w:pPr>
        <w:pStyle w:val="Heading1"/>
      </w:pPr>
      <w:r>
        <w:t>References</w:t>
      </w:r>
    </w:p>
    <w:p w14:paraId="7EB49BBA" w14:textId="77777777" w:rsidR="009D70DD" w:rsidRDefault="002E02A9">
      <w:pPr>
        <w:spacing w:after="100"/>
      </w:pPr>
      <w:proofErr w:type="spellStart"/>
      <w:r>
        <w:t>Imbens</w:t>
      </w:r>
      <w:proofErr w:type="spellEnd"/>
      <w:r>
        <w:t xml:space="preserve">, G. W., &amp; Angrist, J. D. (1994). Identification and estimation of local average treatment effects. </w:t>
      </w:r>
      <w:proofErr w:type="spellStart"/>
      <w:r>
        <w:t>Econometrica</w:t>
      </w:r>
      <w:proofErr w:type="spellEnd"/>
      <w:r>
        <w:t>, 62(2), 467–475.</w:t>
      </w:r>
    </w:p>
    <w:p w14:paraId="7EB49BBB" w14:textId="77777777" w:rsidR="009D70DD" w:rsidRDefault="002E02A9">
      <w:pPr>
        <w:spacing w:after="100"/>
      </w:pPr>
      <w:r>
        <w:t>Lee, D. S. (2009). Training, wages, and sample selection: Estimating sharp bounds on treatment effects. Review of Economic Studies, 76(3), 1071–1102.</w:t>
      </w:r>
    </w:p>
    <w:p w14:paraId="7EB49BBC" w14:textId="77777777" w:rsidR="009D70DD" w:rsidRDefault="002E02A9">
      <w:pPr>
        <w:spacing w:after="100"/>
      </w:pPr>
      <w:r>
        <w:t>McKenzie, D. (2012). Beyond baseline and follow-up: The case for more T in experiments. Journal of Development Economics, 99(2), 210–221.</w:t>
      </w:r>
    </w:p>
    <w:p w14:paraId="1105FC34" w14:textId="62164ED7" w:rsidR="002920B7" w:rsidRDefault="002920B7">
      <w:pPr>
        <w:spacing w:after="100"/>
      </w:pPr>
      <w:r>
        <w:t xml:space="preserve">Raudenbush, S. W. (1997). Statistical analysis and optimal design for cluster randomized trials. </w:t>
      </w:r>
      <w:r>
        <w:rPr>
          <w:rStyle w:val="Emphasis"/>
        </w:rPr>
        <w:t>Psychological Methods</w:t>
      </w:r>
      <w:r>
        <w:t>, 2(2), 173–185.</w:t>
      </w:r>
    </w:p>
    <w:p w14:paraId="7EB49BBD" w14:textId="77777777" w:rsidR="009D70DD" w:rsidRDefault="009D70DD">
      <w:pPr>
        <w:spacing w:after="100"/>
      </w:pPr>
    </w:p>
    <w:sectPr w:rsidR="009D70DD">
      <w:pgSz w:w="12240" w:h="15840"/>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embedRegular r:id="rId1" w:fontKey="{ED536B8B-B97D-DF43-A9CE-CBB31413187A}"/>
    <w:embedBold r:id="rId2" w:fontKey="{5F97598B-5DED-874D-9C4C-1C98DBF79282}"/>
    <w:embedItalic r:id="rId3" w:fontKey="{5D2395B1-F84C-CD4A-AD75-118AD3C04602}"/>
  </w:font>
  <w:font w:name="Times New Roman">
    <w:panose1 w:val="02020603050405020304"/>
    <w:charset w:val="00"/>
    <w:family w:val="roman"/>
    <w:pitch w:val="variable"/>
    <w:sig w:usb0="E0002EFF" w:usb1="C000785B" w:usb2="00000009" w:usb3="00000000" w:csb0="000001FF" w:csb1="00000000"/>
    <w:embedRegular r:id="rId4" w:fontKey="{EBE503B1-DC3A-5947-9789-A75CEDE40278}"/>
    <w:embedItalic r:id="rId5" w:fontKey="{65A9E9C3-7907-BA42-B56F-96A38F070B54}"/>
  </w:font>
  <w:font w:name="Georgia">
    <w:panose1 w:val="02040502050405020303"/>
    <w:charset w:val="00"/>
    <w:family w:val="roman"/>
    <w:pitch w:val="variable"/>
    <w:sig w:usb0="00000287" w:usb1="00000000" w:usb2="00000000" w:usb3="00000000" w:csb0="0000009F" w:csb1="00000000"/>
    <w:embedItalic r:id="rId6" w:fontKey="{382ED765-DB73-BA4D-863C-116F912EDEF2}"/>
  </w:font>
  <w:font w:name="Cambria Math">
    <w:panose1 w:val="02040503050406030204"/>
    <w:charset w:val="00"/>
    <w:family w:val="roman"/>
    <w:pitch w:val="variable"/>
    <w:sig w:usb0="E00002FF" w:usb1="420024FF" w:usb2="00000000" w:usb3="00000000" w:csb0="0000019F" w:csb1="00000000"/>
    <w:embedRegular r:id="rId7" w:fontKey="{E2F73C15-C120-8149-8DC1-F124319030A1}"/>
    <w:embedItalic r:id="rId8" w:fontKey="{C062B846-274E-D14E-A8F7-728390179CCC}"/>
  </w:font>
  <w:font w:name="Calibri">
    <w:panose1 w:val="020F0502020204030204"/>
    <w:charset w:val="00"/>
    <w:family w:val="swiss"/>
    <w:pitch w:val="variable"/>
    <w:sig w:usb0="E4002EFF" w:usb1="C200247B" w:usb2="00000009" w:usb3="00000000" w:csb0="000001FF" w:csb1="00000000"/>
    <w:embedRegular r:id="rId9" w:fontKey="{5CD16329-E36B-5B4B-9DBB-10A93C413EE5}"/>
  </w:font>
  <w:font w:name="Cambria">
    <w:panose1 w:val="02040503050406030204"/>
    <w:charset w:val="00"/>
    <w:family w:val="roman"/>
    <w:pitch w:val="variable"/>
    <w:sig w:usb0="E00006FF" w:usb1="420024FF" w:usb2="02000000" w:usb3="00000000" w:csb0="0000019F" w:csb1="00000000"/>
    <w:embedRegular r:id="rId10" w:fontKey="{28706C70-3A3F-A642-83DE-811316A94B2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70DD"/>
    <w:rsid w:val="00072C9D"/>
    <w:rsid w:val="000777D5"/>
    <w:rsid w:val="00082987"/>
    <w:rsid w:val="0013070C"/>
    <w:rsid w:val="00260178"/>
    <w:rsid w:val="002920B7"/>
    <w:rsid w:val="002E02A9"/>
    <w:rsid w:val="003F3312"/>
    <w:rsid w:val="004B040D"/>
    <w:rsid w:val="004F10F7"/>
    <w:rsid w:val="007C651D"/>
    <w:rsid w:val="00822FDF"/>
    <w:rsid w:val="008E3DB1"/>
    <w:rsid w:val="009D70DD"/>
    <w:rsid w:val="00A06220"/>
    <w:rsid w:val="00C31C9B"/>
    <w:rsid w:val="00D0192B"/>
    <w:rsid w:val="00D44E6D"/>
    <w:rsid w:val="00E13EE6"/>
    <w:rsid w:val="00E52A10"/>
    <w:rsid w:val="00E56DAA"/>
    <w:rsid w:val="00EF07DA"/>
    <w:rsid w:val="00F41037"/>
    <w:rsid w:val="00FF2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B49AAC"/>
  <w15:docId w15:val="{EE0DC032-E9FD-754C-876C-CD73DA635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280" w:after="140"/>
      <w:outlineLvl w:val="0"/>
    </w:pPr>
    <w:rPr>
      <w:b/>
      <w:bCs/>
      <w:color w:val="1F3864"/>
      <w:sz w:val="28"/>
      <w:szCs w:val="28"/>
    </w:rPr>
  </w:style>
  <w:style w:type="paragraph" w:styleId="Heading2">
    <w:name w:val="heading 2"/>
    <w:basedOn w:val="Normal"/>
    <w:next w:val="Normal"/>
    <w:uiPriority w:val="9"/>
    <w:unhideWhenUsed/>
    <w:qFormat/>
    <w:pPr>
      <w:pBdr>
        <w:top w:val="nil"/>
        <w:left w:val="nil"/>
        <w:bottom w:val="nil"/>
        <w:right w:val="nil"/>
        <w:between w:val="nil"/>
      </w:pBdr>
      <w:spacing w:before="200" w:after="120"/>
      <w:outlineLvl w:val="1"/>
    </w:pPr>
    <w:rPr>
      <w:b/>
      <w:bCs/>
      <w:color w:val="2E5496"/>
      <w:sz w:val="24"/>
      <w:szCs w:val="24"/>
    </w:rPr>
  </w:style>
  <w:style w:type="paragraph" w:styleId="Heading3">
    <w:name w:val="heading 3"/>
    <w:basedOn w:val="Normal"/>
    <w:next w:val="Normal"/>
    <w:uiPriority w:val="9"/>
    <w:unhideWhenUsed/>
    <w:qFormat/>
    <w:pPr>
      <w:pBdr>
        <w:top w:val="nil"/>
        <w:left w:val="nil"/>
        <w:bottom w:val="nil"/>
        <w:right w:val="nil"/>
        <w:between w:val="nil"/>
      </w:pBdr>
      <w:spacing w:before="160" w:after="100"/>
      <w:outlineLvl w:val="2"/>
    </w:pPr>
    <w:rPr>
      <w:b/>
      <w:bCs/>
      <w:color w:val="333333"/>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spacing w:after="240"/>
    </w:pPr>
    <w:rPr>
      <w:b/>
      <w:bCs/>
      <w:color w:val="000000"/>
      <w:sz w:val="36"/>
      <w:szCs w:val="3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 w:type="dxa"/>
        <w:bottom w:w="0" w:type="dxa"/>
        <w:right w:w="10" w:type="dxa"/>
      </w:tblCellMar>
    </w:tbl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semiHidden/>
    <w:unhideWhenUsed/>
    <w:rsid w:val="002920B7"/>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29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R8mzlptP6c+G3NySy6yi08l52Q==">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8</Pages>
  <Words>2999</Words>
  <Characters>17098</Characters>
  <Application>Microsoft Office Word</Application>
  <DocSecurity>0</DocSecurity>
  <Lines>142</Lines>
  <Paragraphs>40</Paragraphs>
  <ScaleCrop>false</ScaleCrop>
  <Company/>
  <LinksUpToDate>false</LinksUpToDate>
  <CharactersWithSpaces>20057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Natalia Valdes Aspillaga</cp:lastModifiedBy>
  <cp:revision>19</cp:revision>
  <dcterms:created xsi:type="dcterms:W3CDTF">2026-07-28T17:07:00Z</dcterms:created>
  <dcterms:modified xsi:type="dcterms:W3CDTF">2026-08-20T17:48:00Z</dcterms:modified>
</cp:coreProperties>
</file>