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A534F" w14:textId="690ED492" w:rsidR="00794E05" w:rsidRPr="00BE6534" w:rsidRDefault="00000000">
      <w:pPr>
        <w:pStyle w:val="Title"/>
        <w:rPr>
          <w:rFonts w:ascii="Times New Roman" w:hAnsi="Times New Roman" w:cs="Times New Roman"/>
          <w:b/>
          <w:bCs/>
          <w:sz w:val="24"/>
          <w:szCs w:val="24"/>
        </w:rPr>
      </w:pPr>
      <w:r w:rsidRPr="00BE6534">
        <w:rPr>
          <w:rFonts w:ascii="Times New Roman" w:hAnsi="Times New Roman" w:cs="Times New Roman"/>
          <w:b/>
          <w:bCs/>
          <w:sz w:val="24"/>
          <w:szCs w:val="24"/>
        </w:rPr>
        <w:t>Pre</w:t>
      </w:r>
      <w:r w:rsidR="00BE6534">
        <w:rPr>
          <w:rFonts w:ascii="Times New Roman" w:hAnsi="Times New Roman" w:cs="Times New Roman"/>
          <w:b/>
          <w:bCs/>
          <w:sz w:val="24"/>
          <w:szCs w:val="24"/>
        </w:rPr>
        <w:t>-</w:t>
      </w:r>
      <w:r w:rsidRPr="00BE6534">
        <w:rPr>
          <w:rFonts w:ascii="Times New Roman" w:hAnsi="Times New Roman" w:cs="Times New Roman"/>
          <w:b/>
          <w:bCs/>
          <w:sz w:val="24"/>
          <w:szCs w:val="24"/>
        </w:rPr>
        <w:t xml:space="preserve">analysis plan for </w:t>
      </w:r>
      <w:r w:rsidR="00BE6534">
        <w:rPr>
          <w:rFonts w:ascii="Times New Roman" w:hAnsi="Times New Roman" w:cs="Times New Roman"/>
          <w:b/>
          <w:bCs/>
          <w:sz w:val="24"/>
          <w:szCs w:val="24"/>
        </w:rPr>
        <w:t xml:space="preserve">add-on experiment </w:t>
      </w:r>
    </w:p>
    <w:p w14:paraId="2F8AF12A" w14:textId="77777777" w:rsidR="00794E05" w:rsidRPr="00BE6534" w:rsidRDefault="00000000">
      <w:pPr>
        <w:pStyle w:val="Heading1"/>
        <w:rPr>
          <w:rFonts w:ascii="Times New Roman" w:hAnsi="Times New Roman" w:cs="Times New Roman"/>
          <w:szCs w:val="24"/>
        </w:rPr>
      </w:pPr>
      <w:r w:rsidRPr="00BE6534">
        <w:rPr>
          <w:rFonts w:ascii="Times New Roman" w:hAnsi="Times New Roman" w:cs="Times New Roman"/>
          <w:szCs w:val="24"/>
        </w:rPr>
        <w:t>Research question and design</w:t>
      </w:r>
    </w:p>
    <w:p w14:paraId="0052AE94" w14:textId="606158E1" w:rsidR="00794E05" w:rsidRPr="00BE6534" w:rsidRDefault="00000000">
      <w:pPr>
        <w:rPr>
          <w:rFonts w:ascii="Times New Roman" w:hAnsi="Times New Roman" w:cs="Times New Roman"/>
          <w:sz w:val="24"/>
          <w:szCs w:val="24"/>
        </w:rPr>
      </w:pPr>
      <w:r w:rsidRPr="00BE6534">
        <w:rPr>
          <w:rFonts w:ascii="Times New Roman" w:hAnsi="Times New Roman" w:cs="Times New Roman"/>
          <w:sz w:val="24"/>
          <w:szCs w:val="24"/>
        </w:rPr>
        <w:t>We examine whether participants incorporate the effect of an upcoming factory-farming video into their willingness to pay for a $50 Perdue gift card. Participants make three incentivized bids: before the video description (</w:t>
      </w:r>
      <w:r w:rsidRPr="00BE6534">
        <w:rPr>
          <w:rFonts w:ascii="Times New Roman" w:hAnsi="Times New Roman" w:cs="Times New Roman"/>
          <w:b/>
          <w:sz w:val="24"/>
          <w:szCs w:val="24"/>
        </w:rPr>
        <w:t>WTP1</w:t>
      </w:r>
      <w:r w:rsidRPr="00BE6534">
        <w:rPr>
          <w:rFonts w:ascii="Times New Roman" w:hAnsi="Times New Roman" w:cs="Times New Roman"/>
          <w:sz w:val="24"/>
          <w:szCs w:val="24"/>
        </w:rPr>
        <w:t>), after the description (</w:t>
      </w:r>
      <w:r w:rsidRPr="00BE6534">
        <w:rPr>
          <w:rFonts w:ascii="Times New Roman" w:hAnsi="Times New Roman" w:cs="Times New Roman"/>
          <w:b/>
          <w:sz w:val="24"/>
          <w:szCs w:val="24"/>
        </w:rPr>
        <w:t>WTP2</w:t>
      </w:r>
      <w:r w:rsidRPr="00BE6534">
        <w:rPr>
          <w:rFonts w:ascii="Times New Roman" w:hAnsi="Times New Roman" w:cs="Times New Roman"/>
          <w:sz w:val="24"/>
          <w:szCs w:val="24"/>
        </w:rPr>
        <w:t>), and after viewing (</w:t>
      </w:r>
      <w:r w:rsidRPr="00BE6534">
        <w:rPr>
          <w:rFonts w:ascii="Times New Roman" w:hAnsi="Times New Roman" w:cs="Times New Roman"/>
          <w:b/>
          <w:sz w:val="24"/>
          <w:szCs w:val="24"/>
        </w:rPr>
        <w:t>WTP3</w:t>
      </w:r>
      <w:r w:rsidRPr="00BE6534">
        <w:rPr>
          <w:rFonts w:ascii="Times New Roman" w:hAnsi="Times New Roman" w:cs="Times New Roman"/>
          <w:sz w:val="24"/>
          <w:szCs w:val="24"/>
        </w:rPr>
        <w:t xml:space="preserve">). They are randomly assigned with </w:t>
      </w:r>
      <w:r w:rsidR="00550144">
        <w:rPr>
          <w:rFonts w:ascii="Times New Roman" w:hAnsi="Times New Roman" w:cs="Times New Roman"/>
          <w:sz w:val="24"/>
          <w:szCs w:val="24"/>
        </w:rPr>
        <w:t>80:20</w:t>
      </w:r>
      <w:r w:rsidRPr="00BE6534">
        <w:rPr>
          <w:rFonts w:ascii="Times New Roman" w:hAnsi="Times New Roman" w:cs="Times New Roman"/>
          <w:sz w:val="24"/>
          <w:szCs w:val="24"/>
        </w:rPr>
        <w:t xml:space="preserve"> probability to the factory-farming video or a megafire control video.</w:t>
      </w:r>
    </w:p>
    <w:p w14:paraId="4E8692F2" w14:textId="77777777" w:rsidR="00794E05" w:rsidRPr="00BE6534" w:rsidRDefault="00000000">
      <w:pPr>
        <w:pStyle w:val="Heading1"/>
        <w:rPr>
          <w:rFonts w:ascii="Times New Roman" w:hAnsi="Times New Roman" w:cs="Times New Roman"/>
          <w:szCs w:val="24"/>
        </w:rPr>
      </w:pPr>
      <w:r w:rsidRPr="00BE6534">
        <w:rPr>
          <w:rFonts w:ascii="Times New Roman" w:hAnsi="Times New Roman" w:cs="Times New Roman"/>
          <w:szCs w:val="24"/>
        </w:rPr>
        <w:t>Outcomes</w:t>
      </w:r>
    </w:p>
    <w:p w14:paraId="1BC020F0" w14:textId="5EF63316" w:rsidR="00794E05" w:rsidRPr="00BE6534" w:rsidRDefault="00000000">
      <w:pPr>
        <w:rPr>
          <w:rFonts w:ascii="Times New Roman" w:hAnsi="Times New Roman" w:cs="Times New Roman"/>
          <w:sz w:val="24"/>
          <w:szCs w:val="24"/>
        </w:rPr>
      </w:pPr>
      <w:r w:rsidRPr="00BE6534">
        <w:rPr>
          <w:rFonts w:ascii="Times New Roman" w:hAnsi="Times New Roman" w:cs="Times New Roman"/>
          <w:sz w:val="24"/>
          <w:szCs w:val="24"/>
        </w:rPr>
        <w:t xml:space="preserve">For each participant, </w:t>
      </w:r>
      <w:r w:rsidR="00550144">
        <w:rPr>
          <w:rFonts w:ascii="Times New Roman" w:hAnsi="Times New Roman" w:cs="Times New Roman"/>
          <w:sz w:val="24"/>
          <w:szCs w:val="24"/>
        </w:rPr>
        <w:t xml:space="preserve">we </w:t>
      </w:r>
      <w:r w:rsidRPr="00BE6534">
        <w:rPr>
          <w:rFonts w:ascii="Times New Roman" w:hAnsi="Times New Roman" w:cs="Times New Roman"/>
          <w:sz w:val="24"/>
          <w:szCs w:val="24"/>
        </w:rPr>
        <w:t>calculate:</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6192"/>
        <w:gridCol w:w="3888"/>
      </w:tblGrid>
      <w:tr w:rsidR="00794E05" w:rsidRPr="00BE6534" w14:paraId="23EF47EC" w14:textId="77777777">
        <w:tc>
          <w:tcPr>
            <w:tcW w:w="6192" w:type="dxa"/>
            <w:shd w:val="clear" w:color="auto" w:fill="EEEEEE"/>
            <w:tcMar>
              <w:left w:w="100" w:type="dxa"/>
              <w:right w:w="100" w:type="dxa"/>
            </w:tcMar>
            <w:vAlign w:val="center"/>
          </w:tcPr>
          <w:p w14:paraId="34BC548E" w14:textId="77777777" w:rsidR="00794E05" w:rsidRPr="00BE6534" w:rsidRDefault="00000000">
            <w:pPr>
              <w:spacing w:before="80" w:after="80"/>
              <w:rPr>
                <w:rFonts w:ascii="Times New Roman" w:hAnsi="Times New Roman" w:cs="Times New Roman"/>
                <w:sz w:val="24"/>
                <w:szCs w:val="24"/>
              </w:rPr>
            </w:pPr>
            <w:r w:rsidRPr="00BE6534">
              <w:rPr>
                <w:rFonts w:ascii="Times New Roman" w:hAnsi="Times New Roman" w:cs="Times New Roman"/>
                <w:b/>
                <w:sz w:val="24"/>
                <w:szCs w:val="24"/>
              </w:rPr>
              <w:t>Outcome</w:t>
            </w:r>
          </w:p>
        </w:tc>
        <w:tc>
          <w:tcPr>
            <w:tcW w:w="3888" w:type="dxa"/>
            <w:shd w:val="clear" w:color="auto" w:fill="EEEEEE"/>
            <w:tcMar>
              <w:left w:w="100" w:type="dxa"/>
              <w:right w:w="100" w:type="dxa"/>
            </w:tcMar>
            <w:vAlign w:val="center"/>
          </w:tcPr>
          <w:p w14:paraId="38049C5C" w14:textId="77777777" w:rsidR="00794E05" w:rsidRPr="00BE6534" w:rsidRDefault="00000000">
            <w:pPr>
              <w:spacing w:before="80" w:after="80"/>
              <w:rPr>
                <w:rFonts w:ascii="Times New Roman" w:hAnsi="Times New Roman" w:cs="Times New Roman"/>
                <w:sz w:val="24"/>
                <w:szCs w:val="24"/>
              </w:rPr>
            </w:pPr>
            <w:r w:rsidRPr="00BE6534">
              <w:rPr>
                <w:rFonts w:ascii="Times New Roman" w:hAnsi="Times New Roman" w:cs="Times New Roman"/>
                <w:b/>
                <w:sz w:val="24"/>
                <w:szCs w:val="24"/>
              </w:rPr>
              <w:t>Calculation</w:t>
            </w:r>
          </w:p>
        </w:tc>
      </w:tr>
      <w:tr w:rsidR="00794E05" w:rsidRPr="00BE6534" w14:paraId="34C86C0A" w14:textId="77777777">
        <w:tc>
          <w:tcPr>
            <w:tcW w:w="6192" w:type="dxa"/>
            <w:tcMar>
              <w:left w:w="100" w:type="dxa"/>
              <w:right w:w="100" w:type="dxa"/>
            </w:tcMar>
            <w:vAlign w:val="center"/>
          </w:tcPr>
          <w:p w14:paraId="2DA6DBB0" w14:textId="77777777" w:rsidR="00794E05" w:rsidRPr="00BE6534" w:rsidRDefault="00000000">
            <w:pPr>
              <w:spacing w:before="80" w:after="80"/>
              <w:rPr>
                <w:rFonts w:ascii="Times New Roman" w:hAnsi="Times New Roman" w:cs="Times New Roman"/>
                <w:sz w:val="24"/>
                <w:szCs w:val="24"/>
              </w:rPr>
            </w:pPr>
            <w:r w:rsidRPr="00BE6534">
              <w:rPr>
                <w:rFonts w:ascii="Times New Roman" w:hAnsi="Times New Roman" w:cs="Times New Roman"/>
                <w:sz w:val="24"/>
                <w:szCs w:val="24"/>
              </w:rPr>
              <w:t>Change after the description</w:t>
            </w:r>
          </w:p>
        </w:tc>
        <w:tc>
          <w:tcPr>
            <w:tcW w:w="3888" w:type="dxa"/>
            <w:tcMar>
              <w:left w:w="100" w:type="dxa"/>
              <w:right w:w="100" w:type="dxa"/>
            </w:tcMar>
            <w:vAlign w:val="center"/>
          </w:tcPr>
          <w:p w14:paraId="7546B631" w14:textId="77777777" w:rsidR="00794E05" w:rsidRPr="00BE6534" w:rsidRDefault="00000000">
            <w:pPr>
              <w:spacing w:before="80" w:after="80"/>
              <w:rPr>
                <w:rFonts w:ascii="Times New Roman" w:hAnsi="Times New Roman" w:cs="Times New Roman"/>
                <w:sz w:val="24"/>
                <w:szCs w:val="24"/>
              </w:rPr>
            </w:pPr>
            <w:r w:rsidRPr="00BE6534">
              <w:rPr>
                <w:rFonts w:ascii="Times New Roman" w:hAnsi="Times New Roman" w:cs="Times New Roman"/>
                <w:sz w:val="24"/>
                <w:szCs w:val="24"/>
              </w:rPr>
              <w:t>WTP2 − WTP1</w:t>
            </w:r>
          </w:p>
        </w:tc>
      </w:tr>
      <w:tr w:rsidR="00794E05" w:rsidRPr="00BE6534" w14:paraId="1275A6A8" w14:textId="77777777">
        <w:tc>
          <w:tcPr>
            <w:tcW w:w="6192" w:type="dxa"/>
            <w:tcMar>
              <w:left w:w="100" w:type="dxa"/>
              <w:right w:w="100" w:type="dxa"/>
            </w:tcMar>
            <w:vAlign w:val="center"/>
          </w:tcPr>
          <w:p w14:paraId="07E5873D" w14:textId="77777777" w:rsidR="00794E05" w:rsidRPr="00BE6534" w:rsidRDefault="00000000">
            <w:pPr>
              <w:spacing w:before="80" w:after="80"/>
              <w:rPr>
                <w:rFonts w:ascii="Times New Roman" w:hAnsi="Times New Roman" w:cs="Times New Roman"/>
                <w:sz w:val="24"/>
                <w:szCs w:val="24"/>
              </w:rPr>
            </w:pPr>
            <w:r w:rsidRPr="00BE6534">
              <w:rPr>
                <w:rFonts w:ascii="Times New Roman" w:hAnsi="Times New Roman" w:cs="Times New Roman"/>
                <w:sz w:val="24"/>
                <w:szCs w:val="24"/>
              </w:rPr>
              <w:t>Change after viewing</w:t>
            </w:r>
          </w:p>
        </w:tc>
        <w:tc>
          <w:tcPr>
            <w:tcW w:w="3888" w:type="dxa"/>
            <w:tcMar>
              <w:left w:w="100" w:type="dxa"/>
              <w:right w:w="100" w:type="dxa"/>
            </w:tcMar>
            <w:vAlign w:val="center"/>
          </w:tcPr>
          <w:p w14:paraId="0B81ED34" w14:textId="77777777" w:rsidR="00794E05" w:rsidRPr="00BE6534" w:rsidRDefault="00000000">
            <w:pPr>
              <w:spacing w:before="80" w:after="80"/>
              <w:rPr>
                <w:rFonts w:ascii="Times New Roman" w:hAnsi="Times New Roman" w:cs="Times New Roman"/>
                <w:sz w:val="24"/>
                <w:szCs w:val="24"/>
              </w:rPr>
            </w:pPr>
            <w:r w:rsidRPr="00BE6534">
              <w:rPr>
                <w:rFonts w:ascii="Times New Roman" w:hAnsi="Times New Roman" w:cs="Times New Roman"/>
                <w:sz w:val="24"/>
                <w:szCs w:val="24"/>
              </w:rPr>
              <w:t>WTP3 − WTP2</w:t>
            </w:r>
          </w:p>
        </w:tc>
      </w:tr>
      <w:tr w:rsidR="00794E05" w:rsidRPr="00BE6534" w14:paraId="5C0489CD" w14:textId="77777777">
        <w:tc>
          <w:tcPr>
            <w:tcW w:w="6192" w:type="dxa"/>
            <w:tcMar>
              <w:left w:w="100" w:type="dxa"/>
              <w:right w:w="100" w:type="dxa"/>
            </w:tcMar>
            <w:vAlign w:val="center"/>
          </w:tcPr>
          <w:p w14:paraId="46872870" w14:textId="77777777" w:rsidR="00794E05" w:rsidRPr="00BE6534" w:rsidRDefault="00000000">
            <w:pPr>
              <w:spacing w:before="80" w:after="80"/>
              <w:rPr>
                <w:rFonts w:ascii="Times New Roman" w:hAnsi="Times New Roman" w:cs="Times New Roman"/>
                <w:sz w:val="24"/>
                <w:szCs w:val="24"/>
              </w:rPr>
            </w:pPr>
            <w:r w:rsidRPr="00BE6534">
              <w:rPr>
                <w:rFonts w:ascii="Times New Roman" w:hAnsi="Times New Roman" w:cs="Times New Roman"/>
                <w:sz w:val="24"/>
                <w:szCs w:val="24"/>
              </w:rPr>
              <w:t>Total change</w:t>
            </w:r>
          </w:p>
        </w:tc>
        <w:tc>
          <w:tcPr>
            <w:tcW w:w="3888" w:type="dxa"/>
            <w:tcMar>
              <w:left w:w="100" w:type="dxa"/>
              <w:right w:w="100" w:type="dxa"/>
            </w:tcMar>
            <w:vAlign w:val="center"/>
          </w:tcPr>
          <w:p w14:paraId="4A272D60" w14:textId="77777777" w:rsidR="00794E05" w:rsidRPr="00BE6534" w:rsidRDefault="00000000">
            <w:pPr>
              <w:spacing w:before="80" w:after="80"/>
              <w:rPr>
                <w:rFonts w:ascii="Times New Roman" w:hAnsi="Times New Roman" w:cs="Times New Roman"/>
                <w:sz w:val="24"/>
                <w:szCs w:val="24"/>
              </w:rPr>
            </w:pPr>
            <w:r w:rsidRPr="00BE6534">
              <w:rPr>
                <w:rFonts w:ascii="Times New Roman" w:hAnsi="Times New Roman" w:cs="Times New Roman"/>
                <w:sz w:val="24"/>
                <w:szCs w:val="24"/>
              </w:rPr>
              <w:t>WTP3 − WTP1</w:t>
            </w:r>
          </w:p>
        </w:tc>
      </w:tr>
    </w:tbl>
    <w:p w14:paraId="352753B7" w14:textId="77777777" w:rsidR="00794E05" w:rsidRPr="00BE6534" w:rsidRDefault="00000000">
      <w:pPr>
        <w:spacing w:before="100"/>
        <w:rPr>
          <w:rFonts w:ascii="Times New Roman" w:hAnsi="Times New Roman" w:cs="Times New Roman"/>
          <w:sz w:val="24"/>
          <w:szCs w:val="24"/>
        </w:rPr>
      </w:pPr>
      <w:r w:rsidRPr="00BE6534">
        <w:rPr>
          <w:rFonts w:ascii="Times New Roman" w:hAnsi="Times New Roman" w:cs="Times New Roman"/>
          <w:sz w:val="24"/>
          <w:szCs w:val="24"/>
        </w:rPr>
        <w:t xml:space="preserve">For each outcome, the </w:t>
      </w:r>
      <w:r w:rsidRPr="00BE6534">
        <w:rPr>
          <w:rFonts w:ascii="Times New Roman" w:hAnsi="Times New Roman" w:cs="Times New Roman"/>
          <w:b/>
          <w:sz w:val="24"/>
          <w:szCs w:val="24"/>
        </w:rPr>
        <w:t>control-adjusted change</w:t>
      </w:r>
      <w:r w:rsidRPr="00BE6534">
        <w:rPr>
          <w:rFonts w:ascii="Times New Roman" w:hAnsi="Times New Roman" w:cs="Times New Roman"/>
          <w:sz w:val="24"/>
          <w:szCs w:val="24"/>
        </w:rPr>
        <w:t xml:space="preserve"> is the factory-farming group’s mean minus the control group’s mean. Negative values indicate a greater decline in the factory-farming group.</w:t>
      </w:r>
    </w:p>
    <w:p w14:paraId="0C19FE90" w14:textId="64BB2E14" w:rsidR="00794E05" w:rsidRPr="00BE6534" w:rsidRDefault="00000000">
      <w:pPr>
        <w:rPr>
          <w:rFonts w:ascii="Times New Roman" w:hAnsi="Times New Roman" w:cs="Times New Roman"/>
          <w:sz w:val="24"/>
          <w:szCs w:val="24"/>
        </w:rPr>
      </w:pPr>
      <w:r w:rsidRPr="00BE6534">
        <w:rPr>
          <w:rFonts w:ascii="Times New Roman" w:hAnsi="Times New Roman" w:cs="Times New Roman"/>
          <w:sz w:val="24"/>
          <w:szCs w:val="24"/>
        </w:rPr>
        <w:t xml:space="preserve">The </w:t>
      </w:r>
      <w:r w:rsidRPr="00BE6534">
        <w:rPr>
          <w:rFonts w:ascii="Times New Roman" w:hAnsi="Times New Roman" w:cs="Times New Roman"/>
          <w:b/>
          <w:sz w:val="24"/>
          <w:szCs w:val="24"/>
        </w:rPr>
        <w:t>primary outcome</w:t>
      </w:r>
      <w:r w:rsidRPr="00BE6534">
        <w:rPr>
          <w:rFonts w:ascii="Times New Roman" w:hAnsi="Times New Roman" w:cs="Times New Roman"/>
          <w:sz w:val="24"/>
          <w:szCs w:val="24"/>
        </w:rPr>
        <w:t xml:space="preserve"> is the </w:t>
      </w:r>
      <w:r w:rsidR="00884FF7" w:rsidRPr="00BE6534">
        <w:rPr>
          <w:rFonts w:ascii="Times New Roman" w:hAnsi="Times New Roman" w:cs="Times New Roman"/>
          <w:sz w:val="24"/>
          <w:szCs w:val="24"/>
        </w:rPr>
        <w:t>share of change that is unanticipated: (WTP3-WTP2)/(WTP3-WTP1).</w:t>
      </w:r>
    </w:p>
    <w:p w14:paraId="5C4787A5" w14:textId="73807F53" w:rsidR="00794E05" w:rsidRPr="00BE6534" w:rsidRDefault="00884FF7">
      <w:pPr>
        <w:pStyle w:val="Heading1"/>
        <w:rPr>
          <w:rFonts w:ascii="Times New Roman" w:hAnsi="Times New Roman" w:cs="Times New Roman"/>
          <w:szCs w:val="24"/>
        </w:rPr>
      </w:pPr>
      <w:r w:rsidRPr="00BE6534">
        <w:rPr>
          <w:rFonts w:ascii="Times New Roman" w:hAnsi="Times New Roman" w:cs="Times New Roman"/>
          <w:szCs w:val="24"/>
        </w:rPr>
        <w:t>Sample</w:t>
      </w:r>
    </w:p>
    <w:p w14:paraId="080D391A" w14:textId="704C2026" w:rsidR="00884FF7" w:rsidRPr="00BE6534" w:rsidRDefault="00DB5B3A" w:rsidP="00884FF7">
      <w:pPr>
        <w:rPr>
          <w:rFonts w:ascii="Times New Roman" w:hAnsi="Times New Roman" w:cs="Times New Roman"/>
          <w:sz w:val="24"/>
          <w:szCs w:val="24"/>
        </w:rPr>
      </w:pPr>
      <w:r w:rsidRPr="00BE6534">
        <w:rPr>
          <w:rFonts w:ascii="Times New Roman" w:hAnsi="Times New Roman" w:cs="Times New Roman"/>
          <w:sz w:val="24"/>
          <w:szCs w:val="24"/>
        </w:rPr>
        <w:t xml:space="preserve">The survey contains several attention check questions. </w:t>
      </w:r>
      <w:r w:rsidR="00884FF7" w:rsidRPr="00BE6534">
        <w:rPr>
          <w:rFonts w:ascii="Times New Roman" w:hAnsi="Times New Roman" w:cs="Times New Roman"/>
          <w:sz w:val="24"/>
          <w:szCs w:val="24"/>
        </w:rPr>
        <w:t xml:space="preserve">There are two questions early on that participants answer about a test video, and two questions participants answer after viewing the factory farming or control video. These questions are intended to check that the videos were indeed watched. Those who answer both questions incorrectly about the test video are not allowed to proceed. </w:t>
      </w:r>
      <w:r w:rsidRPr="00BE6534">
        <w:rPr>
          <w:rFonts w:ascii="Times New Roman" w:hAnsi="Times New Roman" w:cs="Times New Roman"/>
          <w:sz w:val="24"/>
          <w:szCs w:val="24"/>
        </w:rPr>
        <w:t>The main analysis will limit attention to those who answered all test questions correctly.</w:t>
      </w:r>
    </w:p>
    <w:p w14:paraId="6309900A" w14:textId="77777777" w:rsidR="00DB5B3A" w:rsidRPr="00BE6534" w:rsidRDefault="00DB5B3A" w:rsidP="00884FF7">
      <w:pPr>
        <w:rPr>
          <w:rFonts w:ascii="Times New Roman" w:hAnsi="Times New Roman" w:cs="Times New Roman"/>
          <w:sz w:val="24"/>
          <w:szCs w:val="24"/>
        </w:rPr>
      </w:pPr>
      <w:r w:rsidRPr="00BE6534">
        <w:rPr>
          <w:rFonts w:ascii="Times New Roman" w:hAnsi="Times New Roman" w:cs="Times New Roman"/>
          <w:sz w:val="24"/>
          <w:szCs w:val="24"/>
        </w:rPr>
        <w:t>Participants will also be asked at the end of the survey how surprising the video was based on the description of it. In a robustness test, we will restrict attention to those who say the content of the video was broadly what they anticipated.</w:t>
      </w:r>
    </w:p>
    <w:p w14:paraId="0B2C1616" w14:textId="337A3B3B" w:rsidR="00794E05" w:rsidRPr="00BE6534" w:rsidRDefault="00794E05">
      <w:pPr>
        <w:rPr>
          <w:rFonts w:ascii="Times New Roman" w:hAnsi="Times New Roman" w:cs="Times New Roman"/>
          <w:sz w:val="24"/>
          <w:szCs w:val="24"/>
        </w:rPr>
      </w:pPr>
    </w:p>
    <w:sectPr w:rsidR="00794E05" w:rsidRPr="00BE6534"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64833372">
    <w:abstractNumId w:val="8"/>
  </w:num>
  <w:num w:numId="2" w16cid:durableId="1314942164">
    <w:abstractNumId w:val="6"/>
  </w:num>
  <w:num w:numId="3" w16cid:durableId="129056509">
    <w:abstractNumId w:val="5"/>
  </w:num>
  <w:num w:numId="4" w16cid:durableId="1182623501">
    <w:abstractNumId w:val="4"/>
  </w:num>
  <w:num w:numId="5" w16cid:durableId="731544504">
    <w:abstractNumId w:val="7"/>
  </w:num>
  <w:num w:numId="6" w16cid:durableId="1104377138">
    <w:abstractNumId w:val="3"/>
  </w:num>
  <w:num w:numId="7" w16cid:durableId="449933124">
    <w:abstractNumId w:val="2"/>
  </w:num>
  <w:num w:numId="8" w16cid:durableId="1576041226">
    <w:abstractNumId w:val="1"/>
  </w:num>
  <w:num w:numId="9" w16cid:durableId="1446000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85AF6"/>
    <w:rsid w:val="00550144"/>
    <w:rsid w:val="007635A3"/>
    <w:rsid w:val="00794E05"/>
    <w:rsid w:val="00884FF7"/>
    <w:rsid w:val="00AA1D8D"/>
    <w:rsid w:val="00B47730"/>
    <w:rsid w:val="00BE6534"/>
    <w:rsid w:val="00CB0664"/>
    <w:rsid w:val="00DB5B3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521C7F"/>
  <w14:defaultImageDpi w14:val="300"/>
  <w15:docId w15:val="{BB0B9769-21EF-1247-AE30-4FDFF98A1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keepLines/>
      <w:spacing w:after="60" w:line="240" w:lineRule="auto"/>
    </w:pPr>
    <w:rPr>
      <w:rFonts w:ascii="Calibri" w:hAnsi="Calibri"/>
      <w:color w:val="000000"/>
    </w:rPr>
  </w:style>
  <w:style w:type="paragraph" w:styleId="Heading1">
    <w:name w:val="heading 1"/>
    <w:basedOn w:val="Normal"/>
    <w:next w:val="Normal"/>
    <w:link w:val="Heading1Char"/>
    <w:uiPriority w:val="9"/>
    <w:qFormat/>
    <w:rsid w:val="00FC693F"/>
    <w:pPr>
      <w:keepNext/>
      <w:spacing w:before="180" w:after="80"/>
      <w:outlineLvl w:val="0"/>
    </w:pPr>
    <w:rPr>
      <w:rFonts w:asciiTheme="majorHAnsi" w:eastAsiaTheme="majorEastAsia" w:hAnsiTheme="majorHAnsi" w:cstheme="majorBidi"/>
      <w:b/>
      <w:bCs/>
      <w:sz w:val="24"/>
      <w:szCs w:val="28"/>
    </w:rPr>
  </w:style>
  <w:style w:type="paragraph" w:styleId="Heading2">
    <w:name w:val="heading 2"/>
    <w:basedOn w:val="Normal"/>
    <w:next w:val="Normal"/>
    <w:link w:val="Heading2Char"/>
    <w:uiPriority w:val="9"/>
    <w:unhideWhenUsed/>
    <w:qFormat/>
    <w:rsid w:val="00FC693F"/>
    <w:pPr>
      <w:keepNext/>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contextualSpacing/>
    </w:pPr>
    <w:rPr>
      <w:rFonts w:asciiTheme="majorHAnsi" w:eastAsiaTheme="majorEastAsia" w:hAnsiTheme="majorHAnsi" w:cstheme="majorBidi"/>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245</Words>
  <Characters>1399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Preanalysis plan for anticipation of valuation changes</vt:lpstr>
    </vt:vector>
  </TitlesOfParts>
  <Manager/>
  <Company/>
  <LinksUpToDate>false</LinksUpToDate>
  <CharactersWithSpaces>1641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Preanalysis plan for anticipation of valuation changes</dc:title>
  <dc:subject/>
  <dc:creator>Eva Vivalt</dc:creator>
  <cp:keywords/>
  <dc:description>generated by python-docx</dc:description>
  <cp:lastModifiedBy>Eva Vivalt</cp:lastModifiedBy>
  <cp:revision>4</cp:revision>
  <dcterms:created xsi:type="dcterms:W3CDTF">2026-09-20T18:57:00Z</dcterms:created>
  <dcterms:modified xsi:type="dcterms:W3CDTF">2026-09-20T19:31:00Z</dcterms:modified>
  <cp:category/>
</cp:coreProperties>
</file>