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3BA0C" w14:textId="77777777" w:rsidR="00D52639" w:rsidRPr="003679C3" w:rsidRDefault="004E4514" w:rsidP="00D52639">
      <w:pPr>
        <w:pStyle w:val="Title"/>
      </w:pPr>
      <w:r>
        <w:t>Protocol for Seroquel</w:t>
      </w:r>
      <w:r w:rsidR="00D52639">
        <w:t xml:space="preserve"> Letter Campaign</w:t>
      </w:r>
    </w:p>
    <w:p w14:paraId="34851356" w14:textId="77777777" w:rsidR="00D52639" w:rsidRDefault="00D52639" w:rsidP="00D52639">
      <w:pPr>
        <w:pStyle w:val="Subtitle"/>
      </w:pPr>
      <w:r>
        <w:t>Adam Sacarny</w:t>
      </w:r>
      <w:r w:rsidR="004E4514">
        <w:t xml:space="preserve"> and</w:t>
      </w:r>
      <w:r>
        <w:t xml:space="preserve"> David </w:t>
      </w:r>
      <w:proofErr w:type="spellStart"/>
      <w:r>
        <w:t>Yokum</w:t>
      </w:r>
      <w:proofErr w:type="spellEnd"/>
    </w:p>
    <w:p w14:paraId="656D1771" w14:textId="2529410A" w:rsidR="000F1A1E" w:rsidRDefault="000F1A1E" w:rsidP="00D52639">
      <w:pPr>
        <w:rPr>
          <w:rFonts w:asciiTheme="majorHAnsi" w:eastAsia="Times New Roman" w:hAnsiTheme="majorHAnsi" w:cs="Times New Roman"/>
          <w:i/>
        </w:rPr>
      </w:pPr>
      <w:r>
        <w:rPr>
          <w:rFonts w:asciiTheme="majorHAnsi" w:eastAsia="Times New Roman" w:hAnsiTheme="majorHAnsi" w:cs="Times New Roman"/>
          <w:i/>
        </w:rPr>
        <w:t>VERSION 1.0</w:t>
      </w:r>
    </w:p>
    <w:p w14:paraId="70438DD3" w14:textId="2EBBF65C" w:rsidR="00D52639" w:rsidRPr="005370D1" w:rsidRDefault="000F1A1E" w:rsidP="00D52639">
      <w:pPr>
        <w:rPr>
          <w:rFonts w:asciiTheme="majorHAnsi" w:eastAsia="Times New Roman" w:hAnsiTheme="majorHAnsi" w:cs="Times New Roman"/>
          <w:i/>
        </w:rPr>
      </w:pPr>
      <w:r>
        <w:rPr>
          <w:rFonts w:asciiTheme="majorHAnsi" w:eastAsia="Times New Roman" w:hAnsiTheme="majorHAnsi" w:cs="Times New Roman"/>
          <w:i/>
        </w:rPr>
        <w:t>September 24</w:t>
      </w:r>
      <w:r w:rsidR="004E4514">
        <w:rPr>
          <w:rFonts w:asciiTheme="majorHAnsi" w:eastAsia="Times New Roman" w:hAnsiTheme="majorHAnsi" w:cs="Times New Roman"/>
          <w:i/>
        </w:rPr>
        <w:t>, 2015</w:t>
      </w:r>
    </w:p>
    <w:p w14:paraId="6AA4D1B5" w14:textId="77777777" w:rsidR="00D52639" w:rsidRDefault="00D52639" w:rsidP="00D52639">
      <w:pPr>
        <w:pStyle w:val="Heading1"/>
      </w:pPr>
      <w:r>
        <w:t>Introduction</w:t>
      </w:r>
    </w:p>
    <w:p w14:paraId="500E08E9" w14:textId="2515A837" w:rsidR="00D52639" w:rsidRDefault="00D52639" w:rsidP="00D52639">
      <w:r>
        <w:t xml:space="preserve">In this document we describe </w:t>
      </w:r>
      <w:r w:rsidR="004E4514">
        <w:t>the protocol for</w:t>
      </w:r>
      <w:r>
        <w:t xml:space="preserve"> a study on the effects of informative letters that </w:t>
      </w:r>
      <w:r w:rsidR="00694608">
        <w:t>are being</w:t>
      </w:r>
      <w:r>
        <w:t xml:space="preserve"> sent to high prescribers of </w:t>
      </w:r>
      <w:r w:rsidR="004E4514">
        <w:t>Seroquel (quetiapine)</w:t>
      </w:r>
      <w:r>
        <w:t xml:space="preserve"> in Medicare Part D. </w:t>
      </w:r>
      <w:r w:rsidR="004E4514">
        <w:t>T</w:t>
      </w:r>
      <w:r>
        <w:t xml:space="preserve">he goal of this study is to understand the effects of the letters on both prescribers and patients. The primary outcome of the study is the effect of the letters on the prescribing of </w:t>
      </w:r>
      <w:r w:rsidR="004F23DD">
        <w:t>Seroquel over the 12</w:t>
      </w:r>
      <w:r w:rsidR="004E4514">
        <w:t xml:space="preserve"> </w:t>
      </w:r>
      <w:r>
        <w:t xml:space="preserve">months following the initial sending of the letters. Prescribing is defined as the total “days supply” of </w:t>
      </w:r>
      <w:r w:rsidR="004E4514">
        <w:t>Seroquel, Seroquel XR, or generic quetiapine</w:t>
      </w:r>
      <w:r>
        <w:t xml:space="preserve"> attributed to the prescriber, expressed in “30-day equivalents” i.e. divided by 30.</w:t>
      </w:r>
    </w:p>
    <w:p w14:paraId="7AB1879C" w14:textId="54941F33" w:rsidR="000F1A1E" w:rsidRPr="000F1A1E" w:rsidRDefault="000F1A1E" w:rsidP="00D52639">
      <w:r>
        <w:t xml:space="preserve">This protocol will be updated as the study advances. A separate prespecification document has been created to store our </w:t>
      </w:r>
      <w:r>
        <w:rPr>
          <w:i/>
        </w:rPr>
        <w:t>ex ante</w:t>
      </w:r>
      <w:r>
        <w:t xml:space="preserve"> analyses and will be archived prior to </w:t>
      </w:r>
      <w:proofErr w:type="spellStart"/>
      <w:r>
        <w:t>unblinding</w:t>
      </w:r>
      <w:proofErr w:type="spellEnd"/>
      <w:r>
        <w:t xml:space="preserve"> to post-intervention data.</w:t>
      </w:r>
    </w:p>
    <w:p w14:paraId="4578ABA9" w14:textId="77777777" w:rsidR="00D52639" w:rsidRDefault="00D52639" w:rsidP="00D52639">
      <w:pPr>
        <w:pStyle w:val="Heading1"/>
      </w:pPr>
      <w:bookmarkStart w:id="0" w:name="_Ref283394297"/>
      <w:r>
        <w:t>Identification of Prescribers and Randomization</w:t>
      </w:r>
      <w:bookmarkEnd w:id="0"/>
    </w:p>
    <w:p w14:paraId="415E4424" w14:textId="6AA9FB91" w:rsidR="00D52639" w:rsidRDefault="00D52639" w:rsidP="00D52639">
      <w:r>
        <w:t xml:space="preserve">An analysis was conducted to identify outlier prescribers of </w:t>
      </w:r>
      <w:r w:rsidR="00694608">
        <w:t>Seroquel</w:t>
      </w:r>
      <w:r>
        <w:t xml:space="preserve"> in the Medicare Part D events file (analogous to a claims file) for </w:t>
      </w:r>
      <w:r w:rsidR="001F7644">
        <w:t>each of two time periods, calendar year 2013 (Universe 1) and calendar year 2014 (Universe 2)</w:t>
      </w:r>
      <w:r>
        <w:t>.</w:t>
      </w:r>
      <w:r w:rsidR="00694608">
        <w:t xml:space="preserve"> We define Seroquel prescriptions as prescriptions for branded Seroquel, Seroquel XR, or generic quetiapine.</w:t>
      </w:r>
      <w:r>
        <w:t xml:space="preserve"> This analysis was conducted by Health Integrity, a contractor responsible for </w:t>
      </w:r>
      <w:r w:rsidR="00C25981">
        <w:t>stopping inappropriate payments</w:t>
      </w:r>
      <w:r>
        <w:t xml:space="preserve"> in the Medicare Part D program, with the supervision of the Centers for Medicare and Medicaid Services Center for Program Integrity (CMS/CPI).</w:t>
      </w:r>
    </w:p>
    <w:p w14:paraId="5868F96F" w14:textId="1624CAB6" w:rsidR="00694608" w:rsidRDefault="00D52639" w:rsidP="00D52639">
      <w:r>
        <w:t xml:space="preserve">First, </w:t>
      </w:r>
      <w:r w:rsidR="001F7644">
        <w:t xml:space="preserve">for each universe, </w:t>
      </w:r>
      <w:r>
        <w:t xml:space="preserve">a sample of </w:t>
      </w:r>
      <w:r w:rsidR="00694608">
        <w:t>general-care prescribers</w:t>
      </w:r>
      <w:r>
        <w:t xml:space="preserve"> </w:t>
      </w:r>
      <w:r w:rsidR="00694608">
        <w:t>(which includes General Practitioners, Family P</w:t>
      </w:r>
      <w:r w:rsidR="00694608" w:rsidRPr="00C2328F">
        <w:t xml:space="preserve">ractitioners, and </w:t>
      </w:r>
      <w:r w:rsidR="00694608">
        <w:t>Internal M</w:t>
      </w:r>
      <w:r w:rsidR="00694608" w:rsidRPr="00C2328F">
        <w:t>edicine practitioners</w:t>
      </w:r>
      <w:r w:rsidR="001F7644">
        <w:t>; practitioners with a secondary or tertiary specialty of Psychiatry were excluded</w:t>
      </w:r>
      <w:r w:rsidR="00694608">
        <w:t xml:space="preserve">) </w:t>
      </w:r>
      <w:r>
        <w:t xml:space="preserve">with at least </w:t>
      </w:r>
      <w:r w:rsidR="00694608">
        <w:t>10</w:t>
      </w:r>
      <w:r>
        <w:t xml:space="preserve"> </w:t>
      </w:r>
      <w:r w:rsidR="00694608">
        <w:t>Seroquel</w:t>
      </w:r>
      <w:r>
        <w:t xml:space="preserve"> prescription drug events (PDEs, or records in the Part D events file that are generated whenever patients fill prescriptions</w:t>
      </w:r>
      <w:r w:rsidR="00694608">
        <w:t xml:space="preserve">) </w:t>
      </w:r>
      <w:r>
        <w:t>was created.</w:t>
      </w:r>
      <w:r w:rsidR="001F7644">
        <w:t xml:space="preserve"> Prescriptions filled through long-term care pharmacies and filled to beneficiaries residing in institutional settings were </w:t>
      </w:r>
      <w:r w:rsidR="00C25981">
        <w:t xml:space="preserve">then </w:t>
      </w:r>
      <w:r w:rsidR="001F7644">
        <w:t>removed.</w:t>
      </w:r>
    </w:p>
    <w:p w14:paraId="4E3607CB" w14:textId="7882B000" w:rsidR="00561A4A" w:rsidRDefault="00D52639" w:rsidP="00D52639">
      <w:r>
        <w:t xml:space="preserve">Prescribers were then grouped by state (e.g. a prescriber’s peer group was other prescribers in his/her state) </w:t>
      </w:r>
      <w:r w:rsidRPr="00C3176B">
        <w:t>and</w:t>
      </w:r>
      <w:r>
        <w:t xml:space="preserve"> two outlier thresholds were calculated for each group. In order to be considered an outlier, the prescriber had to pass both thresholds. The first threshold </w:t>
      </w:r>
      <w:r w:rsidR="000D4714">
        <w:t>was with respect to Seroquel prescription drug treatments, or PDT</w:t>
      </w:r>
      <w:r w:rsidR="00B231A6">
        <w:t xml:space="preserve">. A Seroquel PDT </w:t>
      </w:r>
      <w:r w:rsidR="000D4714" w:rsidRPr="001F7644">
        <w:t>rolls up all the PDE for a given prescriber-beneficiary-day into one treatment</w:t>
      </w:r>
      <w:r w:rsidR="001F7644">
        <w:t xml:space="preserve">; multiple PDE delivered to a beneficiary from one prescriber on the same day only count </w:t>
      </w:r>
      <w:r w:rsidR="001C764C">
        <w:lastRenderedPageBreak/>
        <w:t>as one PDT</w:t>
      </w:r>
      <w:r w:rsidR="000D4714" w:rsidRPr="001F7644">
        <w:t>. The</w:t>
      </w:r>
      <w:r w:rsidR="000D4714">
        <w:t xml:space="preserve"> threshold was</w:t>
      </w:r>
      <w:r>
        <w:t xml:space="preserve"> set equal to the 75</w:t>
      </w:r>
      <w:r w:rsidRPr="00C2328F">
        <w:rPr>
          <w:vertAlign w:val="superscript"/>
        </w:rPr>
        <w:t>th</w:t>
      </w:r>
      <w:r>
        <w:t xml:space="preserve"> percentile for prescribers within the state plus </w:t>
      </w:r>
      <w:r w:rsidR="001C764C">
        <w:t>0.25</w:t>
      </w:r>
      <w:r>
        <w:t xml:space="preserve"> times the interquartile range (called the </w:t>
      </w:r>
      <w:proofErr w:type="spellStart"/>
      <w:r>
        <w:t>Tukey</w:t>
      </w:r>
      <w:proofErr w:type="spellEnd"/>
      <w:r>
        <w:t xml:space="preserve"> method; see </w:t>
      </w:r>
      <w:proofErr w:type="spellStart"/>
      <w:r>
        <w:t>Tukey</w:t>
      </w:r>
      <w:proofErr w:type="spellEnd"/>
      <w:r>
        <w:t>, 1977</w:t>
      </w:r>
      <w:r w:rsidR="00561A4A">
        <w:t>).</w:t>
      </w:r>
    </w:p>
    <w:p w14:paraId="09D5C2E0" w14:textId="6BB574AD" w:rsidR="00D52639" w:rsidRDefault="00D52639" w:rsidP="00D52639">
      <w:r>
        <w:t>The second threshold</w:t>
      </w:r>
      <w:r w:rsidR="000D4714">
        <w:t xml:space="preserve"> was with respect to Seroquel 30-day equivalent PDTs </w:t>
      </w:r>
      <w:r w:rsidRPr="001C764C">
        <w:t>– the total “days supply” of</w:t>
      </w:r>
      <w:r w:rsidR="007540A2" w:rsidRPr="001C764C">
        <w:t xml:space="preserve"> each </w:t>
      </w:r>
      <w:r w:rsidR="00561A4A" w:rsidRPr="001C764C">
        <w:t xml:space="preserve">PDT (which equals the maximum “days supply” of </w:t>
      </w:r>
      <w:r w:rsidR="001C764C" w:rsidRPr="001C764C">
        <w:t>any</w:t>
      </w:r>
      <w:r w:rsidR="00561A4A" w:rsidRPr="001C764C">
        <w:t xml:space="preserve"> PDE included in the PDT)</w:t>
      </w:r>
      <w:r w:rsidRPr="001C764C">
        <w:t>, divided by 30.</w:t>
      </w:r>
      <w:r>
        <w:t xml:space="preserve"> The threshold for 30-day equivalents was set by the same </w:t>
      </w:r>
      <w:proofErr w:type="spellStart"/>
      <w:r>
        <w:t>Tukey</w:t>
      </w:r>
      <w:proofErr w:type="spellEnd"/>
      <w:r>
        <w:t xml:space="preserve"> method.</w:t>
      </w:r>
    </w:p>
    <w:p w14:paraId="68A1D3D4" w14:textId="4B1C462A" w:rsidR="00D52639" w:rsidRDefault="00D52639" w:rsidP="00D52639">
      <w:r w:rsidRPr="001C764C">
        <w:t xml:space="preserve">When this analysis was conducted using </w:t>
      </w:r>
      <w:r w:rsidR="00561A4A" w:rsidRPr="001C764C">
        <w:t xml:space="preserve">PDT from </w:t>
      </w:r>
      <w:r w:rsidR="001C764C">
        <w:t>universe 1</w:t>
      </w:r>
      <w:r w:rsidRPr="001C764C">
        <w:t xml:space="preserve">, </w:t>
      </w:r>
      <w:r w:rsidR="001C764C">
        <w:t>7,349</w:t>
      </w:r>
      <w:r w:rsidRPr="001C764C">
        <w:t xml:space="preserve"> outlier prescribers were identified. </w:t>
      </w:r>
      <w:r w:rsidR="00561A4A" w:rsidRPr="001C764C">
        <w:t xml:space="preserve">When it was conducted using PDT from </w:t>
      </w:r>
      <w:r w:rsidR="001C764C">
        <w:t>universe 2</w:t>
      </w:r>
      <w:r w:rsidR="00561A4A" w:rsidRPr="001C764C">
        <w:t xml:space="preserve">, </w:t>
      </w:r>
      <w:r w:rsidR="001C764C">
        <w:t>7,614</w:t>
      </w:r>
      <w:r w:rsidR="00561A4A" w:rsidRPr="001C764C">
        <w:t xml:space="preserve"> outlier</w:t>
      </w:r>
      <w:r w:rsidR="00F92CE1" w:rsidRPr="001C764C">
        <w:t xml:space="preserve"> prescribers were identified. 5</w:t>
      </w:r>
      <w:r w:rsidR="00F92CE1" w:rsidRPr="003F00AA">
        <w:t>,056</w:t>
      </w:r>
      <w:r w:rsidRPr="003F00AA">
        <w:t xml:space="preserve"> prescribers were outliers in </w:t>
      </w:r>
      <w:r w:rsidR="00561A4A" w:rsidRPr="003F00AA">
        <w:t xml:space="preserve">both </w:t>
      </w:r>
      <w:r w:rsidR="003F00AA">
        <w:t>years; one prescriber had died by March 1, 2015 and was removed from the analysis. The remaining 5,055</w:t>
      </w:r>
      <w:r w:rsidRPr="003F00AA">
        <w:t xml:space="preserve"> prescribers became the study sample.</w:t>
      </w:r>
    </w:p>
    <w:p w14:paraId="23485EA8" w14:textId="637C1684" w:rsidR="00D52639" w:rsidRDefault="009D6EB2" w:rsidP="00D52639">
      <w:r>
        <w:t>On March 13, 2015 w</w:t>
      </w:r>
      <w:r w:rsidR="00D52639">
        <w:t>e r</w:t>
      </w:r>
      <w:r w:rsidR="00561A4A">
        <w:t xml:space="preserve">andomly allocated each of the </w:t>
      </w:r>
      <w:r w:rsidR="003F00AA">
        <w:t>5,055</w:t>
      </w:r>
      <w:r w:rsidR="00D52639">
        <w:t xml:space="preserve"> prescribers to a treatment or control group. Randomization was performed in Stata with a pre-specified re-randomization procedure to ensure covariate balance between treatment and control groups (See Appendix</w:t>
      </w:r>
      <w:r w:rsidR="003F00AA">
        <w:t xml:space="preserve"> </w:t>
      </w:r>
      <w:r w:rsidR="003F00AA">
        <w:fldChar w:fldCharType="begin"/>
      </w:r>
      <w:r w:rsidR="003F00AA">
        <w:instrText xml:space="preserve"> REF _Ref282877828 \r \h </w:instrText>
      </w:r>
      <w:r w:rsidR="003F00AA">
        <w:fldChar w:fldCharType="separate"/>
      </w:r>
      <w:r w:rsidR="003F00AA">
        <w:t>1</w:t>
      </w:r>
      <w:r w:rsidR="003F00AA">
        <w:fldChar w:fldCharType="end"/>
      </w:r>
      <w:r w:rsidR="00D52639">
        <w:fldChar w:fldCharType="begin"/>
      </w:r>
      <w:r w:rsidR="00D52639">
        <w:instrText xml:space="preserve"> REF _Ref282877828 \r \h </w:instrText>
      </w:r>
      <w:r w:rsidR="00D52639">
        <w:fldChar w:fldCharType="end"/>
      </w:r>
      <w:r w:rsidR="00D52639">
        <w:t>). The first run of randomization passed the balance test so no re-randomization was conducted.</w:t>
      </w:r>
      <w:r>
        <w:t xml:space="preserve"> 2,527</w:t>
      </w:r>
      <w:r w:rsidR="00D52639">
        <w:t xml:space="preserve"> prescribers were allocate</w:t>
      </w:r>
      <w:r>
        <w:t>d to the treatment group and 2,528</w:t>
      </w:r>
      <w:r w:rsidR="00D52639">
        <w:t xml:space="preserve"> were allocated to the control group. Summary statisti</w:t>
      </w:r>
      <w:r>
        <w:t>cs about the prescribers follow:</w:t>
      </w:r>
    </w:p>
    <w:tbl>
      <w:tblPr>
        <w:tblW w:w="6700" w:type="dxa"/>
        <w:jc w:val="center"/>
        <w:tblLook w:val="04A0" w:firstRow="1" w:lastRow="0" w:firstColumn="1" w:lastColumn="0" w:noHBand="0" w:noVBand="1"/>
      </w:tblPr>
      <w:tblGrid>
        <w:gridCol w:w="3612"/>
        <w:gridCol w:w="1077"/>
        <w:gridCol w:w="822"/>
        <w:gridCol w:w="1310"/>
      </w:tblGrid>
      <w:tr w:rsidR="00522FD1" w:rsidRPr="00522FD1" w14:paraId="662602E6" w14:textId="77777777" w:rsidTr="00522FD1">
        <w:trPr>
          <w:trHeight w:val="280"/>
          <w:jc w:val="center"/>
        </w:trPr>
        <w:tc>
          <w:tcPr>
            <w:tcW w:w="6700" w:type="dxa"/>
            <w:gridSpan w:val="4"/>
            <w:tcBorders>
              <w:top w:val="nil"/>
              <w:left w:val="nil"/>
              <w:bottom w:val="single" w:sz="4" w:space="0" w:color="auto"/>
              <w:right w:val="nil"/>
            </w:tcBorders>
            <w:shd w:val="clear" w:color="auto" w:fill="auto"/>
            <w:noWrap/>
            <w:vAlign w:val="bottom"/>
            <w:hideMark/>
          </w:tcPr>
          <w:p w14:paraId="61647694"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Summary Statistics about Prescribers</w:t>
            </w:r>
          </w:p>
        </w:tc>
      </w:tr>
      <w:tr w:rsidR="00522FD1" w:rsidRPr="00522FD1" w14:paraId="41998A12"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5B4A2A6A"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1037" w:type="dxa"/>
            <w:tcBorders>
              <w:top w:val="nil"/>
              <w:left w:val="nil"/>
              <w:bottom w:val="nil"/>
              <w:right w:val="nil"/>
            </w:tcBorders>
            <w:shd w:val="clear" w:color="auto" w:fill="auto"/>
            <w:noWrap/>
            <w:vAlign w:val="bottom"/>
            <w:hideMark/>
          </w:tcPr>
          <w:p w14:paraId="4749FDD2"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(1)</w:t>
            </w:r>
          </w:p>
        </w:tc>
        <w:tc>
          <w:tcPr>
            <w:tcW w:w="741" w:type="dxa"/>
            <w:tcBorders>
              <w:top w:val="nil"/>
              <w:left w:val="nil"/>
              <w:bottom w:val="nil"/>
              <w:right w:val="nil"/>
            </w:tcBorders>
            <w:shd w:val="clear" w:color="auto" w:fill="auto"/>
            <w:noWrap/>
            <w:vAlign w:val="bottom"/>
            <w:hideMark/>
          </w:tcPr>
          <w:p w14:paraId="7C9B4EE8"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(2)</w:t>
            </w:r>
          </w:p>
        </w:tc>
        <w:tc>
          <w:tcPr>
            <w:tcW w:w="1310" w:type="dxa"/>
            <w:tcBorders>
              <w:top w:val="nil"/>
              <w:left w:val="nil"/>
              <w:bottom w:val="nil"/>
              <w:right w:val="nil"/>
            </w:tcBorders>
            <w:shd w:val="clear" w:color="auto" w:fill="auto"/>
            <w:noWrap/>
            <w:vAlign w:val="bottom"/>
            <w:hideMark/>
          </w:tcPr>
          <w:p w14:paraId="6D2F1084"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(3)</w:t>
            </w:r>
          </w:p>
        </w:tc>
      </w:tr>
      <w:tr w:rsidR="00522FD1" w:rsidRPr="00522FD1" w14:paraId="5302E6FE"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3A52A098"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VARIABLES</w:t>
            </w:r>
          </w:p>
        </w:tc>
        <w:tc>
          <w:tcPr>
            <w:tcW w:w="1037" w:type="dxa"/>
            <w:tcBorders>
              <w:top w:val="nil"/>
              <w:left w:val="nil"/>
              <w:bottom w:val="nil"/>
              <w:right w:val="nil"/>
            </w:tcBorders>
            <w:shd w:val="clear" w:color="auto" w:fill="auto"/>
            <w:noWrap/>
            <w:vAlign w:val="bottom"/>
            <w:hideMark/>
          </w:tcPr>
          <w:p w14:paraId="0EE7A8B6"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Treatment</w:t>
            </w:r>
          </w:p>
        </w:tc>
        <w:tc>
          <w:tcPr>
            <w:tcW w:w="741" w:type="dxa"/>
            <w:tcBorders>
              <w:top w:val="nil"/>
              <w:left w:val="nil"/>
              <w:bottom w:val="nil"/>
              <w:right w:val="nil"/>
            </w:tcBorders>
            <w:shd w:val="clear" w:color="auto" w:fill="auto"/>
            <w:noWrap/>
            <w:vAlign w:val="bottom"/>
            <w:hideMark/>
          </w:tcPr>
          <w:p w14:paraId="683FF826"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Control</w:t>
            </w:r>
          </w:p>
        </w:tc>
        <w:tc>
          <w:tcPr>
            <w:tcW w:w="1310" w:type="dxa"/>
            <w:tcBorders>
              <w:top w:val="nil"/>
              <w:left w:val="nil"/>
              <w:bottom w:val="nil"/>
              <w:right w:val="nil"/>
            </w:tcBorders>
            <w:shd w:val="clear" w:color="auto" w:fill="auto"/>
            <w:noWrap/>
            <w:vAlign w:val="bottom"/>
            <w:hideMark/>
          </w:tcPr>
          <w:p w14:paraId="791FC62F"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Equality P-</w:t>
            </w:r>
            <w:proofErr w:type="spellStart"/>
            <w:r w:rsidRPr="00522FD1">
              <w:rPr>
                <w:rFonts w:ascii="Calibri" w:eastAsia="Times New Roman" w:hAnsi="Calibri" w:cs="Times New Roman"/>
                <w:sz w:val="20"/>
                <w:szCs w:val="20"/>
                <w:lang w:eastAsia="en-US"/>
              </w:rPr>
              <w:t>val</w:t>
            </w:r>
            <w:proofErr w:type="spellEnd"/>
          </w:p>
        </w:tc>
      </w:tr>
      <w:tr w:rsidR="00522FD1" w:rsidRPr="00522FD1" w14:paraId="609AD1CD" w14:textId="77777777" w:rsidTr="00522FD1">
        <w:trPr>
          <w:trHeight w:val="140"/>
          <w:jc w:val="center"/>
        </w:trPr>
        <w:tc>
          <w:tcPr>
            <w:tcW w:w="3612" w:type="dxa"/>
            <w:tcBorders>
              <w:top w:val="single" w:sz="4" w:space="0" w:color="auto"/>
              <w:left w:val="nil"/>
              <w:bottom w:val="nil"/>
              <w:right w:val="nil"/>
            </w:tcBorders>
            <w:shd w:val="clear" w:color="auto" w:fill="auto"/>
            <w:noWrap/>
            <w:vAlign w:val="bottom"/>
            <w:hideMark/>
          </w:tcPr>
          <w:p w14:paraId="31648A19"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1037" w:type="dxa"/>
            <w:tcBorders>
              <w:top w:val="single" w:sz="4" w:space="0" w:color="auto"/>
              <w:left w:val="nil"/>
              <w:bottom w:val="nil"/>
              <w:right w:val="nil"/>
            </w:tcBorders>
            <w:shd w:val="clear" w:color="auto" w:fill="auto"/>
            <w:noWrap/>
            <w:vAlign w:val="bottom"/>
            <w:hideMark/>
          </w:tcPr>
          <w:p w14:paraId="7912A32A"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741" w:type="dxa"/>
            <w:tcBorders>
              <w:top w:val="single" w:sz="4" w:space="0" w:color="auto"/>
              <w:left w:val="nil"/>
              <w:bottom w:val="nil"/>
              <w:right w:val="nil"/>
            </w:tcBorders>
            <w:shd w:val="clear" w:color="auto" w:fill="auto"/>
            <w:noWrap/>
            <w:vAlign w:val="bottom"/>
            <w:hideMark/>
          </w:tcPr>
          <w:p w14:paraId="5B0A8A67"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1310" w:type="dxa"/>
            <w:tcBorders>
              <w:top w:val="single" w:sz="4" w:space="0" w:color="auto"/>
              <w:left w:val="nil"/>
              <w:bottom w:val="nil"/>
              <w:right w:val="nil"/>
            </w:tcBorders>
            <w:shd w:val="clear" w:color="auto" w:fill="auto"/>
            <w:noWrap/>
            <w:vAlign w:val="bottom"/>
            <w:hideMark/>
          </w:tcPr>
          <w:p w14:paraId="3E6C6CE8"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r>
      <w:tr w:rsidR="00522FD1" w:rsidRPr="00522FD1" w14:paraId="40A1A517"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2E6F974A"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Average PDT Count for 2014</w:t>
            </w:r>
          </w:p>
        </w:tc>
        <w:tc>
          <w:tcPr>
            <w:tcW w:w="1037" w:type="dxa"/>
            <w:tcBorders>
              <w:top w:val="nil"/>
              <w:left w:val="nil"/>
              <w:bottom w:val="nil"/>
              <w:right w:val="nil"/>
            </w:tcBorders>
            <w:shd w:val="clear" w:color="auto" w:fill="auto"/>
            <w:noWrap/>
            <w:vAlign w:val="bottom"/>
            <w:hideMark/>
          </w:tcPr>
          <w:p w14:paraId="0A0BC85B"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80.88</w:t>
            </w:r>
          </w:p>
        </w:tc>
        <w:tc>
          <w:tcPr>
            <w:tcW w:w="741" w:type="dxa"/>
            <w:tcBorders>
              <w:top w:val="nil"/>
              <w:left w:val="nil"/>
              <w:bottom w:val="nil"/>
              <w:right w:val="nil"/>
            </w:tcBorders>
            <w:shd w:val="clear" w:color="auto" w:fill="auto"/>
            <w:noWrap/>
            <w:vAlign w:val="bottom"/>
            <w:hideMark/>
          </w:tcPr>
          <w:p w14:paraId="0111EFB4"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79.67</w:t>
            </w:r>
          </w:p>
        </w:tc>
        <w:tc>
          <w:tcPr>
            <w:tcW w:w="1310" w:type="dxa"/>
            <w:tcBorders>
              <w:top w:val="nil"/>
              <w:left w:val="nil"/>
              <w:bottom w:val="nil"/>
              <w:right w:val="nil"/>
            </w:tcBorders>
            <w:shd w:val="clear" w:color="auto" w:fill="auto"/>
            <w:noWrap/>
            <w:vAlign w:val="bottom"/>
            <w:hideMark/>
          </w:tcPr>
          <w:p w14:paraId="2825790D"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0.45</w:t>
            </w:r>
          </w:p>
        </w:tc>
      </w:tr>
      <w:tr w:rsidR="00522FD1" w:rsidRPr="00522FD1" w14:paraId="5D21920F"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14473FA2"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Average PDT Count for 2013</w:t>
            </w:r>
          </w:p>
        </w:tc>
        <w:tc>
          <w:tcPr>
            <w:tcW w:w="1037" w:type="dxa"/>
            <w:tcBorders>
              <w:top w:val="nil"/>
              <w:left w:val="nil"/>
              <w:bottom w:val="nil"/>
              <w:right w:val="nil"/>
            </w:tcBorders>
            <w:shd w:val="clear" w:color="auto" w:fill="auto"/>
            <w:noWrap/>
            <w:vAlign w:val="bottom"/>
            <w:hideMark/>
          </w:tcPr>
          <w:p w14:paraId="0C60E499"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77.71</w:t>
            </w:r>
          </w:p>
        </w:tc>
        <w:tc>
          <w:tcPr>
            <w:tcW w:w="741" w:type="dxa"/>
            <w:tcBorders>
              <w:top w:val="nil"/>
              <w:left w:val="nil"/>
              <w:bottom w:val="nil"/>
              <w:right w:val="nil"/>
            </w:tcBorders>
            <w:shd w:val="clear" w:color="auto" w:fill="auto"/>
            <w:noWrap/>
            <w:vAlign w:val="bottom"/>
            <w:hideMark/>
          </w:tcPr>
          <w:p w14:paraId="7C2E84A4"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76.28</w:t>
            </w:r>
          </w:p>
        </w:tc>
        <w:tc>
          <w:tcPr>
            <w:tcW w:w="1310" w:type="dxa"/>
            <w:tcBorders>
              <w:top w:val="nil"/>
              <w:left w:val="nil"/>
              <w:bottom w:val="nil"/>
              <w:right w:val="nil"/>
            </w:tcBorders>
            <w:shd w:val="clear" w:color="auto" w:fill="auto"/>
            <w:noWrap/>
            <w:vAlign w:val="bottom"/>
            <w:hideMark/>
          </w:tcPr>
          <w:p w14:paraId="1FA37739"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0.34</w:t>
            </w:r>
          </w:p>
        </w:tc>
      </w:tr>
      <w:tr w:rsidR="00522FD1" w:rsidRPr="00522FD1" w14:paraId="4A2ED858"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6BED26CF"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xml:space="preserve">Average 30-Day </w:t>
            </w:r>
            <w:proofErr w:type="spellStart"/>
            <w:r w:rsidRPr="00522FD1">
              <w:rPr>
                <w:rFonts w:ascii="Calibri" w:eastAsia="Times New Roman" w:hAnsi="Calibri" w:cs="Times New Roman"/>
                <w:sz w:val="20"/>
                <w:szCs w:val="20"/>
                <w:lang w:eastAsia="en-US"/>
              </w:rPr>
              <w:t>Equiv</w:t>
            </w:r>
            <w:proofErr w:type="spellEnd"/>
            <w:r w:rsidRPr="00522FD1">
              <w:rPr>
                <w:rFonts w:ascii="Calibri" w:eastAsia="Times New Roman" w:hAnsi="Calibri" w:cs="Times New Roman"/>
                <w:sz w:val="20"/>
                <w:szCs w:val="20"/>
                <w:lang w:eastAsia="en-US"/>
              </w:rPr>
              <w:t xml:space="preserve"> for 2014</w:t>
            </w:r>
          </w:p>
        </w:tc>
        <w:tc>
          <w:tcPr>
            <w:tcW w:w="1037" w:type="dxa"/>
            <w:tcBorders>
              <w:top w:val="nil"/>
              <w:left w:val="nil"/>
              <w:bottom w:val="nil"/>
              <w:right w:val="nil"/>
            </w:tcBorders>
            <w:shd w:val="clear" w:color="auto" w:fill="auto"/>
            <w:noWrap/>
            <w:vAlign w:val="bottom"/>
            <w:hideMark/>
          </w:tcPr>
          <w:p w14:paraId="03F6B97B"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94.72</w:t>
            </w:r>
          </w:p>
        </w:tc>
        <w:tc>
          <w:tcPr>
            <w:tcW w:w="741" w:type="dxa"/>
            <w:tcBorders>
              <w:top w:val="nil"/>
              <w:left w:val="nil"/>
              <w:bottom w:val="nil"/>
              <w:right w:val="nil"/>
            </w:tcBorders>
            <w:shd w:val="clear" w:color="auto" w:fill="auto"/>
            <w:noWrap/>
            <w:vAlign w:val="bottom"/>
            <w:hideMark/>
          </w:tcPr>
          <w:p w14:paraId="2B3654EA"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92.93</w:t>
            </w:r>
          </w:p>
        </w:tc>
        <w:tc>
          <w:tcPr>
            <w:tcW w:w="1310" w:type="dxa"/>
            <w:tcBorders>
              <w:top w:val="nil"/>
              <w:left w:val="nil"/>
              <w:bottom w:val="nil"/>
              <w:right w:val="nil"/>
            </w:tcBorders>
            <w:shd w:val="clear" w:color="auto" w:fill="auto"/>
            <w:noWrap/>
            <w:vAlign w:val="bottom"/>
            <w:hideMark/>
          </w:tcPr>
          <w:p w14:paraId="5E645572"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0.29</w:t>
            </w:r>
          </w:p>
        </w:tc>
      </w:tr>
      <w:tr w:rsidR="00522FD1" w:rsidRPr="00522FD1" w14:paraId="07672F87"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022E9152"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xml:space="preserve">Average 30-Day </w:t>
            </w:r>
            <w:proofErr w:type="spellStart"/>
            <w:r w:rsidRPr="00522FD1">
              <w:rPr>
                <w:rFonts w:ascii="Calibri" w:eastAsia="Times New Roman" w:hAnsi="Calibri" w:cs="Times New Roman"/>
                <w:sz w:val="20"/>
                <w:szCs w:val="20"/>
                <w:lang w:eastAsia="en-US"/>
              </w:rPr>
              <w:t>Equiv</w:t>
            </w:r>
            <w:proofErr w:type="spellEnd"/>
            <w:r w:rsidRPr="00522FD1">
              <w:rPr>
                <w:rFonts w:ascii="Calibri" w:eastAsia="Times New Roman" w:hAnsi="Calibri" w:cs="Times New Roman"/>
                <w:sz w:val="20"/>
                <w:szCs w:val="20"/>
                <w:lang w:eastAsia="en-US"/>
              </w:rPr>
              <w:t xml:space="preserve"> for 2013</w:t>
            </w:r>
          </w:p>
        </w:tc>
        <w:tc>
          <w:tcPr>
            <w:tcW w:w="1037" w:type="dxa"/>
            <w:tcBorders>
              <w:top w:val="nil"/>
              <w:left w:val="nil"/>
              <w:bottom w:val="nil"/>
              <w:right w:val="nil"/>
            </w:tcBorders>
            <w:shd w:val="clear" w:color="auto" w:fill="auto"/>
            <w:noWrap/>
            <w:vAlign w:val="bottom"/>
            <w:hideMark/>
          </w:tcPr>
          <w:p w14:paraId="4F89B91A"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88.54</w:t>
            </w:r>
          </w:p>
        </w:tc>
        <w:tc>
          <w:tcPr>
            <w:tcW w:w="741" w:type="dxa"/>
            <w:tcBorders>
              <w:top w:val="nil"/>
              <w:left w:val="nil"/>
              <w:bottom w:val="nil"/>
              <w:right w:val="nil"/>
            </w:tcBorders>
            <w:shd w:val="clear" w:color="auto" w:fill="auto"/>
            <w:noWrap/>
            <w:vAlign w:val="bottom"/>
            <w:hideMark/>
          </w:tcPr>
          <w:p w14:paraId="718EEAC5"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86.94</w:t>
            </w:r>
          </w:p>
        </w:tc>
        <w:tc>
          <w:tcPr>
            <w:tcW w:w="1310" w:type="dxa"/>
            <w:tcBorders>
              <w:top w:val="nil"/>
              <w:left w:val="nil"/>
              <w:bottom w:val="nil"/>
              <w:right w:val="nil"/>
            </w:tcBorders>
            <w:shd w:val="clear" w:color="auto" w:fill="auto"/>
            <w:noWrap/>
            <w:vAlign w:val="bottom"/>
            <w:hideMark/>
          </w:tcPr>
          <w:p w14:paraId="12D16D9F"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0.31</w:t>
            </w:r>
          </w:p>
        </w:tc>
      </w:tr>
      <w:tr w:rsidR="00522FD1" w:rsidRPr="00522FD1" w14:paraId="0B74EA65"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1C96FB74"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Average Total Dollars Paid 2014</w:t>
            </w:r>
          </w:p>
        </w:tc>
        <w:tc>
          <w:tcPr>
            <w:tcW w:w="1037" w:type="dxa"/>
            <w:tcBorders>
              <w:top w:val="nil"/>
              <w:left w:val="nil"/>
              <w:bottom w:val="nil"/>
              <w:right w:val="nil"/>
            </w:tcBorders>
            <w:shd w:val="clear" w:color="auto" w:fill="auto"/>
            <w:noWrap/>
            <w:vAlign w:val="bottom"/>
            <w:hideMark/>
          </w:tcPr>
          <w:p w14:paraId="67394776"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9,515</w:t>
            </w:r>
          </w:p>
        </w:tc>
        <w:tc>
          <w:tcPr>
            <w:tcW w:w="741" w:type="dxa"/>
            <w:tcBorders>
              <w:top w:val="nil"/>
              <w:left w:val="nil"/>
              <w:bottom w:val="nil"/>
              <w:right w:val="nil"/>
            </w:tcBorders>
            <w:shd w:val="clear" w:color="auto" w:fill="auto"/>
            <w:noWrap/>
            <w:vAlign w:val="bottom"/>
            <w:hideMark/>
          </w:tcPr>
          <w:p w14:paraId="1B776E29"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9,229</w:t>
            </w:r>
          </w:p>
        </w:tc>
        <w:tc>
          <w:tcPr>
            <w:tcW w:w="1310" w:type="dxa"/>
            <w:tcBorders>
              <w:top w:val="nil"/>
              <w:left w:val="nil"/>
              <w:bottom w:val="nil"/>
              <w:right w:val="nil"/>
            </w:tcBorders>
            <w:shd w:val="clear" w:color="auto" w:fill="auto"/>
            <w:noWrap/>
            <w:vAlign w:val="bottom"/>
            <w:hideMark/>
          </w:tcPr>
          <w:p w14:paraId="4FC9CAC6"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0.71</w:t>
            </w:r>
          </w:p>
        </w:tc>
      </w:tr>
      <w:tr w:rsidR="00522FD1" w:rsidRPr="00522FD1" w14:paraId="45AF37FB"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1F50DDB7"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Average Total Dollars Paid 2013</w:t>
            </w:r>
          </w:p>
        </w:tc>
        <w:tc>
          <w:tcPr>
            <w:tcW w:w="1037" w:type="dxa"/>
            <w:tcBorders>
              <w:top w:val="nil"/>
              <w:left w:val="nil"/>
              <w:bottom w:val="nil"/>
              <w:right w:val="nil"/>
            </w:tcBorders>
            <w:shd w:val="clear" w:color="auto" w:fill="auto"/>
            <w:noWrap/>
            <w:vAlign w:val="bottom"/>
            <w:hideMark/>
          </w:tcPr>
          <w:p w14:paraId="7C5671B8"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10,678</w:t>
            </w:r>
          </w:p>
        </w:tc>
        <w:tc>
          <w:tcPr>
            <w:tcW w:w="741" w:type="dxa"/>
            <w:tcBorders>
              <w:top w:val="nil"/>
              <w:left w:val="nil"/>
              <w:bottom w:val="nil"/>
              <w:right w:val="nil"/>
            </w:tcBorders>
            <w:shd w:val="clear" w:color="auto" w:fill="auto"/>
            <w:noWrap/>
            <w:vAlign w:val="bottom"/>
            <w:hideMark/>
          </w:tcPr>
          <w:p w14:paraId="1B55A18C"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10,001</w:t>
            </w:r>
          </w:p>
        </w:tc>
        <w:tc>
          <w:tcPr>
            <w:tcW w:w="1310" w:type="dxa"/>
            <w:tcBorders>
              <w:top w:val="nil"/>
              <w:left w:val="nil"/>
              <w:bottom w:val="nil"/>
              <w:right w:val="nil"/>
            </w:tcBorders>
            <w:shd w:val="clear" w:color="auto" w:fill="auto"/>
            <w:noWrap/>
            <w:vAlign w:val="bottom"/>
            <w:hideMark/>
          </w:tcPr>
          <w:p w14:paraId="3F233B85"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0.29</w:t>
            </w:r>
          </w:p>
        </w:tc>
      </w:tr>
      <w:tr w:rsidR="00522FD1" w:rsidRPr="00522FD1" w14:paraId="4EA84502"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6E0369C7"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Census Northeast</w:t>
            </w:r>
          </w:p>
        </w:tc>
        <w:tc>
          <w:tcPr>
            <w:tcW w:w="1037" w:type="dxa"/>
            <w:tcBorders>
              <w:top w:val="nil"/>
              <w:left w:val="nil"/>
              <w:bottom w:val="nil"/>
              <w:right w:val="nil"/>
            </w:tcBorders>
            <w:shd w:val="clear" w:color="auto" w:fill="auto"/>
            <w:noWrap/>
            <w:vAlign w:val="bottom"/>
            <w:hideMark/>
          </w:tcPr>
          <w:p w14:paraId="13FDF015"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0.173</w:t>
            </w:r>
          </w:p>
        </w:tc>
        <w:tc>
          <w:tcPr>
            <w:tcW w:w="741" w:type="dxa"/>
            <w:tcBorders>
              <w:top w:val="nil"/>
              <w:left w:val="nil"/>
              <w:bottom w:val="nil"/>
              <w:right w:val="nil"/>
            </w:tcBorders>
            <w:shd w:val="clear" w:color="auto" w:fill="auto"/>
            <w:noWrap/>
            <w:vAlign w:val="bottom"/>
            <w:hideMark/>
          </w:tcPr>
          <w:p w14:paraId="0FF0019D"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0.170</w:t>
            </w:r>
          </w:p>
        </w:tc>
        <w:tc>
          <w:tcPr>
            <w:tcW w:w="1310" w:type="dxa"/>
            <w:tcBorders>
              <w:top w:val="nil"/>
              <w:left w:val="nil"/>
              <w:bottom w:val="nil"/>
              <w:right w:val="nil"/>
            </w:tcBorders>
            <w:shd w:val="clear" w:color="auto" w:fill="auto"/>
            <w:noWrap/>
            <w:vAlign w:val="bottom"/>
            <w:hideMark/>
          </w:tcPr>
          <w:p w14:paraId="057AAF6B"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0.76</w:t>
            </w:r>
          </w:p>
        </w:tc>
      </w:tr>
      <w:tr w:rsidR="00522FD1" w:rsidRPr="00522FD1" w14:paraId="49D0B54F"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286C2CDA"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Census Midwest</w:t>
            </w:r>
          </w:p>
        </w:tc>
        <w:tc>
          <w:tcPr>
            <w:tcW w:w="1037" w:type="dxa"/>
            <w:tcBorders>
              <w:top w:val="nil"/>
              <w:left w:val="nil"/>
              <w:bottom w:val="nil"/>
              <w:right w:val="nil"/>
            </w:tcBorders>
            <w:shd w:val="clear" w:color="auto" w:fill="auto"/>
            <w:noWrap/>
            <w:vAlign w:val="bottom"/>
            <w:hideMark/>
          </w:tcPr>
          <w:p w14:paraId="590179D7"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0.192</w:t>
            </w:r>
          </w:p>
        </w:tc>
        <w:tc>
          <w:tcPr>
            <w:tcW w:w="741" w:type="dxa"/>
            <w:tcBorders>
              <w:top w:val="nil"/>
              <w:left w:val="nil"/>
              <w:bottom w:val="nil"/>
              <w:right w:val="nil"/>
            </w:tcBorders>
            <w:shd w:val="clear" w:color="auto" w:fill="auto"/>
            <w:noWrap/>
            <w:vAlign w:val="bottom"/>
            <w:hideMark/>
          </w:tcPr>
          <w:p w14:paraId="28AC145C"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0.203</w:t>
            </w:r>
          </w:p>
        </w:tc>
        <w:tc>
          <w:tcPr>
            <w:tcW w:w="1310" w:type="dxa"/>
            <w:tcBorders>
              <w:top w:val="nil"/>
              <w:left w:val="nil"/>
              <w:bottom w:val="nil"/>
              <w:right w:val="nil"/>
            </w:tcBorders>
            <w:shd w:val="clear" w:color="auto" w:fill="auto"/>
            <w:noWrap/>
            <w:vAlign w:val="bottom"/>
            <w:hideMark/>
          </w:tcPr>
          <w:p w14:paraId="6C95CC6F"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0.36</w:t>
            </w:r>
          </w:p>
        </w:tc>
      </w:tr>
      <w:tr w:rsidR="00522FD1" w:rsidRPr="00522FD1" w14:paraId="7D27567D"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66C8829F"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Census West</w:t>
            </w:r>
          </w:p>
        </w:tc>
        <w:tc>
          <w:tcPr>
            <w:tcW w:w="1037" w:type="dxa"/>
            <w:tcBorders>
              <w:top w:val="nil"/>
              <w:left w:val="nil"/>
              <w:bottom w:val="nil"/>
              <w:right w:val="nil"/>
            </w:tcBorders>
            <w:shd w:val="clear" w:color="auto" w:fill="auto"/>
            <w:noWrap/>
            <w:vAlign w:val="bottom"/>
            <w:hideMark/>
          </w:tcPr>
          <w:p w14:paraId="3547EF52"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0.171</w:t>
            </w:r>
          </w:p>
        </w:tc>
        <w:tc>
          <w:tcPr>
            <w:tcW w:w="741" w:type="dxa"/>
            <w:tcBorders>
              <w:top w:val="nil"/>
              <w:left w:val="nil"/>
              <w:bottom w:val="nil"/>
              <w:right w:val="nil"/>
            </w:tcBorders>
            <w:shd w:val="clear" w:color="auto" w:fill="auto"/>
            <w:noWrap/>
            <w:vAlign w:val="bottom"/>
            <w:hideMark/>
          </w:tcPr>
          <w:p w14:paraId="23B4E34C"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0.183</w:t>
            </w:r>
          </w:p>
        </w:tc>
        <w:tc>
          <w:tcPr>
            <w:tcW w:w="1310" w:type="dxa"/>
            <w:tcBorders>
              <w:top w:val="nil"/>
              <w:left w:val="nil"/>
              <w:bottom w:val="nil"/>
              <w:right w:val="nil"/>
            </w:tcBorders>
            <w:shd w:val="clear" w:color="auto" w:fill="auto"/>
            <w:noWrap/>
            <w:vAlign w:val="bottom"/>
            <w:hideMark/>
          </w:tcPr>
          <w:p w14:paraId="6D80B186"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0.29</w:t>
            </w:r>
          </w:p>
        </w:tc>
      </w:tr>
      <w:tr w:rsidR="00522FD1" w:rsidRPr="00522FD1" w14:paraId="1D84F907"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692E0081"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Census South</w:t>
            </w:r>
          </w:p>
        </w:tc>
        <w:tc>
          <w:tcPr>
            <w:tcW w:w="1037" w:type="dxa"/>
            <w:tcBorders>
              <w:top w:val="nil"/>
              <w:left w:val="nil"/>
              <w:bottom w:val="nil"/>
              <w:right w:val="nil"/>
            </w:tcBorders>
            <w:shd w:val="clear" w:color="auto" w:fill="auto"/>
            <w:noWrap/>
            <w:vAlign w:val="bottom"/>
            <w:hideMark/>
          </w:tcPr>
          <w:p w14:paraId="24D641E3"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0.463</w:t>
            </w:r>
          </w:p>
        </w:tc>
        <w:tc>
          <w:tcPr>
            <w:tcW w:w="741" w:type="dxa"/>
            <w:tcBorders>
              <w:top w:val="nil"/>
              <w:left w:val="nil"/>
              <w:bottom w:val="nil"/>
              <w:right w:val="nil"/>
            </w:tcBorders>
            <w:shd w:val="clear" w:color="auto" w:fill="auto"/>
            <w:noWrap/>
            <w:vAlign w:val="bottom"/>
            <w:hideMark/>
          </w:tcPr>
          <w:p w14:paraId="4AAA5FF4"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0.445</w:t>
            </w:r>
          </w:p>
        </w:tc>
        <w:tc>
          <w:tcPr>
            <w:tcW w:w="1310" w:type="dxa"/>
            <w:tcBorders>
              <w:top w:val="nil"/>
              <w:left w:val="nil"/>
              <w:bottom w:val="nil"/>
              <w:right w:val="nil"/>
            </w:tcBorders>
            <w:shd w:val="clear" w:color="auto" w:fill="auto"/>
            <w:noWrap/>
            <w:vAlign w:val="bottom"/>
            <w:hideMark/>
          </w:tcPr>
          <w:p w14:paraId="05300037"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0.19</w:t>
            </w:r>
          </w:p>
        </w:tc>
      </w:tr>
      <w:tr w:rsidR="00522FD1" w:rsidRPr="00522FD1" w14:paraId="359FCFDF"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11523A1E"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in HITS database</w:t>
            </w:r>
          </w:p>
        </w:tc>
        <w:tc>
          <w:tcPr>
            <w:tcW w:w="1037" w:type="dxa"/>
            <w:tcBorders>
              <w:top w:val="nil"/>
              <w:left w:val="nil"/>
              <w:bottom w:val="nil"/>
              <w:right w:val="nil"/>
            </w:tcBorders>
            <w:shd w:val="thinDiagStripe" w:color="000000" w:fill="FFFFFF"/>
            <w:noWrap/>
            <w:vAlign w:val="bottom"/>
            <w:hideMark/>
          </w:tcPr>
          <w:p w14:paraId="1A8C49B2"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741" w:type="dxa"/>
            <w:tcBorders>
              <w:top w:val="nil"/>
              <w:left w:val="nil"/>
              <w:bottom w:val="nil"/>
              <w:right w:val="nil"/>
            </w:tcBorders>
            <w:shd w:val="thinDiagStripe" w:color="000000" w:fill="FFFFFF"/>
            <w:noWrap/>
            <w:vAlign w:val="bottom"/>
            <w:hideMark/>
          </w:tcPr>
          <w:p w14:paraId="12F3FF5E"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1310" w:type="dxa"/>
            <w:tcBorders>
              <w:top w:val="nil"/>
              <w:left w:val="nil"/>
              <w:bottom w:val="nil"/>
              <w:right w:val="nil"/>
            </w:tcBorders>
            <w:shd w:val="clear" w:color="auto" w:fill="auto"/>
            <w:noWrap/>
            <w:vAlign w:val="bottom"/>
            <w:hideMark/>
          </w:tcPr>
          <w:p w14:paraId="35987A7D"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0.44</w:t>
            </w:r>
          </w:p>
        </w:tc>
      </w:tr>
      <w:tr w:rsidR="00522FD1" w:rsidRPr="00522FD1" w14:paraId="21168073"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4EF67C45"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in Fraud Investigation Database</w:t>
            </w:r>
          </w:p>
        </w:tc>
        <w:tc>
          <w:tcPr>
            <w:tcW w:w="1037" w:type="dxa"/>
            <w:tcBorders>
              <w:top w:val="nil"/>
              <w:left w:val="nil"/>
              <w:bottom w:val="nil"/>
              <w:right w:val="nil"/>
            </w:tcBorders>
            <w:shd w:val="thinDiagStripe" w:color="000000" w:fill="FFFFFF"/>
            <w:noWrap/>
            <w:vAlign w:val="bottom"/>
            <w:hideMark/>
          </w:tcPr>
          <w:p w14:paraId="610A503C"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741" w:type="dxa"/>
            <w:tcBorders>
              <w:top w:val="nil"/>
              <w:left w:val="nil"/>
              <w:bottom w:val="nil"/>
              <w:right w:val="nil"/>
            </w:tcBorders>
            <w:shd w:val="thinDiagStripe" w:color="000000" w:fill="FFFFFF"/>
            <w:noWrap/>
            <w:vAlign w:val="bottom"/>
            <w:hideMark/>
          </w:tcPr>
          <w:p w14:paraId="63B50096"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1310" w:type="dxa"/>
            <w:tcBorders>
              <w:top w:val="nil"/>
              <w:left w:val="nil"/>
              <w:bottom w:val="nil"/>
              <w:right w:val="nil"/>
            </w:tcBorders>
            <w:shd w:val="clear" w:color="auto" w:fill="auto"/>
            <w:noWrap/>
            <w:vAlign w:val="bottom"/>
            <w:hideMark/>
          </w:tcPr>
          <w:p w14:paraId="31E45ED3"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0.11</w:t>
            </w:r>
          </w:p>
        </w:tc>
      </w:tr>
      <w:tr w:rsidR="00522FD1" w:rsidRPr="00522FD1" w14:paraId="6B294A0A"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774A6D4D"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in CNC</w:t>
            </w:r>
          </w:p>
        </w:tc>
        <w:tc>
          <w:tcPr>
            <w:tcW w:w="1037" w:type="dxa"/>
            <w:tcBorders>
              <w:top w:val="nil"/>
              <w:left w:val="nil"/>
              <w:bottom w:val="nil"/>
              <w:right w:val="nil"/>
            </w:tcBorders>
            <w:shd w:val="thinDiagStripe" w:color="000000" w:fill="FFFFFF"/>
            <w:noWrap/>
            <w:vAlign w:val="bottom"/>
            <w:hideMark/>
          </w:tcPr>
          <w:p w14:paraId="7D5025A5"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741" w:type="dxa"/>
            <w:tcBorders>
              <w:top w:val="nil"/>
              <w:left w:val="nil"/>
              <w:bottom w:val="nil"/>
              <w:right w:val="nil"/>
            </w:tcBorders>
            <w:shd w:val="thinDiagStripe" w:color="000000" w:fill="FFFFFF"/>
            <w:noWrap/>
            <w:vAlign w:val="bottom"/>
            <w:hideMark/>
          </w:tcPr>
          <w:p w14:paraId="06C122C1"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c>
          <w:tcPr>
            <w:tcW w:w="1310" w:type="dxa"/>
            <w:tcBorders>
              <w:top w:val="nil"/>
              <w:left w:val="nil"/>
              <w:bottom w:val="nil"/>
              <w:right w:val="nil"/>
            </w:tcBorders>
            <w:shd w:val="clear" w:color="auto" w:fill="auto"/>
            <w:noWrap/>
            <w:vAlign w:val="bottom"/>
            <w:hideMark/>
          </w:tcPr>
          <w:p w14:paraId="3A5F0AAC"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0.31</w:t>
            </w:r>
          </w:p>
        </w:tc>
      </w:tr>
      <w:tr w:rsidR="00522FD1" w:rsidRPr="00522FD1" w14:paraId="2B1E8B6A"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2A0A4E81"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Enrolled in PECOS</w:t>
            </w:r>
          </w:p>
        </w:tc>
        <w:tc>
          <w:tcPr>
            <w:tcW w:w="1037" w:type="dxa"/>
            <w:tcBorders>
              <w:top w:val="nil"/>
              <w:left w:val="nil"/>
              <w:bottom w:val="nil"/>
              <w:right w:val="nil"/>
            </w:tcBorders>
            <w:shd w:val="clear" w:color="auto" w:fill="auto"/>
            <w:noWrap/>
            <w:vAlign w:val="bottom"/>
            <w:hideMark/>
          </w:tcPr>
          <w:p w14:paraId="687281DA"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0.706</w:t>
            </w:r>
          </w:p>
        </w:tc>
        <w:tc>
          <w:tcPr>
            <w:tcW w:w="741" w:type="dxa"/>
            <w:tcBorders>
              <w:top w:val="nil"/>
              <w:left w:val="nil"/>
              <w:bottom w:val="nil"/>
              <w:right w:val="nil"/>
            </w:tcBorders>
            <w:shd w:val="clear" w:color="auto" w:fill="auto"/>
            <w:noWrap/>
            <w:vAlign w:val="bottom"/>
            <w:hideMark/>
          </w:tcPr>
          <w:p w14:paraId="0BEC83FB"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0.690</w:t>
            </w:r>
          </w:p>
        </w:tc>
        <w:tc>
          <w:tcPr>
            <w:tcW w:w="1310" w:type="dxa"/>
            <w:tcBorders>
              <w:top w:val="nil"/>
              <w:left w:val="nil"/>
              <w:bottom w:val="nil"/>
              <w:right w:val="nil"/>
            </w:tcBorders>
            <w:shd w:val="clear" w:color="auto" w:fill="auto"/>
            <w:noWrap/>
            <w:vAlign w:val="bottom"/>
            <w:hideMark/>
          </w:tcPr>
          <w:p w14:paraId="0B8FEA5C"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0.22</w:t>
            </w:r>
          </w:p>
        </w:tc>
      </w:tr>
      <w:tr w:rsidR="00522FD1" w:rsidRPr="00522FD1" w14:paraId="0ED1FD50" w14:textId="77777777" w:rsidTr="00522FD1">
        <w:trPr>
          <w:trHeight w:val="280"/>
          <w:jc w:val="center"/>
        </w:trPr>
        <w:tc>
          <w:tcPr>
            <w:tcW w:w="3612" w:type="dxa"/>
            <w:tcBorders>
              <w:top w:val="nil"/>
              <w:left w:val="nil"/>
              <w:bottom w:val="nil"/>
              <w:right w:val="nil"/>
            </w:tcBorders>
            <w:shd w:val="clear" w:color="auto" w:fill="auto"/>
            <w:noWrap/>
            <w:vAlign w:val="bottom"/>
            <w:hideMark/>
          </w:tcPr>
          <w:p w14:paraId="4DD719A1"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Share Schedule II Outlier</w:t>
            </w:r>
          </w:p>
        </w:tc>
        <w:tc>
          <w:tcPr>
            <w:tcW w:w="1037" w:type="dxa"/>
            <w:tcBorders>
              <w:top w:val="nil"/>
              <w:left w:val="nil"/>
              <w:bottom w:val="nil"/>
              <w:right w:val="nil"/>
            </w:tcBorders>
            <w:shd w:val="clear" w:color="auto" w:fill="auto"/>
            <w:noWrap/>
            <w:vAlign w:val="bottom"/>
            <w:hideMark/>
          </w:tcPr>
          <w:p w14:paraId="4FFF1133"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0.0538</w:t>
            </w:r>
          </w:p>
        </w:tc>
        <w:tc>
          <w:tcPr>
            <w:tcW w:w="741" w:type="dxa"/>
            <w:tcBorders>
              <w:top w:val="nil"/>
              <w:left w:val="nil"/>
              <w:bottom w:val="nil"/>
              <w:right w:val="nil"/>
            </w:tcBorders>
            <w:shd w:val="clear" w:color="auto" w:fill="auto"/>
            <w:noWrap/>
            <w:vAlign w:val="bottom"/>
            <w:hideMark/>
          </w:tcPr>
          <w:p w14:paraId="0743B7F5"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0.0534</w:t>
            </w:r>
          </w:p>
        </w:tc>
        <w:tc>
          <w:tcPr>
            <w:tcW w:w="1310" w:type="dxa"/>
            <w:tcBorders>
              <w:top w:val="nil"/>
              <w:left w:val="nil"/>
              <w:bottom w:val="nil"/>
              <w:right w:val="nil"/>
            </w:tcBorders>
            <w:shd w:val="clear" w:color="auto" w:fill="auto"/>
            <w:noWrap/>
            <w:vAlign w:val="bottom"/>
            <w:hideMark/>
          </w:tcPr>
          <w:p w14:paraId="4BF4F118"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0.95</w:t>
            </w:r>
          </w:p>
        </w:tc>
      </w:tr>
      <w:tr w:rsidR="00522FD1" w:rsidRPr="00522FD1" w14:paraId="23DA8B50" w14:textId="77777777" w:rsidTr="00522FD1">
        <w:trPr>
          <w:trHeight w:val="280"/>
          <w:jc w:val="center"/>
        </w:trPr>
        <w:tc>
          <w:tcPr>
            <w:tcW w:w="5390" w:type="dxa"/>
            <w:gridSpan w:val="3"/>
            <w:tcBorders>
              <w:top w:val="nil"/>
              <w:left w:val="nil"/>
              <w:bottom w:val="nil"/>
              <w:right w:val="nil"/>
            </w:tcBorders>
            <w:shd w:val="clear" w:color="auto" w:fill="auto"/>
            <w:noWrap/>
            <w:vAlign w:val="bottom"/>
            <w:hideMark/>
          </w:tcPr>
          <w:p w14:paraId="28EFA681" w14:textId="77777777" w:rsidR="00522FD1" w:rsidRPr="00522FD1" w:rsidRDefault="00522FD1" w:rsidP="00522FD1">
            <w:pPr>
              <w:spacing w:after="0" w:line="240" w:lineRule="auto"/>
              <w:jc w:val="right"/>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Joint test of equality P-value:</w:t>
            </w:r>
          </w:p>
        </w:tc>
        <w:tc>
          <w:tcPr>
            <w:tcW w:w="1310" w:type="dxa"/>
            <w:tcBorders>
              <w:top w:val="nil"/>
              <w:left w:val="nil"/>
              <w:bottom w:val="nil"/>
              <w:right w:val="nil"/>
            </w:tcBorders>
            <w:shd w:val="clear" w:color="auto" w:fill="auto"/>
            <w:noWrap/>
            <w:vAlign w:val="bottom"/>
            <w:hideMark/>
          </w:tcPr>
          <w:p w14:paraId="0CD35E6F"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r w:rsidRPr="00522FD1">
              <w:rPr>
                <w:rFonts w:ascii="Calibri" w:eastAsia="Times New Roman" w:hAnsi="Calibri" w:cs="Times New Roman"/>
                <w:i/>
                <w:iCs/>
                <w:sz w:val="20"/>
                <w:szCs w:val="20"/>
                <w:lang w:eastAsia="en-US"/>
              </w:rPr>
              <w:t>0.71</w:t>
            </w:r>
          </w:p>
        </w:tc>
      </w:tr>
      <w:tr w:rsidR="00522FD1" w:rsidRPr="00522FD1" w14:paraId="3E91376C" w14:textId="77777777" w:rsidTr="00522FD1">
        <w:trPr>
          <w:trHeight w:val="140"/>
          <w:jc w:val="center"/>
        </w:trPr>
        <w:tc>
          <w:tcPr>
            <w:tcW w:w="3612" w:type="dxa"/>
            <w:tcBorders>
              <w:top w:val="nil"/>
              <w:left w:val="nil"/>
              <w:bottom w:val="nil"/>
              <w:right w:val="nil"/>
            </w:tcBorders>
            <w:shd w:val="clear" w:color="auto" w:fill="auto"/>
            <w:noWrap/>
            <w:vAlign w:val="bottom"/>
            <w:hideMark/>
          </w:tcPr>
          <w:p w14:paraId="121F3E61" w14:textId="77777777" w:rsidR="00522FD1" w:rsidRPr="00522FD1" w:rsidRDefault="00522FD1" w:rsidP="00522FD1">
            <w:pPr>
              <w:spacing w:after="0" w:line="240" w:lineRule="auto"/>
              <w:jc w:val="center"/>
              <w:rPr>
                <w:rFonts w:ascii="Calibri" w:eastAsia="Times New Roman" w:hAnsi="Calibri" w:cs="Times New Roman"/>
                <w:i/>
                <w:iCs/>
                <w:sz w:val="20"/>
                <w:szCs w:val="20"/>
                <w:lang w:eastAsia="en-US"/>
              </w:rPr>
            </w:pPr>
          </w:p>
        </w:tc>
        <w:tc>
          <w:tcPr>
            <w:tcW w:w="1037" w:type="dxa"/>
            <w:tcBorders>
              <w:top w:val="nil"/>
              <w:left w:val="nil"/>
              <w:bottom w:val="nil"/>
              <w:right w:val="nil"/>
            </w:tcBorders>
            <w:shd w:val="clear" w:color="auto" w:fill="auto"/>
            <w:noWrap/>
            <w:vAlign w:val="bottom"/>
            <w:hideMark/>
          </w:tcPr>
          <w:p w14:paraId="53A8B932" w14:textId="77777777" w:rsidR="00522FD1" w:rsidRPr="00522FD1" w:rsidRDefault="00522FD1" w:rsidP="00522FD1">
            <w:pPr>
              <w:spacing w:after="0" w:line="240" w:lineRule="auto"/>
              <w:rPr>
                <w:rFonts w:ascii="Times New Roman" w:eastAsia="Times New Roman" w:hAnsi="Times New Roman" w:cs="Times New Roman"/>
                <w:sz w:val="20"/>
                <w:szCs w:val="20"/>
                <w:lang w:eastAsia="en-US"/>
              </w:rPr>
            </w:pPr>
          </w:p>
        </w:tc>
        <w:tc>
          <w:tcPr>
            <w:tcW w:w="741" w:type="dxa"/>
            <w:tcBorders>
              <w:top w:val="nil"/>
              <w:left w:val="nil"/>
              <w:bottom w:val="nil"/>
              <w:right w:val="nil"/>
            </w:tcBorders>
            <w:shd w:val="clear" w:color="auto" w:fill="auto"/>
            <w:noWrap/>
            <w:vAlign w:val="bottom"/>
            <w:hideMark/>
          </w:tcPr>
          <w:p w14:paraId="0AD5A895" w14:textId="77777777" w:rsidR="00522FD1" w:rsidRPr="00522FD1" w:rsidRDefault="00522FD1" w:rsidP="00522FD1">
            <w:pPr>
              <w:spacing w:after="0" w:line="240" w:lineRule="auto"/>
              <w:jc w:val="center"/>
              <w:rPr>
                <w:rFonts w:ascii="Times New Roman" w:eastAsia="Times New Roman" w:hAnsi="Times New Roman" w:cs="Times New Roman"/>
                <w:sz w:val="20"/>
                <w:szCs w:val="20"/>
                <w:lang w:eastAsia="en-US"/>
              </w:rPr>
            </w:pPr>
          </w:p>
        </w:tc>
        <w:tc>
          <w:tcPr>
            <w:tcW w:w="1310" w:type="dxa"/>
            <w:tcBorders>
              <w:top w:val="nil"/>
              <w:left w:val="nil"/>
              <w:bottom w:val="nil"/>
              <w:right w:val="nil"/>
            </w:tcBorders>
            <w:shd w:val="clear" w:color="auto" w:fill="auto"/>
            <w:noWrap/>
            <w:vAlign w:val="bottom"/>
            <w:hideMark/>
          </w:tcPr>
          <w:p w14:paraId="41B10172" w14:textId="77777777" w:rsidR="00522FD1" w:rsidRPr="00522FD1" w:rsidRDefault="00522FD1" w:rsidP="00522FD1">
            <w:pPr>
              <w:spacing w:after="0" w:line="240" w:lineRule="auto"/>
              <w:jc w:val="center"/>
              <w:rPr>
                <w:rFonts w:ascii="Times New Roman" w:eastAsia="Times New Roman" w:hAnsi="Times New Roman" w:cs="Times New Roman"/>
                <w:sz w:val="20"/>
                <w:szCs w:val="20"/>
                <w:lang w:eastAsia="en-US"/>
              </w:rPr>
            </w:pPr>
          </w:p>
        </w:tc>
      </w:tr>
      <w:tr w:rsidR="00522FD1" w:rsidRPr="00522FD1" w14:paraId="3400A131" w14:textId="77777777" w:rsidTr="00522FD1">
        <w:trPr>
          <w:trHeight w:val="280"/>
          <w:jc w:val="center"/>
        </w:trPr>
        <w:tc>
          <w:tcPr>
            <w:tcW w:w="3612" w:type="dxa"/>
            <w:tcBorders>
              <w:top w:val="nil"/>
              <w:left w:val="nil"/>
              <w:bottom w:val="single" w:sz="4" w:space="0" w:color="auto"/>
              <w:right w:val="nil"/>
            </w:tcBorders>
            <w:shd w:val="clear" w:color="auto" w:fill="auto"/>
            <w:noWrap/>
            <w:vAlign w:val="bottom"/>
            <w:hideMark/>
          </w:tcPr>
          <w:p w14:paraId="64080F3C" w14:textId="77777777" w:rsidR="00522FD1" w:rsidRPr="00522FD1" w:rsidRDefault="00522FD1" w:rsidP="00522FD1">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Prescribers</w:t>
            </w:r>
          </w:p>
        </w:tc>
        <w:tc>
          <w:tcPr>
            <w:tcW w:w="1037" w:type="dxa"/>
            <w:tcBorders>
              <w:top w:val="nil"/>
              <w:left w:val="nil"/>
              <w:bottom w:val="single" w:sz="4" w:space="0" w:color="auto"/>
              <w:right w:val="nil"/>
            </w:tcBorders>
            <w:shd w:val="clear" w:color="auto" w:fill="auto"/>
            <w:noWrap/>
            <w:vAlign w:val="bottom"/>
            <w:hideMark/>
          </w:tcPr>
          <w:p w14:paraId="243D6B4F"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2,527</w:t>
            </w:r>
          </w:p>
        </w:tc>
        <w:tc>
          <w:tcPr>
            <w:tcW w:w="741" w:type="dxa"/>
            <w:tcBorders>
              <w:top w:val="nil"/>
              <w:left w:val="nil"/>
              <w:bottom w:val="single" w:sz="4" w:space="0" w:color="auto"/>
              <w:right w:val="nil"/>
            </w:tcBorders>
            <w:shd w:val="clear" w:color="auto" w:fill="auto"/>
            <w:noWrap/>
            <w:vAlign w:val="bottom"/>
            <w:hideMark/>
          </w:tcPr>
          <w:p w14:paraId="634A6880"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2,528</w:t>
            </w:r>
          </w:p>
        </w:tc>
        <w:tc>
          <w:tcPr>
            <w:tcW w:w="1310" w:type="dxa"/>
            <w:tcBorders>
              <w:top w:val="nil"/>
              <w:left w:val="nil"/>
              <w:bottom w:val="single" w:sz="4" w:space="0" w:color="auto"/>
              <w:right w:val="nil"/>
            </w:tcBorders>
            <w:shd w:val="clear" w:color="auto" w:fill="auto"/>
            <w:noWrap/>
            <w:vAlign w:val="bottom"/>
            <w:hideMark/>
          </w:tcPr>
          <w:p w14:paraId="3897D62F" w14:textId="77777777" w:rsidR="00522FD1" w:rsidRPr="00522FD1" w:rsidRDefault="00522FD1" w:rsidP="00522FD1">
            <w:pPr>
              <w:spacing w:after="0" w:line="240" w:lineRule="auto"/>
              <w:jc w:val="center"/>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w:t>
            </w:r>
          </w:p>
        </w:tc>
      </w:tr>
      <w:tr w:rsidR="00522FD1" w:rsidRPr="00522FD1" w14:paraId="58DDB51D" w14:textId="77777777" w:rsidTr="00522FD1">
        <w:trPr>
          <w:trHeight w:val="2000"/>
          <w:jc w:val="center"/>
        </w:trPr>
        <w:tc>
          <w:tcPr>
            <w:tcW w:w="6700" w:type="dxa"/>
            <w:gridSpan w:val="4"/>
            <w:tcBorders>
              <w:top w:val="single" w:sz="4" w:space="0" w:color="auto"/>
              <w:left w:val="nil"/>
              <w:bottom w:val="nil"/>
              <w:right w:val="nil"/>
            </w:tcBorders>
            <w:shd w:val="clear" w:color="auto" w:fill="auto"/>
            <w:vAlign w:val="bottom"/>
            <w:hideMark/>
          </w:tcPr>
          <w:p w14:paraId="17349FA8" w14:textId="21312BA6" w:rsidR="00522FD1" w:rsidRPr="00522FD1" w:rsidRDefault="00522FD1" w:rsidP="002D1A55">
            <w:pPr>
              <w:spacing w:after="0" w:line="240" w:lineRule="auto"/>
              <w:rPr>
                <w:rFonts w:ascii="Calibri" w:eastAsia="Times New Roman" w:hAnsi="Calibri" w:cs="Times New Roman"/>
                <w:sz w:val="20"/>
                <w:szCs w:val="20"/>
                <w:lang w:eastAsia="en-US"/>
              </w:rPr>
            </w:pPr>
            <w:r w:rsidRPr="00522FD1">
              <w:rPr>
                <w:rFonts w:ascii="Calibri" w:eastAsia="Times New Roman" w:hAnsi="Calibri" w:cs="Times New Roman"/>
                <w:sz w:val="20"/>
                <w:szCs w:val="20"/>
                <w:lang w:eastAsia="en-US"/>
              </w:rPr>
              <w:t xml:space="preserve">See text for definition of PDT and 30-Day Equivalent. Total dollars paid refers to the total payments for the prescriptions, including payments from the Part D plan as well as out of pocket payments by the beneficiary. Column 3 lists p-values from t-tests that the mean of each variable is equal between treatment and control. Some shares are </w:t>
            </w:r>
            <w:r w:rsidR="002D1A55">
              <w:rPr>
                <w:rFonts w:ascii="Calibri" w:eastAsia="Times New Roman" w:hAnsi="Calibri" w:cs="Times New Roman"/>
                <w:sz w:val="20"/>
                <w:szCs w:val="20"/>
                <w:lang w:eastAsia="en-US"/>
              </w:rPr>
              <w:t xml:space="preserve">not displayed </w:t>
            </w:r>
            <w:r w:rsidRPr="00522FD1">
              <w:rPr>
                <w:rFonts w:ascii="Calibri" w:eastAsia="Times New Roman" w:hAnsi="Calibri" w:cs="Times New Roman"/>
                <w:sz w:val="20"/>
                <w:szCs w:val="20"/>
                <w:lang w:eastAsia="en-US"/>
              </w:rPr>
              <w:t xml:space="preserve">for confidentiality purposes. The joint test is the </w:t>
            </w:r>
            <w:proofErr w:type="spellStart"/>
            <w:r w:rsidRPr="00522FD1">
              <w:rPr>
                <w:rFonts w:ascii="Calibri" w:eastAsia="Times New Roman" w:hAnsi="Calibri" w:cs="Times New Roman"/>
                <w:sz w:val="20"/>
                <w:szCs w:val="20"/>
                <w:lang w:eastAsia="en-US"/>
              </w:rPr>
              <w:t>Wilks</w:t>
            </w:r>
            <w:proofErr w:type="spellEnd"/>
            <w:r w:rsidRPr="00522FD1">
              <w:rPr>
                <w:rFonts w:ascii="Calibri" w:eastAsia="Times New Roman" w:hAnsi="Calibri" w:cs="Times New Roman"/>
                <w:sz w:val="20"/>
                <w:szCs w:val="20"/>
                <w:lang w:eastAsia="en-US"/>
              </w:rPr>
              <w:t xml:space="preserve"> lambda F test for equality of means of the variables (excluding Share Census South, which is collinear with the other three census division shares).</w:t>
            </w:r>
          </w:p>
        </w:tc>
      </w:tr>
    </w:tbl>
    <w:p w14:paraId="2A64296D" w14:textId="6650E9E6" w:rsidR="00D52639" w:rsidRDefault="00D52639" w:rsidP="00196F25">
      <w:pPr>
        <w:jc w:val="center"/>
      </w:pPr>
    </w:p>
    <w:p w14:paraId="299CBFCF" w14:textId="62A63162" w:rsidR="00196F25" w:rsidRDefault="00196F25" w:rsidP="00196F25">
      <w:pPr>
        <w:pStyle w:val="Heading1"/>
      </w:pPr>
      <w:r>
        <w:t>Intervention</w:t>
      </w:r>
    </w:p>
    <w:p w14:paraId="370BE1BD" w14:textId="7F2A2395" w:rsidR="00196F25" w:rsidRDefault="00196F25" w:rsidP="00196F25">
      <w:r>
        <w:t xml:space="preserve">The intervention involved one placebo letter for the control group and an initial letter and 3 </w:t>
      </w:r>
      <w:proofErr w:type="spellStart"/>
      <w:r>
        <w:t>followup</w:t>
      </w:r>
      <w:proofErr w:type="spellEnd"/>
      <w:r>
        <w:t xml:space="preserve"> letters for the treatment group. The role of the placebo letter was to observe letters returned to sender in the full study sample, so that CPI could potentially pursue revocation actions against prescribers with inaccurate addresses without these pursuits being confounded with the intervention.</w:t>
      </w:r>
    </w:p>
    <w:p w14:paraId="208743A9" w14:textId="77777777" w:rsidR="00C25981" w:rsidRDefault="00196F25" w:rsidP="00196F25">
      <w:r>
        <w:t>Due to an inaccuracy discovered in the placebo letter, a second placebo letter</w:t>
      </w:r>
      <w:r w:rsidR="00C25981">
        <w:t xml:space="preserve"> was sent to the control group.</w:t>
      </w:r>
    </w:p>
    <w:p w14:paraId="56BF80B0" w14:textId="38C6DD02" w:rsidR="00B52D15" w:rsidRDefault="00B52D15" w:rsidP="00196F25">
      <w:r>
        <w:t xml:space="preserve">Prescriber addresses were </w:t>
      </w:r>
      <w:r w:rsidR="00846D97">
        <w:t xml:space="preserve">derived from the </w:t>
      </w:r>
      <w:r w:rsidR="00846D97" w:rsidRPr="00522FD1">
        <w:t>PECOS correspondence address for prescribers</w:t>
      </w:r>
      <w:r w:rsidR="00846D97">
        <w:t xml:space="preserve"> who were enrolled in PECOS. Addresses for prescribers </w:t>
      </w:r>
      <w:r w:rsidR="00846D97" w:rsidRPr="00522FD1">
        <w:t xml:space="preserve">who had </w:t>
      </w:r>
      <w:r w:rsidR="00522FD1">
        <w:t>no record in the</w:t>
      </w:r>
      <w:r w:rsidR="00846D97" w:rsidRPr="00522FD1">
        <w:t xml:space="preserve"> PECOS</w:t>
      </w:r>
      <w:r w:rsidR="00522FD1">
        <w:t xml:space="preserve"> system</w:t>
      </w:r>
      <w:r w:rsidR="00846D97" w:rsidRPr="00522FD1">
        <w:t xml:space="preserve"> came from the NPPES mailing address field. If a prescriber had at some point been enrolled in PECOS but was not still actively enrolled, the address used was the more recently updated of the PECOS and NPPES addresses.</w:t>
      </w:r>
    </w:p>
    <w:p w14:paraId="23444C5F" w14:textId="059F9B5D" w:rsidR="00196F25" w:rsidRDefault="00196F25" w:rsidP="00196F25">
      <w:pPr>
        <w:pStyle w:val="Heading2"/>
      </w:pPr>
      <w:r>
        <w:t>Control Group Intervention</w:t>
      </w:r>
    </w:p>
    <w:p w14:paraId="481C6D72" w14:textId="7DA53ACC" w:rsidR="00196F25" w:rsidRDefault="00196F25" w:rsidP="00196F25">
      <w:r>
        <w:t>On April 20, 2015, the control group was sent a letter describing a new Medicare regulation that would require health care providers to enroll in Medicare in order to write prescriptions in Medicare Part D</w:t>
      </w:r>
      <w:r w:rsidR="00F442C1">
        <w:t xml:space="preserve"> (see Attachment 1)</w:t>
      </w:r>
      <w:r>
        <w:t>. The letter also included a “Medicare Learning Network” attachment describing the regulation</w:t>
      </w:r>
      <w:r w:rsidR="00F442C1">
        <w:t xml:space="preserve"> (see Attachment 2)</w:t>
      </w:r>
      <w:r>
        <w:t>. This mailing included no mention of the prescriber’s outlier Seroquel prescribing.</w:t>
      </w:r>
    </w:p>
    <w:p w14:paraId="50FBC9DF" w14:textId="7B35E42E" w:rsidR="00196F25" w:rsidRDefault="00196F25" w:rsidP="00196F25">
      <w:r>
        <w:t>CMS received several calls from prescribers who were concerned that the letter indicated there was an issue with their Medicare enrollment. CMS was also in the process of delaying the regulation that would require prescriber enrollment in Medicare. To address these concerns, the placebo gro</w:t>
      </w:r>
      <w:r w:rsidR="00F442C1">
        <w:t>up was sent a second mailing during the week of June 8, 2015 (dated June 10; see Attachment 3) explaining that enrolled prescribers did not have to take any action, and that the enforcement of the enrollment requirement would be delayed. Again, these mailings did not mention the prescriber’s outlier Seroquel prescribing.</w:t>
      </w:r>
    </w:p>
    <w:p w14:paraId="785FF053" w14:textId="5C534B60" w:rsidR="00F442C1" w:rsidRDefault="00F442C1" w:rsidP="00F442C1">
      <w:pPr>
        <w:pStyle w:val="Heading2"/>
      </w:pPr>
      <w:r>
        <w:t>Treatment Group Intervention</w:t>
      </w:r>
    </w:p>
    <w:p w14:paraId="1FD227F3" w14:textId="216186CC" w:rsidR="00F442C1" w:rsidRDefault="00F442C1" w:rsidP="00F442C1">
      <w:r>
        <w:t>On April 20, 2015, the treatment group was sent a letter indicating that they were being reviewed by CMS for their high Seroquel prescribing. The letter included a peer comparison of their prescribing relative to other prescribers in their state. The letter is included in Attachment 4.</w:t>
      </w:r>
    </w:p>
    <w:p w14:paraId="357D0F03" w14:textId="558BEA81" w:rsidR="00F442C1" w:rsidRDefault="000B4D12" w:rsidP="00F442C1">
      <w:r>
        <w:t>CMS then collected letters t</w:t>
      </w:r>
      <w:r w:rsidR="00753D2F">
        <w:t xml:space="preserve">hat were returned to sender. </w:t>
      </w:r>
      <w:r w:rsidR="00230D55">
        <w:t>By July 1, 2015, 324 letters had been returned</w:t>
      </w:r>
      <w:r w:rsidR="00753D2F">
        <w:t xml:space="preserve"> to CMS. Health Integrity resolved the addresses. 159 of these prescribers were in the treatment group and they were re-sent the initial letter (with refreshed data in the letter and a new date stamp) on July 9, 2015. The control group prescribers with returned correspondence were not re-sent the placebo letter.</w:t>
      </w:r>
    </w:p>
    <w:p w14:paraId="192C5A2B" w14:textId="15336AA3" w:rsidR="00753D2F" w:rsidRDefault="002A3AC4" w:rsidP="00F442C1">
      <w:r w:rsidRPr="002A3AC4">
        <w:t>In letters dated</w:t>
      </w:r>
      <w:r w:rsidR="00753D2F" w:rsidRPr="002A3AC4">
        <w:t xml:space="preserve"> August 31</w:t>
      </w:r>
      <w:r w:rsidR="00630D3C" w:rsidRPr="002A3AC4">
        <w:t>, the treatment</w:t>
      </w:r>
      <w:r w:rsidR="00630D3C">
        <w:t xml:space="preserve"> group prescribers were sent a </w:t>
      </w:r>
      <w:proofErr w:type="spellStart"/>
      <w:r w:rsidR="00630D3C">
        <w:t>followup</w:t>
      </w:r>
      <w:proofErr w:type="spellEnd"/>
      <w:r w:rsidR="00630D3C">
        <w:t xml:space="preserve"> letter updating them on their prescr</w:t>
      </w:r>
      <w:bookmarkStart w:id="1" w:name="_GoBack"/>
      <w:bookmarkEnd w:id="1"/>
      <w:r w:rsidR="00630D3C">
        <w:t>ibing of Seroquel in 2015 u</w:t>
      </w:r>
      <w:r w:rsidR="00F114DE">
        <w:t>sing prescribing records as of June 2015</w:t>
      </w:r>
      <w:r w:rsidR="00630D3C">
        <w:t xml:space="preserve">. </w:t>
      </w:r>
      <w:r w:rsidR="00630D3C" w:rsidRPr="00F114DE">
        <w:t>2 of the treatment group prescribers had died by this time and they were not contacted.</w:t>
      </w:r>
      <w:r>
        <w:t xml:space="preserve"> 4</w:t>
      </w:r>
      <w:r w:rsidR="00630D3C">
        <w:t xml:space="preserve"> versions of the letter were sent and they are attached:</w:t>
      </w:r>
    </w:p>
    <w:p w14:paraId="2BDF356F" w14:textId="5FBC63C3" w:rsidR="00630D3C" w:rsidRDefault="00630D3C" w:rsidP="00F442C1">
      <w:r>
        <w:t>(Attachment 5a) Prescribers with Seroquel prescribing above that of their peers</w:t>
      </w:r>
      <w:r w:rsidR="002A3AC4">
        <w:br/>
        <w:t>(</w:t>
      </w:r>
      <w:r w:rsidR="002A3AC4" w:rsidRPr="002A3AC4">
        <w:t>Attachment 5b</w:t>
      </w:r>
      <w:r w:rsidR="002A3AC4">
        <w:t>)</w:t>
      </w:r>
      <w:r w:rsidR="002A3AC4" w:rsidRPr="002A3AC4">
        <w:t xml:space="preserve"> </w:t>
      </w:r>
      <w:r w:rsidR="002A3AC4">
        <w:t>Prescribers with Seroquel prescribing above that of their peers</w:t>
      </w:r>
      <w:r w:rsidR="002A3AC4" w:rsidRPr="002A3AC4">
        <w:t xml:space="preserve"> and</w:t>
      </w:r>
      <w:r w:rsidR="002A3AC4">
        <w:t xml:space="preserve"> a taxonomy change</w:t>
      </w:r>
      <w:r>
        <w:br/>
        <w:t>(Attachment 5</w:t>
      </w:r>
      <w:r w:rsidR="002A3AC4">
        <w:t>c</w:t>
      </w:r>
      <w:r>
        <w:t>) Prescribers with Seroquel prescribing below peers</w:t>
      </w:r>
      <w:r>
        <w:br/>
        <w:t>(At</w:t>
      </w:r>
      <w:r w:rsidR="002A3AC4">
        <w:t>tachment 5d</w:t>
      </w:r>
      <w:r>
        <w:t>) Prescribers with no Seroquel prescribing in 2015 so far</w:t>
      </w:r>
    </w:p>
    <w:p w14:paraId="1B419E09" w14:textId="77777777" w:rsidR="003F00AA" w:rsidRDefault="003F00AA" w:rsidP="003F00AA">
      <w:pPr>
        <w:pStyle w:val="Heading1"/>
      </w:pPr>
      <w:r>
        <w:t>References</w:t>
      </w:r>
    </w:p>
    <w:p w14:paraId="40A6CA81" w14:textId="242ACDF8" w:rsidR="003F00AA" w:rsidRPr="00E72CC6" w:rsidRDefault="003F00AA" w:rsidP="00753D2F">
      <w:r>
        <w:t xml:space="preserve">Lock Morgan, Kari and Donald B. Rubin. 2012. “Randomization to Improve Covariate Balance in Experiments.” </w:t>
      </w:r>
      <w:r>
        <w:rPr>
          <w:i/>
        </w:rPr>
        <w:t>The Annals of Statistics</w:t>
      </w:r>
      <w:r>
        <w:t>, 40(2): 1263-1282.</w:t>
      </w:r>
    </w:p>
    <w:p w14:paraId="59B399D8" w14:textId="77777777" w:rsidR="003F00AA" w:rsidRPr="00E72CC6" w:rsidRDefault="003F00AA" w:rsidP="003F00AA">
      <w:proofErr w:type="spellStart"/>
      <w:r>
        <w:t>Tukey</w:t>
      </w:r>
      <w:proofErr w:type="spellEnd"/>
      <w:r>
        <w:t xml:space="preserve">, John W. 1977. </w:t>
      </w:r>
      <w:r>
        <w:rPr>
          <w:i/>
        </w:rPr>
        <w:t>Exploratory Data Analysis</w:t>
      </w:r>
      <w:r>
        <w:t>. Reading, MA</w:t>
      </w:r>
      <w:r w:rsidRPr="00E72CC6">
        <w:t>: Addison-Wesley</w:t>
      </w:r>
      <w:r>
        <w:t>.</w:t>
      </w:r>
    </w:p>
    <w:p w14:paraId="5A21CB49" w14:textId="77777777" w:rsidR="003F00AA" w:rsidRDefault="003F00AA" w:rsidP="003F00AA">
      <w:pPr>
        <w:pStyle w:val="Title"/>
      </w:pPr>
      <w:r>
        <w:t>APPENDIX</w:t>
      </w:r>
    </w:p>
    <w:p w14:paraId="5D8084DD" w14:textId="77777777" w:rsidR="003F00AA" w:rsidRDefault="003F00AA" w:rsidP="003F00AA">
      <w:pPr>
        <w:pStyle w:val="Heading1"/>
        <w:numPr>
          <w:ilvl w:val="0"/>
          <w:numId w:val="3"/>
        </w:numPr>
      </w:pPr>
      <w:bookmarkStart w:id="2" w:name="_Ref282877828"/>
      <w:r>
        <w:t>Re-Randomization Procedure</w:t>
      </w:r>
      <w:bookmarkEnd w:id="2"/>
    </w:p>
    <w:p w14:paraId="5311804D" w14:textId="55BA10C1" w:rsidR="009D6EB2" w:rsidRDefault="009D6EB2" w:rsidP="009D6EB2">
      <w:r>
        <w:t>The re-randomization procedure, specified in advance, follows:</w:t>
      </w:r>
    </w:p>
    <w:p w14:paraId="6173F199" w14:textId="77777777" w:rsidR="009D6EB2" w:rsidRDefault="009D6EB2" w:rsidP="009D6EB2">
      <w:pPr>
        <w:pStyle w:val="ListParagraph"/>
        <w:numPr>
          <w:ilvl w:val="0"/>
          <w:numId w:val="4"/>
        </w:numPr>
        <w:spacing w:after="0" w:line="240" w:lineRule="auto"/>
      </w:pPr>
      <w:r>
        <w:t>Deceased prescribers are removed from the analysis</w:t>
      </w:r>
    </w:p>
    <w:p w14:paraId="38085C70" w14:textId="77777777" w:rsidR="009D6EB2" w:rsidRDefault="009D6EB2" w:rsidP="009D6EB2">
      <w:pPr>
        <w:pStyle w:val="ListParagraph"/>
        <w:numPr>
          <w:ilvl w:val="0"/>
          <w:numId w:val="4"/>
        </w:numPr>
        <w:spacing w:after="0" w:line="240" w:lineRule="auto"/>
      </w:pPr>
      <w:r>
        <w:t>Random values are generated. Prescribers with values &lt;= median are assigned to control. All others assigned to treatment.</w:t>
      </w:r>
    </w:p>
    <w:p w14:paraId="33CF1712" w14:textId="77777777" w:rsidR="009D6EB2" w:rsidRDefault="009D6EB2" w:rsidP="009D6EB2">
      <w:pPr>
        <w:pStyle w:val="ListParagraph"/>
        <w:numPr>
          <w:ilvl w:val="0"/>
          <w:numId w:val="4"/>
        </w:numPr>
        <w:spacing w:after="0" w:line="240" w:lineRule="auto"/>
      </w:pPr>
      <w:r>
        <w:t xml:space="preserve">We test covariate balance for a set of covariates using MANOVA, equivalent to the </w:t>
      </w:r>
      <w:proofErr w:type="spellStart"/>
      <w:r w:rsidRPr="00346EDD">
        <w:t>Mahalanobis</w:t>
      </w:r>
      <w:proofErr w:type="spellEnd"/>
      <w:r>
        <w:t xml:space="preserve"> distance (recommended in Lock Morgan and Rubin 2012) since we have two groups. This is very similar to regressing each covariate on treatment indicator, then jointly testing all the coefficients on the treatment indicators. The covariates are:</w:t>
      </w:r>
    </w:p>
    <w:p w14:paraId="2AB4D3F9" w14:textId="77777777" w:rsidR="009D6EB2" w:rsidRDefault="009D6EB2" w:rsidP="009D6EB2">
      <w:pPr>
        <w:pStyle w:val="ListParagraph"/>
        <w:numPr>
          <w:ilvl w:val="1"/>
          <w:numId w:val="4"/>
        </w:numPr>
        <w:spacing w:after="0" w:line="240" w:lineRule="auto"/>
      </w:pPr>
      <w:r>
        <w:t>PDT Count, 2014</w:t>
      </w:r>
    </w:p>
    <w:p w14:paraId="7634C767" w14:textId="77777777" w:rsidR="009D6EB2" w:rsidRDefault="009D6EB2" w:rsidP="009D6EB2">
      <w:pPr>
        <w:pStyle w:val="ListParagraph"/>
        <w:numPr>
          <w:ilvl w:val="1"/>
          <w:numId w:val="4"/>
        </w:numPr>
        <w:spacing w:after="0" w:line="240" w:lineRule="auto"/>
      </w:pPr>
      <w:r>
        <w:t>PDT Count, 2013</w:t>
      </w:r>
    </w:p>
    <w:p w14:paraId="61D2B35A" w14:textId="77777777" w:rsidR="009D6EB2" w:rsidRDefault="009D6EB2" w:rsidP="009D6EB2">
      <w:pPr>
        <w:pStyle w:val="ListParagraph"/>
        <w:numPr>
          <w:ilvl w:val="1"/>
          <w:numId w:val="4"/>
        </w:numPr>
        <w:spacing w:after="0" w:line="240" w:lineRule="auto"/>
      </w:pPr>
      <w:r>
        <w:t>30-Day PDT Count, 2014</w:t>
      </w:r>
    </w:p>
    <w:p w14:paraId="6B376420" w14:textId="77777777" w:rsidR="009D6EB2" w:rsidRDefault="009D6EB2" w:rsidP="009D6EB2">
      <w:pPr>
        <w:pStyle w:val="ListParagraph"/>
        <w:numPr>
          <w:ilvl w:val="1"/>
          <w:numId w:val="4"/>
        </w:numPr>
        <w:spacing w:after="0" w:line="240" w:lineRule="auto"/>
      </w:pPr>
      <w:r>
        <w:t>30-Day PDT Count, 2013</w:t>
      </w:r>
    </w:p>
    <w:p w14:paraId="47091710" w14:textId="77777777" w:rsidR="009D6EB2" w:rsidRDefault="009D6EB2" w:rsidP="009D6EB2">
      <w:pPr>
        <w:pStyle w:val="ListParagraph"/>
        <w:numPr>
          <w:ilvl w:val="1"/>
          <w:numId w:val="4"/>
        </w:numPr>
        <w:spacing w:after="0" w:line="240" w:lineRule="auto"/>
      </w:pPr>
      <w:r>
        <w:t>$ Paid for Seroquel, 2014</w:t>
      </w:r>
    </w:p>
    <w:p w14:paraId="42C688F8" w14:textId="77777777" w:rsidR="009D6EB2" w:rsidRDefault="009D6EB2" w:rsidP="009D6EB2">
      <w:pPr>
        <w:pStyle w:val="ListParagraph"/>
        <w:numPr>
          <w:ilvl w:val="1"/>
          <w:numId w:val="4"/>
        </w:numPr>
        <w:spacing w:after="0" w:line="240" w:lineRule="auto"/>
      </w:pPr>
      <w:r>
        <w:t>$ Paid for Seroquel, 2013</w:t>
      </w:r>
    </w:p>
    <w:p w14:paraId="558168DC" w14:textId="77777777" w:rsidR="009D6EB2" w:rsidRDefault="009D6EB2" w:rsidP="009D6EB2">
      <w:pPr>
        <w:pStyle w:val="ListParagraph"/>
        <w:numPr>
          <w:ilvl w:val="1"/>
          <w:numId w:val="4"/>
        </w:numPr>
        <w:spacing w:after="0" w:line="240" w:lineRule="auto"/>
      </w:pPr>
      <w:r>
        <w:t>Indicator for Census Northeast (CT, ME, MA, NH, RI, VT, NJ, NY, PA)</w:t>
      </w:r>
    </w:p>
    <w:p w14:paraId="60A0A6CC" w14:textId="77777777" w:rsidR="009D6EB2" w:rsidRDefault="009D6EB2" w:rsidP="009D6EB2">
      <w:pPr>
        <w:pStyle w:val="ListParagraph"/>
        <w:numPr>
          <w:ilvl w:val="1"/>
          <w:numId w:val="4"/>
        </w:numPr>
        <w:spacing w:after="0" w:line="240" w:lineRule="auto"/>
      </w:pPr>
      <w:r>
        <w:t>Indicator for Census Midwest (IL, IN, MI, OH, WI, IA, KS, MN, MO, NE, ND, SD)</w:t>
      </w:r>
    </w:p>
    <w:p w14:paraId="0E2BC903" w14:textId="77777777" w:rsidR="009D6EB2" w:rsidRDefault="009D6EB2" w:rsidP="009D6EB2">
      <w:pPr>
        <w:pStyle w:val="ListParagraph"/>
        <w:numPr>
          <w:ilvl w:val="1"/>
          <w:numId w:val="4"/>
        </w:numPr>
        <w:spacing w:after="0" w:line="240" w:lineRule="auto"/>
      </w:pPr>
      <w:r>
        <w:t>Indicator for Census West (AZ, CO, ID, MT, NV, NM, UT, WY, AK, CA, HI, OR, WA)</w:t>
      </w:r>
      <w:r>
        <w:br/>
      </w:r>
      <w:r>
        <w:rPr>
          <w:i/>
        </w:rPr>
        <w:t>Note omitted category is Census South. Some prescribers in this sample were in Puerto Rico, and these prescribers are included in the Census South Category.</w:t>
      </w:r>
    </w:p>
    <w:p w14:paraId="40CB36F4" w14:textId="77777777" w:rsidR="009D6EB2" w:rsidRDefault="009D6EB2" w:rsidP="009D6EB2">
      <w:pPr>
        <w:pStyle w:val="ListParagraph"/>
        <w:numPr>
          <w:ilvl w:val="1"/>
          <w:numId w:val="4"/>
        </w:numPr>
        <w:spacing w:after="0" w:line="240" w:lineRule="auto"/>
      </w:pPr>
      <w:r>
        <w:t>Indicator for found in HITS database</w:t>
      </w:r>
    </w:p>
    <w:p w14:paraId="4F0817B1" w14:textId="77777777" w:rsidR="009D6EB2" w:rsidRDefault="009D6EB2" w:rsidP="009D6EB2">
      <w:pPr>
        <w:pStyle w:val="ListParagraph"/>
        <w:numPr>
          <w:ilvl w:val="1"/>
          <w:numId w:val="4"/>
        </w:numPr>
        <w:spacing w:after="0" w:line="240" w:lineRule="auto"/>
      </w:pPr>
      <w:r>
        <w:t>Indicator for found in FID</w:t>
      </w:r>
    </w:p>
    <w:p w14:paraId="0481AE1B" w14:textId="77777777" w:rsidR="009D6EB2" w:rsidRDefault="009D6EB2" w:rsidP="009D6EB2">
      <w:pPr>
        <w:pStyle w:val="ListParagraph"/>
        <w:numPr>
          <w:ilvl w:val="1"/>
          <w:numId w:val="4"/>
        </w:numPr>
        <w:spacing w:after="0" w:line="240" w:lineRule="auto"/>
      </w:pPr>
      <w:r>
        <w:t>Indicator for found in CNC</w:t>
      </w:r>
    </w:p>
    <w:p w14:paraId="7E00FC40" w14:textId="77777777" w:rsidR="009D6EB2" w:rsidRDefault="009D6EB2" w:rsidP="009D6EB2">
      <w:pPr>
        <w:pStyle w:val="ListParagraph"/>
        <w:numPr>
          <w:ilvl w:val="1"/>
          <w:numId w:val="4"/>
        </w:numPr>
        <w:spacing w:after="0" w:line="240" w:lineRule="auto"/>
      </w:pPr>
      <w:r>
        <w:t>Indicator for PECOS enrolled</w:t>
      </w:r>
    </w:p>
    <w:p w14:paraId="06DA172B" w14:textId="77777777" w:rsidR="009D6EB2" w:rsidRDefault="009D6EB2" w:rsidP="009D6EB2">
      <w:pPr>
        <w:pStyle w:val="ListParagraph"/>
        <w:numPr>
          <w:ilvl w:val="1"/>
          <w:numId w:val="4"/>
        </w:numPr>
        <w:spacing w:after="0" w:line="240" w:lineRule="auto"/>
      </w:pPr>
      <w:r>
        <w:t>Indicator for found in risk score project</w:t>
      </w:r>
    </w:p>
    <w:p w14:paraId="77B78018" w14:textId="77777777" w:rsidR="009D6EB2" w:rsidRDefault="009D6EB2" w:rsidP="009D6EB2">
      <w:pPr>
        <w:pStyle w:val="ListParagraph"/>
        <w:numPr>
          <w:ilvl w:val="0"/>
          <w:numId w:val="4"/>
        </w:numPr>
        <w:spacing w:after="0" w:line="240" w:lineRule="auto"/>
      </w:pPr>
      <w:r>
        <w:t>If the p-value of the F test is &lt; 0.4, return to step 2 and restart the procedure. Otherwise accept the randomization.</w:t>
      </w:r>
    </w:p>
    <w:p w14:paraId="462402B5" w14:textId="77777777" w:rsidR="003F00AA" w:rsidRPr="00DA5D16" w:rsidRDefault="003F00AA" w:rsidP="003F00AA"/>
    <w:p w14:paraId="510596F7" w14:textId="77777777" w:rsidR="00F442C1" w:rsidRDefault="00F442C1" w:rsidP="00F442C1">
      <w:pPr>
        <w:pStyle w:val="Title"/>
      </w:pPr>
      <w:r>
        <w:t>Attachments</w:t>
      </w:r>
    </w:p>
    <w:p w14:paraId="1A3112EC" w14:textId="2B266678" w:rsidR="000D4AC7" w:rsidRPr="00F36F3B" w:rsidRDefault="00F442C1" w:rsidP="00F442C1">
      <w:pPr>
        <w:rPr>
          <w:highlight w:val="yellow"/>
        </w:rPr>
      </w:pPr>
      <w:r w:rsidRPr="00F36F3B">
        <w:rPr>
          <w:highlight w:val="yellow"/>
        </w:rPr>
        <w:t>Attachment 1: Placebo Letter Sent to Control Group</w:t>
      </w:r>
    </w:p>
    <w:p w14:paraId="03912D2E" w14:textId="6A7E5302" w:rsidR="00F442C1" w:rsidRPr="00F36F3B" w:rsidRDefault="00F442C1" w:rsidP="00F442C1">
      <w:pPr>
        <w:rPr>
          <w:highlight w:val="yellow"/>
        </w:rPr>
      </w:pPr>
      <w:r w:rsidRPr="00F36F3B">
        <w:rPr>
          <w:highlight w:val="yellow"/>
        </w:rPr>
        <w:t>Attachment 2: Medicare Learning Network document included with Placebo Letter</w:t>
      </w:r>
    </w:p>
    <w:p w14:paraId="6F0EE7F6" w14:textId="34BACF08" w:rsidR="00F442C1" w:rsidRPr="00F36F3B" w:rsidRDefault="00F442C1" w:rsidP="00F442C1">
      <w:pPr>
        <w:rPr>
          <w:highlight w:val="yellow"/>
        </w:rPr>
      </w:pPr>
      <w:r w:rsidRPr="00F36F3B">
        <w:rPr>
          <w:highlight w:val="yellow"/>
        </w:rPr>
        <w:t>Attachment 3: Correction Letter to Control Group</w:t>
      </w:r>
    </w:p>
    <w:p w14:paraId="7007324D" w14:textId="708EA394" w:rsidR="00F442C1" w:rsidRPr="00F36F3B" w:rsidRDefault="00F442C1" w:rsidP="00F442C1">
      <w:pPr>
        <w:rPr>
          <w:highlight w:val="yellow"/>
        </w:rPr>
      </w:pPr>
      <w:r w:rsidRPr="00F36F3B">
        <w:rPr>
          <w:highlight w:val="yellow"/>
        </w:rPr>
        <w:t>Attachment 4: Initial Letter Sent to Treatment Group</w:t>
      </w:r>
    </w:p>
    <w:p w14:paraId="70A4CB91" w14:textId="2C3D9A6C" w:rsidR="00630D3C" w:rsidRDefault="00630D3C" w:rsidP="00F442C1">
      <w:pPr>
        <w:rPr>
          <w:highlight w:val="yellow"/>
        </w:rPr>
      </w:pPr>
      <w:r w:rsidRPr="00F36F3B">
        <w:rPr>
          <w:highlight w:val="yellow"/>
        </w:rPr>
        <w:t xml:space="preserve">Attachment 5a: </w:t>
      </w:r>
      <w:proofErr w:type="spellStart"/>
      <w:r w:rsidRPr="00F36F3B">
        <w:rPr>
          <w:highlight w:val="yellow"/>
        </w:rPr>
        <w:t>Followup</w:t>
      </w:r>
      <w:proofErr w:type="spellEnd"/>
      <w:r w:rsidRPr="00F36F3B">
        <w:rPr>
          <w:highlight w:val="yellow"/>
        </w:rPr>
        <w:t xml:space="preserve"> letter sent to Treatment Group prescribers with prescribing above peer means</w:t>
      </w:r>
    </w:p>
    <w:p w14:paraId="226896F8" w14:textId="66BE0B8C" w:rsidR="002A3AC4" w:rsidRPr="00F36F3B" w:rsidRDefault="002A3AC4" w:rsidP="00F442C1">
      <w:pPr>
        <w:rPr>
          <w:highlight w:val="yellow"/>
        </w:rPr>
      </w:pPr>
      <w:r>
        <w:rPr>
          <w:highlight w:val="yellow"/>
        </w:rPr>
        <w:t>Attachment 5b</w:t>
      </w:r>
      <w:r w:rsidRPr="00F36F3B">
        <w:rPr>
          <w:highlight w:val="yellow"/>
        </w:rPr>
        <w:t xml:space="preserve">: </w:t>
      </w:r>
      <w:proofErr w:type="spellStart"/>
      <w:r w:rsidRPr="00F36F3B">
        <w:rPr>
          <w:highlight w:val="yellow"/>
        </w:rPr>
        <w:t>Followup</w:t>
      </w:r>
      <w:proofErr w:type="spellEnd"/>
      <w:r w:rsidRPr="00F36F3B">
        <w:rPr>
          <w:highlight w:val="yellow"/>
        </w:rPr>
        <w:t xml:space="preserve"> letter sent to Treatment Group prescribers with prescribing above peer means</w:t>
      </w:r>
      <w:r>
        <w:rPr>
          <w:highlight w:val="yellow"/>
        </w:rPr>
        <w:t xml:space="preserve"> (and a taxonomy change)</w:t>
      </w:r>
    </w:p>
    <w:p w14:paraId="7D2269B1" w14:textId="0BFD0978" w:rsidR="00630D3C" w:rsidRPr="00F36F3B" w:rsidRDefault="002A3AC4" w:rsidP="00F442C1">
      <w:pPr>
        <w:rPr>
          <w:highlight w:val="yellow"/>
        </w:rPr>
      </w:pPr>
      <w:r>
        <w:rPr>
          <w:highlight w:val="yellow"/>
        </w:rPr>
        <w:t>Attachment 5c</w:t>
      </w:r>
      <w:r w:rsidR="00630D3C" w:rsidRPr="00F36F3B">
        <w:rPr>
          <w:highlight w:val="yellow"/>
        </w:rPr>
        <w:t xml:space="preserve">: </w:t>
      </w:r>
      <w:proofErr w:type="spellStart"/>
      <w:r w:rsidR="00630D3C" w:rsidRPr="00F36F3B">
        <w:rPr>
          <w:highlight w:val="yellow"/>
        </w:rPr>
        <w:t>Followup</w:t>
      </w:r>
      <w:proofErr w:type="spellEnd"/>
      <w:r w:rsidR="00630D3C" w:rsidRPr="00F36F3B">
        <w:rPr>
          <w:highlight w:val="yellow"/>
        </w:rPr>
        <w:t xml:space="preserve"> letter sent to Treatment Group prescribers with prescribing below peer means</w:t>
      </w:r>
    </w:p>
    <w:p w14:paraId="03FE26F2" w14:textId="76EFC0A2" w:rsidR="00630D3C" w:rsidRDefault="002A3AC4" w:rsidP="00630D3C">
      <w:r>
        <w:rPr>
          <w:highlight w:val="yellow"/>
        </w:rPr>
        <w:t>Attachment 5d</w:t>
      </w:r>
      <w:r w:rsidR="00630D3C" w:rsidRPr="00F36F3B">
        <w:rPr>
          <w:highlight w:val="yellow"/>
        </w:rPr>
        <w:t xml:space="preserve">: </w:t>
      </w:r>
      <w:proofErr w:type="spellStart"/>
      <w:r w:rsidR="00630D3C" w:rsidRPr="00F36F3B">
        <w:rPr>
          <w:highlight w:val="yellow"/>
        </w:rPr>
        <w:t>Followup</w:t>
      </w:r>
      <w:proofErr w:type="spellEnd"/>
      <w:r w:rsidR="00630D3C" w:rsidRPr="00F36F3B">
        <w:rPr>
          <w:highlight w:val="yellow"/>
        </w:rPr>
        <w:t xml:space="preserve"> letter sent to Treatment Group prescribers with no prescribing in 2015</w:t>
      </w:r>
    </w:p>
    <w:p w14:paraId="5B5FC464" w14:textId="77777777" w:rsidR="00630D3C" w:rsidRDefault="00630D3C" w:rsidP="00F442C1"/>
    <w:sectPr w:rsidR="00630D3C" w:rsidSect="009573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3C1D99"/>
    <w:multiLevelType w:val="multilevel"/>
    <w:tmpl w:val="38E6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9A315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6425319C"/>
    <w:multiLevelType w:val="hybridMultilevel"/>
    <w:tmpl w:val="C32298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39"/>
    <w:rsid w:val="000B4D12"/>
    <w:rsid w:val="000D4714"/>
    <w:rsid w:val="000D4AC7"/>
    <w:rsid w:val="000F1A1E"/>
    <w:rsid w:val="00196F25"/>
    <w:rsid w:val="001A7D75"/>
    <w:rsid w:val="001C764C"/>
    <w:rsid w:val="001F7644"/>
    <w:rsid w:val="00230D55"/>
    <w:rsid w:val="002A3AC4"/>
    <w:rsid w:val="002D1A55"/>
    <w:rsid w:val="003F00AA"/>
    <w:rsid w:val="004609C5"/>
    <w:rsid w:val="004E4514"/>
    <w:rsid w:val="004F23DD"/>
    <w:rsid w:val="00522FD1"/>
    <w:rsid w:val="00561A4A"/>
    <w:rsid w:val="00591E9E"/>
    <w:rsid w:val="00630D3C"/>
    <w:rsid w:val="00667AFA"/>
    <w:rsid w:val="00694608"/>
    <w:rsid w:val="00703139"/>
    <w:rsid w:val="00753D2F"/>
    <w:rsid w:val="007540A2"/>
    <w:rsid w:val="00846D97"/>
    <w:rsid w:val="009573A2"/>
    <w:rsid w:val="009D6EB2"/>
    <w:rsid w:val="00B106D6"/>
    <w:rsid w:val="00B231A6"/>
    <w:rsid w:val="00B52D15"/>
    <w:rsid w:val="00C25981"/>
    <w:rsid w:val="00D52639"/>
    <w:rsid w:val="00E63594"/>
    <w:rsid w:val="00F114DE"/>
    <w:rsid w:val="00F36F3B"/>
    <w:rsid w:val="00F442C1"/>
    <w:rsid w:val="00F63677"/>
    <w:rsid w:val="00F64FFF"/>
    <w:rsid w:val="00F92CE1"/>
    <w:rsid w:val="00FA77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91E75B"/>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639"/>
    <w:pPr>
      <w:spacing w:after="200" w:line="276" w:lineRule="auto"/>
    </w:pPr>
    <w:rPr>
      <w:rFonts w:eastAsiaTheme="minorEastAsia"/>
      <w:sz w:val="22"/>
      <w:szCs w:val="22"/>
      <w:lang w:eastAsia="ja-JP"/>
    </w:rPr>
  </w:style>
  <w:style w:type="paragraph" w:styleId="Heading1">
    <w:name w:val="heading 1"/>
    <w:basedOn w:val="Normal"/>
    <w:next w:val="Normal"/>
    <w:link w:val="Heading1Char"/>
    <w:uiPriority w:val="9"/>
    <w:qFormat/>
    <w:rsid w:val="00D52639"/>
    <w:pPr>
      <w:keepNext/>
      <w:keepLines/>
      <w:numPr>
        <w:numId w:val="1"/>
      </w:numPr>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2639"/>
    <w:pPr>
      <w:keepNext/>
      <w:keepLines/>
      <w:numPr>
        <w:ilvl w:val="1"/>
        <w:numId w:val="1"/>
      </w:numPr>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52639"/>
    <w:pPr>
      <w:keepNext/>
      <w:keepLines/>
      <w:numPr>
        <w:ilvl w:val="2"/>
        <w:numId w:val="1"/>
      </w:numPr>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D52639"/>
    <w:pPr>
      <w:keepNext/>
      <w:keepLines/>
      <w:numPr>
        <w:ilvl w:val="3"/>
        <w:numId w:val="1"/>
      </w:numPr>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D52639"/>
    <w:pPr>
      <w:keepNext/>
      <w:keepLines/>
      <w:numPr>
        <w:ilvl w:val="4"/>
        <w:numId w:val="1"/>
      </w:numPr>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D52639"/>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D52639"/>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52639"/>
    <w:pPr>
      <w:keepNext/>
      <w:keepLines/>
      <w:numPr>
        <w:ilvl w:val="7"/>
        <w:numId w:val="1"/>
      </w:numPr>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D52639"/>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639"/>
    <w:rPr>
      <w:rFonts w:asciiTheme="majorHAnsi" w:eastAsiaTheme="majorEastAsia" w:hAnsiTheme="majorHAnsi" w:cstheme="majorBidi"/>
      <w:b/>
      <w:bCs/>
      <w:color w:val="2E74B5" w:themeColor="accent1" w:themeShade="BF"/>
      <w:sz w:val="28"/>
      <w:szCs w:val="28"/>
      <w:lang w:eastAsia="ja-JP"/>
    </w:rPr>
  </w:style>
  <w:style w:type="character" w:customStyle="1" w:styleId="Heading2Char">
    <w:name w:val="Heading 2 Char"/>
    <w:basedOn w:val="DefaultParagraphFont"/>
    <w:link w:val="Heading2"/>
    <w:uiPriority w:val="9"/>
    <w:rsid w:val="00D52639"/>
    <w:rPr>
      <w:rFonts w:asciiTheme="majorHAnsi" w:eastAsiaTheme="majorEastAsia" w:hAnsiTheme="majorHAnsi" w:cstheme="majorBidi"/>
      <w:b/>
      <w:bCs/>
      <w:color w:val="5B9BD5" w:themeColor="accent1"/>
      <w:sz w:val="26"/>
      <w:szCs w:val="26"/>
      <w:lang w:eastAsia="ja-JP"/>
    </w:rPr>
  </w:style>
  <w:style w:type="character" w:customStyle="1" w:styleId="Heading3Char">
    <w:name w:val="Heading 3 Char"/>
    <w:basedOn w:val="DefaultParagraphFont"/>
    <w:link w:val="Heading3"/>
    <w:uiPriority w:val="9"/>
    <w:rsid w:val="00D52639"/>
    <w:rPr>
      <w:rFonts w:asciiTheme="majorHAnsi" w:eastAsiaTheme="majorEastAsia" w:hAnsiTheme="majorHAnsi" w:cstheme="majorBidi"/>
      <w:b/>
      <w:bCs/>
      <w:color w:val="5B9BD5" w:themeColor="accent1"/>
      <w:sz w:val="22"/>
      <w:szCs w:val="22"/>
      <w:lang w:eastAsia="ja-JP"/>
    </w:rPr>
  </w:style>
  <w:style w:type="character" w:customStyle="1" w:styleId="Heading4Char">
    <w:name w:val="Heading 4 Char"/>
    <w:basedOn w:val="DefaultParagraphFont"/>
    <w:link w:val="Heading4"/>
    <w:uiPriority w:val="9"/>
    <w:rsid w:val="00D52639"/>
    <w:rPr>
      <w:rFonts w:asciiTheme="majorHAnsi" w:eastAsiaTheme="majorEastAsia" w:hAnsiTheme="majorHAnsi" w:cstheme="majorBidi"/>
      <w:b/>
      <w:bCs/>
      <w:i/>
      <w:iCs/>
      <w:color w:val="5B9BD5" w:themeColor="accent1"/>
      <w:sz w:val="22"/>
      <w:szCs w:val="22"/>
      <w:lang w:eastAsia="ja-JP"/>
    </w:rPr>
  </w:style>
  <w:style w:type="character" w:customStyle="1" w:styleId="Heading5Char">
    <w:name w:val="Heading 5 Char"/>
    <w:basedOn w:val="DefaultParagraphFont"/>
    <w:link w:val="Heading5"/>
    <w:uiPriority w:val="9"/>
    <w:rsid w:val="00D52639"/>
    <w:rPr>
      <w:rFonts w:asciiTheme="majorHAnsi" w:eastAsiaTheme="majorEastAsia" w:hAnsiTheme="majorHAnsi" w:cstheme="majorBidi"/>
      <w:color w:val="1F4D78" w:themeColor="accent1" w:themeShade="7F"/>
      <w:sz w:val="22"/>
      <w:szCs w:val="22"/>
      <w:lang w:eastAsia="ja-JP"/>
    </w:rPr>
  </w:style>
  <w:style w:type="character" w:customStyle="1" w:styleId="Heading6Char">
    <w:name w:val="Heading 6 Char"/>
    <w:basedOn w:val="DefaultParagraphFont"/>
    <w:link w:val="Heading6"/>
    <w:uiPriority w:val="9"/>
    <w:semiHidden/>
    <w:rsid w:val="00D52639"/>
    <w:rPr>
      <w:rFonts w:asciiTheme="majorHAnsi" w:eastAsiaTheme="majorEastAsia" w:hAnsiTheme="majorHAnsi" w:cstheme="majorBidi"/>
      <w:i/>
      <w:iCs/>
      <w:color w:val="1F4D78" w:themeColor="accent1" w:themeShade="7F"/>
      <w:sz w:val="22"/>
      <w:szCs w:val="22"/>
      <w:lang w:eastAsia="ja-JP"/>
    </w:rPr>
  </w:style>
  <w:style w:type="character" w:customStyle="1" w:styleId="Heading7Char">
    <w:name w:val="Heading 7 Char"/>
    <w:basedOn w:val="DefaultParagraphFont"/>
    <w:link w:val="Heading7"/>
    <w:uiPriority w:val="9"/>
    <w:semiHidden/>
    <w:rsid w:val="00D52639"/>
    <w:rPr>
      <w:rFonts w:asciiTheme="majorHAnsi" w:eastAsiaTheme="majorEastAsia" w:hAnsiTheme="majorHAnsi" w:cstheme="majorBidi"/>
      <w:i/>
      <w:iCs/>
      <w:color w:val="404040" w:themeColor="text1" w:themeTint="BF"/>
      <w:sz w:val="22"/>
      <w:szCs w:val="22"/>
      <w:lang w:eastAsia="ja-JP"/>
    </w:rPr>
  </w:style>
  <w:style w:type="character" w:customStyle="1" w:styleId="Heading8Char">
    <w:name w:val="Heading 8 Char"/>
    <w:basedOn w:val="DefaultParagraphFont"/>
    <w:link w:val="Heading8"/>
    <w:uiPriority w:val="9"/>
    <w:semiHidden/>
    <w:rsid w:val="00D52639"/>
    <w:rPr>
      <w:rFonts w:asciiTheme="majorHAnsi" w:eastAsiaTheme="majorEastAsia" w:hAnsiTheme="majorHAnsi" w:cstheme="majorBidi"/>
      <w:color w:val="5B9BD5" w:themeColor="accent1"/>
      <w:sz w:val="20"/>
      <w:szCs w:val="20"/>
      <w:lang w:eastAsia="ja-JP"/>
    </w:rPr>
  </w:style>
  <w:style w:type="character" w:customStyle="1" w:styleId="Heading9Char">
    <w:name w:val="Heading 9 Char"/>
    <w:basedOn w:val="DefaultParagraphFont"/>
    <w:link w:val="Heading9"/>
    <w:uiPriority w:val="9"/>
    <w:semiHidden/>
    <w:rsid w:val="00D52639"/>
    <w:rPr>
      <w:rFonts w:asciiTheme="majorHAnsi" w:eastAsiaTheme="majorEastAsia" w:hAnsiTheme="majorHAnsi" w:cstheme="majorBidi"/>
      <w:i/>
      <w:iCs/>
      <w:color w:val="404040" w:themeColor="text1" w:themeTint="BF"/>
      <w:sz w:val="20"/>
      <w:szCs w:val="20"/>
      <w:lang w:eastAsia="ja-JP"/>
    </w:rPr>
  </w:style>
  <w:style w:type="paragraph" w:styleId="Title">
    <w:name w:val="Title"/>
    <w:basedOn w:val="Normal"/>
    <w:next w:val="Normal"/>
    <w:link w:val="TitleChar"/>
    <w:uiPriority w:val="10"/>
    <w:qFormat/>
    <w:rsid w:val="00D5263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52639"/>
    <w:rPr>
      <w:rFonts w:asciiTheme="majorHAnsi" w:eastAsiaTheme="majorEastAsia" w:hAnsiTheme="majorHAnsi" w:cstheme="majorBidi"/>
      <w:color w:val="323E4F" w:themeColor="text2" w:themeShade="BF"/>
      <w:spacing w:val="5"/>
      <w:kern w:val="28"/>
      <w:sz w:val="52"/>
      <w:szCs w:val="52"/>
      <w:lang w:eastAsia="ja-JP"/>
    </w:rPr>
  </w:style>
  <w:style w:type="paragraph" w:styleId="Subtitle">
    <w:name w:val="Subtitle"/>
    <w:basedOn w:val="Normal"/>
    <w:next w:val="Normal"/>
    <w:link w:val="SubtitleChar"/>
    <w:uiPriority w:val="11"/>
    <w:qFormat/>
    <w:rsid w:val="00D52639"/>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D52639"/>
    <w:rPr>
      <w:rFonts w:asciiTheme="majorHAnsi" w:eastAsiaTheme="majorEastAsia" w:hAnsiTheme="majorHAnsi" w:cstheme="majorBidi"/>
      <w:i/>
      <w:iCs/>
      <w:color w:val="5B9BD5" w:themeColor="accent1"/>
      <w:spacing w:val="15"/>
      <w:lang w:eastAsia="ja-JP"/>
    </w:rPr>
  </w:style>
  <w:style w:type="paragraph" w:styleId="DocumentMap">
    <w:name w:val="Document Map"/>
    <w:basedOn w:val="Normal"/>
    <w:link w:val="DocumentMapChar"/>
    <w:uiPriority w:val="99"/>
    <w:semiHidden/>
    <w:unhideWhenUsed/>
    <w:rsid w:val="00D52639"/>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52639"/>
    <w:rPr>
      <w:rFonts w:ascii="Times New Roman" w:eastAsiaTheme="minorEastAsia" w:hAnsi="Times New Roman" w:cs="Times New Roman"/>
      <w:lang w:eastAsia="ja-JP"/>
    </w:rPr>
  </w:style>
  <w:style w:type="character" w:styleId="CommentReference">
    <w:name w:val="annotation reference"/>
    <w:basedOn w:val="DefaultParagraphFont"/>
    <w:uiPriority w:val="99"/>
    <w:semiHidden/>
    <w:unhideWhenUsed/>
    <w:rsid w:val="00694608"/>
    <w:rPr>
      <w:sz w:val="18"/>
      <w:szCs w:val="18"/>
    </w:rPr>
  </w:style>
  <w:style w:type="paragraph" w:styleId="CommentText">
    <w:name w:val="annotation text"/>
    <w:basedOn w:val="Normal"/>
    <w:link w:val="CommentTextChar"/>
    <w:uiPriority w:val="99"/>
    <w:semiHidden/>
    <w:unhideWhenUsed/>
    <w:rsid w:val="00694608"/>
    <w:pPr>
      <w:spacing w:line="240" w:lineRule="auto"/>
    </w:pPr>
    <w:rPr>
      <w:sz w:val="24"/>
      <w:szCs w:val="24"/>
    </w:rPr>
  </w:style>
  <w:style w:type="character" w:customStyle="1" w:styleId="CommentTextChar">
    <w:name w:val="Comment Text Char"/>
    <w:basedOn w:val="DefaultParagraphFont"/>
    <w:link w:val="CommentText"/>
    <w:uiPriority w:val="99"/>
    <w:semiHidden/>
    <w:rsid w:val="00694608"/>
    <w:rPr>
      <w:rFonts w:eastAsiaTheme="minorEastAsia"/>
      <w:lang w:eastAsia="ja-JP"/>
    </w:rPr>
  </w:style>
  <w:style w:type="paragraph" w:styleId="CommentSubject">
    <w:name w:val="annotation subject"/>
    <w:basedOn w:val="CommentText"/>
    <w:next w:val="CommentText"/>
    <w:link w:val="CommentSubjectChar"/>
    <w:uiPriority w:val="99"/>
    <w:semiHidden/>
    <w:unhideWhenUsed/>
    <w:rsid w:val="00694608"/>
    <w:rPr>
      <w:b/>
      <w:bCs/>
      <w:sz w:val="20"/>
      <w:szCs w:val="20"/>
    </w:rPr>
  </w:style>
  <w:style w:type="character" w:customStyle="1" w:styleId="CommentSubjectChar">
    <w:name w:val="Comment Subject Char"/>
    <w:basedOn w:val="CommentTextChar"/>
    <w:link w:val="CommentSubject"/>
    <w:uiPriority w:val="99"/>
    <w:semiHidden/>
    <w:rsid w:val="00694608"/>
    <w:rPr>
      <w:rFonts w:eastAsiaTheme="minorEastAsia"/>
      <w:b/>
      <w:bCs/>
      <w:sz w:val="20"/>
      <w:szCs w:val="20"/>
      <w:lang w:eastAsia="ja-JP"/>
    </w:rPr>
  </w:style>
  <w:style w:type="paragraph" w:styleId="BalloonText">
    <w:name w:val="Balloon Text"/>
    <w:basedOn w:val="Normal"/>
    <w:link w:val="BalloonTextChar"/>
    <w:uiPriority w:val="99"/>
    <w:semiHidden/>
    <w:unhideWhenUsed/>
    <w:rsid w:val="0069460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94608"/>
    <w:rPr>
      <w:rFonts w:ascii="Times New Roman" w:eastAsiaTheme="minorEastAsia" w:hAnsi="Times New Roman" w:cs="Times New Roman"/>
      <w:sz w:val="18"/>
      <w:szCs w:val="18"/>
      <w:lang w:eastAsia="ja-JP"/>
    </w:rPr>
  </w:style>
  <w:style w:type="paragraph" w:styleId="ListParagraph">
    <w:name w:val="List Paragraph"/>
    <w:basedOn w:val="Normal"/>
    <w:uiPriority w:val="34"/>
    <w:qFormat/>
    <w:rsid w:val="003F00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3198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5</Pages>
  <Words>1655</Words>
  <Characters>9437</Characters>
  <Application>Microsoft Macintosh Word</Application>
  <DocSecurity>0</DocSecurity>
  <Lines>78</Lines>
  <Paragraphs>22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Identification of Prescribers and Randomization</vt:lpstr>
      <vt:lpstr>Intervention</vt:lpstr>
      <vt:lpstr>    Control Group Intervention</vt:lpstr>
      <vt:lpstr>    Treatment Group Intervention</vt:lpstr>
      <vt:lpstr>References</vt:lpstr>
      <vt:lpstr>Re-Randomization Procedure</vt:lpstr>
    </vt:vector>
  </TitlesOfParts>
  <LinksUpToDate>false</LinksUpToDate>
  <CharactersWithSpaces>11070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Sacarny</dc:creator>
  <cp:keywords/>
  <dc:description/>
  <cp:lastModifiedBy>Adam Sacarny</cp:lastModifiedBy>
  <cp:revision>3</cp:revision>
  <dcterms:created xsi:type="dcterms:W3CDTF">2015-09-04T18:55:00Z</dcterms:created>
  <dcterms:modified xsi:type="dcterms:W3CDTF">2015-09-24T20:04:00Z</dcterms:modified>
</cp:coreProperties>
</file>