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A8EA8" w14:textId="77777777" w:rsidR="00087B9D" w:rsidRDefault="00087B9D" w:rsidP="00087B9D">
      <w:pPr>
        <w:spacing w:after="0" w:line="240" w:lineRule="auto"/>
        <w:jc w:val="both"/>
        <w:rPr>
          <w:sz w:val="24"/>
          <w:szCs w:val="24"/>
        </w:rPr>
      </w:pPr>
      <w:r>
        <w:rPr>
          <w:b/>
        </w:rPr>
        <w:t>2</w:t>
      </w:r>
      <w:r>
        <w:rPr>
          <w:b/>
          <w:sz w:val="24"/>
          <w:szCs w:val="24"/>
        </w:rPr>
        <w:tab/>
        <w:t>Experimental Design</w:t>
      </w:r>
    </w:p>
    <w:p w14:paraId="31DF9681" w14:textId="77777777" w:rsidR="00087B9D" w:rsidRPr="00C110B5" w:rsidRDefault="00087B9D" w:rsidP="00087B9D">
      <w:pPr>
        <w:spacing w:after="0" w:line="240" w:lineRule="auto"/>
        <w:jc w:val="both"/>
        <w:rPr>
          <w:sz w:val="24"/>
          <w:szCs w:val="24"/>
        </w:rPr>
      </w:pPr>
    </w:p>
    <w:p w14:paraId="699D93AD" w14:textId="77777777" w:rsidR="00087B9D" w:rsidRPr="00312695" w:rsidRDefault="00087B9D" w:rsidP="00087B9D">
      <w:pPr>
        <w:shd w:val="clear" w:color="auto" w:fill="FFFFFF"/>
        <w:jc w:val="both"/>
        <w:rPr>
          <w:rFonts w:cstheme="minorHAnsi"/>
          <w:sz w:val="24"/>
          <w:szCs w:val="24"/>
        </w:rPr>
      </w:pPr>
      <w:r w:rsidRPr="00312695">
        <w:rPr>
          <w:rFonts w:cstheme="minorHAnsi"/>
          <w:sz w:val="24"/>
          <w:szCs w:val="24"/>
        </w:rPr>
        <w:t>In collaboration with Ireland’s largest online property sales website, d</w:t>
      </w:r>
      <w:r>
        <w:rPr>
          <w:rFonts w:cstheme="minorHAnsi"/>
          <w:sz w:val="24"/>
          <w:szCs w:val="24"/>
        </w:rPr>
        <w:t xml:space="preserve">aft.ie, we </w:t>
      </w:r>
      <w:r w:rsidRPr="00312695">
        <w:rPr>
          <w:rFonts w:cstheme="minorHAnsi"/>
          <w:sz w:val="24"/>
          <w:szCs w:val="24"/>
        </w:rPr>
        <w:t xml:space="preserve">created a new annual energy cost label based on each property’s </w:t>
      </w:r>
      <w:r>
        <w:rPr>
          <w:rFonts w:cstheme="minorHAnsi"/>
          <w:sz w:val="24"/>
          <w:szCs w:val="24"/>
        </w:rPr>
        <w:t>energy efficiency (EE)</w:t>
      </w:r>
      <w:r w:rsidRPr="00312695">
        <w:rPr>
          <w:rFonts w:cstheme="minorHAnsi"/>
          <w:sz w:val="24"/>
          <w:szCs w:val="24"/>
        </w:rPr>
        <w:t>, size and the price of energy. This new monetary label is motivated by assumed informational/behavioural biases which could negatively affect household demand for EE: we expect that many buyers do not understand how energy ratings affect their bills. If the monetary savings of higher efficiency levels (on our new label) are larger than household expectations, we would expect to see an increase in demand for more efficient properties (observed through higher sales prices and rents).</w:t>
      </w:r>
    </w:p>
    <w:p w14:paraId="5D373241" w14:textId="77777777" w:rsidR="00087B9D" w:rsidRPr="00312695" w:rsidRDefault="00087B9D" w:rsidP="00087B9D">
      <w:pPr>
        <w:shd w:val="clear" w:color="auto" w:fill="FFFFFF"/>
        <w:jc w:val="both"/>
        <w:rPr>
          <w:rFonts w:cstheme="minorHAnsi"/>
          <w:i/>
          <w:sz w:val="24"/>
          <w:szCs w:val="24"/>
        </w:rPr>
      </w:pPr>
      <w:r w:rsidRPr="00312695">
        <w:rPr>
          <w:rFonts w:cstheme="minorHAnsi"/>
          <w:sz w:val="24"/>
          <w:szCs w:val="24"/>
        </w:rPr>
        <w:t xml:space="preserve">Since 2013, all property advertisements in Ireland are required to include a </w:t>
      </w:r>
      <w:r w:rsidRPr="00312695">
        <w:rPr>
          <w:rFonts w:cstheme="minorHAnsi"/>
          <w:i/>
          <w:sz w:val="24"/>
          <w:szCs w:val="24"/>
        </w:rPr>
        <w:t xml:space="preserve">Building Energy Rating </w:t>
      </w:r>
      <w:r w:rsidRPr="00312695">
        <w:rPr>
          <w:rFonts w:cstheme="minorHAnsi"/>
          <w:sz w:val="24"/>
          <w:szCs w:val="24"/>
        </w:rPr>
        <w:t>(BER) certificate. The key component of the BER is a property’s kWh/m</w:t>
      </w:r>
      <w:r w:rsidRPr="00312695">
        <w:rPr>
          <w:rFonts w:cstheme="minorHAnsi"/>
          <w:sz w:val="24"/>
          <w:szCs w:val="24"/>
          <w:vertAlign w:val="superscript"/>
        </w:rPr>
        <w:t>2</w:t>
      </w:r>
      <w:r w:rsidRPr="00312695">
        <w:rPr>
          <w:rFonts w:cstheme="minorHAnsi"/>
          <w:sz w:val="24"/>
          <w:szCs w:val="24"/>
        </w:rPr>
        <w:t>/annum, which is displayed on a 15-grade colour-coded s</w:t>
      </w:r>
      <w:r>
        <w:rPr>
          <w:rFonts w:cstheme="minorHAnsi"/>
          <w:sz w:val="24"/>
          <w:szCs w:val="24"/>
        </w:rPr>
        <w:t>cale (left panel of Figure 1</w:t>
      </w:r>
      <w:r w:rsidRPr="00312695">
        <w:rPr>
          <w:rFonts w:cstheme="minorHAnsi"/>
          <w:sz w:val="24"/>
          <w:szCs w:val="24"/>
        </w:rPr>
        <w:t>). Advertisement regulations stipulate that a pro</w:t>
      </w:r>
      <w:bookmarkStart w:id="0" w:name="_GoBack"/>
      <w:bookmarkEnd w:id="0"/>
      <w:r w:rsidRPr="00312695">
        <w:rPr>
          <w:rFonts w:cstheme="minorHAnsi"/>
          <w:sz w:val="24"/>
          <w:szCs w:val="24"/>
        </w:rPr>
        <w:t>perty’s BER category is required (only, without comparative scale) for all sale or rental advertiseme</w:t>
      </w:r>
      <w:r>
        <w:rPr>
          <w:rFonts w:cstheme="minorHAnsi"/>
          <w:sz w:val="24"/>
          <w:szCs w:val="24"/>
        </w:rPr>
        <w:t>nts (right panel of Figure 1</w:t>
      </w:r>
      <w:r w:rsidRPr="00312695">
        <w:rPr>
          <w:rFonts w:cstheme="minorHAnsi"/>
          <w:sz w:val="24"/>
          <w:szCs w:val="24"/>
        </w:rPr>
        <w:t xml:space="preserve">). The BER estimates the energy used for standard occupancy for space and hot water heating, ventilation and lighting using software developed by the </w:t>
      </w:r>
      <w:r w:rsidRPr="00312695">
        <w:rPr>
          <w:rFonts w:cstheme="minorHAnsi"/>
          <w:i/>
          <w:sz w:val="24"/>
          <w:szCs w:val="24"/>
        </w:rPr>
        <w:t xml:space="preserve">Sustainable Energy Authority of Ireland </w:t>
      </w:r>
      <w:r w:rsidRPr="00312695">
        <w:rPr>
          <w:rFonts w:cstheme="minorHAnsi"/>
          <w:sz w:val="24"/>
          <w:szCs w:val="24"/>
        </w:rPr>
        <w:t>(</w:t>
      </w:r>
      <w:proofErr w:type="spellStart"/>
      <w:r w:rsidRPr="00312695">
        <w:rPr>
          <w:rFonts w:cstheme="minorHAnsi"/>
          <w:sz w:val="24"/>
          <w:szCs w:val="24"/>
        </w:rPr>
        <w:t>SEAI</w:t>
      </w:r>
      <w:proofErr w:type="spellEnd"/>
      <w:r w:rsidRPr="00312695">
        <w:rPr>
          <w:rFonts w:cstheme="minorHAnsi"/>
          <w:sz w:val="24"/>
          <w:szCs w:val="24"/>
        </w:rPr>
        <w:t>).</w:t>
      </w:r>
      <w:r w:rsidRPr="00312695">
        <w:rPr>
          <w:rStyle w:val="FootnoteReference"/>
          <w:sz w:val="24"/>
          <w:szCs w:val="24"/>
        </w:rPr>
        <w:footnoteReference w:id="1"/>
      </w:r>
      <w:r w:rsidRPr="00312695">
        <w:rPr>
          <w:rFonts w:cstheme="minorHAnsi"/>
          <w:sz w:val="24"/>
          <w:szCs w:val="24"/>
        </w:rPr>
        <w:t xml:space="preserve"> While we have no reason to expect this estimate is biased, the BER does not account for any behavioural changes associated with higher efficiency (rebound effects for example).</w:t>
      </w:r>
      <w:r w:rsidRPr="00312695">
        <w:rPr>
          <w:rStyle w:val="FootnoteReference"/>
          <w:sz w:val="24"/>
          <w:szCs w:val="24"/>
        </w:rPr>
        <w:footnoteReference w:id="2"/>
      </w:r>
      <w:r w:rsidRPr="00312695">
        <w:rPr>
          <w:rFonts w:cstheme="minorHAnsi"/>
          <w:i/>
          <w:sz w:val="24"/>
          <w:szCs w:val="24"/>
        </w:rPr>
        <w:t xml:space="preserve"> </w:t>
      </w:r>
    </w:p>
    <w:p w14:paraId="298FE2B9" w14:textId="77777777" w:rsidR="00087B9D" w:rsidRDefault="00087B9D" w:rsidP="00087B9D">
      <w:pPr>
        <w:spacing w:after="0" w:line="240" w:lineRule="auto"/>
        <w:rPr>
          <w:rFonts w:cstheme="minorHAnsi"/>
        </w:rPr>
      </w:pPr>
    </w:p>
    <w:tbl>
      <w:tblPr>
        <w:tblW w:w="0" w:type="auto"/>
        <w:jc w:val="center"/>
        <w:tblBorders>
          <w:insideH w:val="single" w:sz="4" w:space="0" w:color="auto"/>
          <w:insideV w:val="single" w:sz="4" w:space="0" w:color="auto"/>
        </w:tblBorders>
        <w:tblLook w:val="04A0" w:firstRow="1" w:lastRow="0" w:firstColumn="1" w:lastColumn="0" w:noHBand="0" w:noVBand="1"/>
      </w:tblPr>
      <w:tblGrid>
        <w:gridCol w:w="4563"/>
        <w:gridCol w:w="4453"/>
      </w:tblGrid>
      <w:tr w:rsidR="00087B9D" w14:paraId="7531BC67" w14:textId="77777777" w:rsidTr="00FC1F06">
        <w:trPr>
          <w:jc w:val="center"/>
        </w:trPr>
        <w:tc>
          <w:tcPr>
            <w:tcW w:w="9016" w:type="dxa"/>
            <w:gridSpan w:val="2"/>
            <w:tcBorders>
              <w:bottom w:val="single" w:sz="4" w:space="0" w:color="auto"/>
            </w:tcBorders>
            <w:shd w:val="clear" w:color="auto" w:fill="auto"/>
          </w:tcPr>
          <w:p w14:paraId="0FF99765" w14:textId="77777777" w:rsidR="00087B9D" w:rsidRPr="00312695" w:rsidRDefault="00087B9D" w:rsidP="00FC1F06">
            <w:pPr>
              <w:jc w:val="center"/>
              <w:rPr>
                <w:rFonts w:cstheme="minorHAnsi"/>
                <w:b/>
              </w:rPr>
            </w:pPr>
            <w:r>
              <w:rPr>
                <w:rFonts w:cstheme="minorHAnsi"/>
                <w:b/>
              </w:rPr>
              <w:t>Figure 1</w:t>
            </w:r>
            <w:r w:rsidRPr="00312695">
              <w:rPr>
                <w:rFonts w:cstheme="minorHAnsi"/>
                <w:b/>
              </w:rPr>
              <w:t>: Current EE Labelling – the Building Energy Rating (BER)</w:t>
            </w:r>
          </w:p>
        </w:tc>
      </w:tr>
      <w:tr w:rsidR="00087B9D" w14:paraId="6BB747DA" w14:textId="77777777" w:rsidTr="00FC1F06">
        <w:trPr>
          <w:trHeight w:val="251"/>
          <w:jc w:val="center"/>
        </w:trPr>
        <w:tc>
          <w:tcPr>
            <w:tcW w:w="4563" w:type="dxa"/>
            <w:tcBorders>
              <w:top w:val="single" w:sz="4" w:space="0" w:color="auto"/>
              <w:left w:val="single" w:sz="4" w:space="0" w:color="auto"/>
              <w:bottom w:val="single" w:sz="4" w:space="0" w:color="auto"/>
              <w:right w:val="single" w:sz="4" w:space="0" w:color="auto"/>
            </w:tcBorders>
            <w:shd w:val="clear" w:color="auto" w:fill="auto"/>
          </w:tcPr>
          <w:p w14:paraId="1015BCE6" w14:textId="77777777" w:rsidR="00087B9D" w:rsidRPr="00312695" w:rsidRDefault="00087B9D" w:rsidP="00FC1F06">
            <w:pPr>
              <w:jc w:val="center"/>
              <w:rPr>
                <w:rFonts w:cstheme="minorHAnsi"/>
              </w:rPr>
            </w:pPr>
            <w:r w:rsidRPr="00312695">
              <w:rPr>
                <w:rFonts w:cstheme="minorHAnsi"/>
              </w:rPr>
              <w:t>BER certificate example</w:t>
            </w:r>
          </w:p>
        </w:tc>
        <w:tc>
          <w:tcPr>
            <w:tcW w:w="4453" w:type="dxa"/>
            <w:tcBorders>
              <w:top w:val="single" w:sz="4" w:space="0" w:color="auto"/>
              <w:left w:val="single" w:sz="4" w:space="0" w:color="auto"/>
              <w:bottom w:val="single" w:sz="4" w:space="0" w:color="auto"/>
              <w:right w:val="single" w:sz="4" w:space="0" w:color="auto"/>
            </w:tcBorders>
            <w:shd w:val="clear" w:color="auto" w:fill="auto"/>
          </w:tcPr>
          <w:p w14:paraId="2CFC723D" w14:textId="77777777" w:rsidR="00087B9D" w:rsidRPr="008708EE" w:rsidRDefault="00087B9D" w:rsidP="00FC1F06">
            <w:pPr>
              <w:jc w:val="center"/>
              <w:rPr>
                <w:rFonts w:cstheme="minorHAnsi"/>
              </w:rPr>
            </w:pPr>
            <w:r w:rsidRPr="008708EE">
              <w:rPr>
                <w:rFonts w:cstheme="minorHAnsi"/>
              </w:rPr>
              <w:t xml:space="preserve">BER advertisement </w:t>
            </w:r>
            <w:r>
              <w:rPr>
                <w:rFonts w:cstheme="minorHAnsi"/>
              </w:rPr>
              <w:t>examples</w:t>
            </w:r>
          </w:p>
        </w:tc>
      </w:tr>
      <w:tr w:rsidR="00087B9D" w14:paraId="533AE1CD" w14:textId="77777777" w:rsidTr="00FC1F06">
        <w:trPr>
          <w:jc w:val="center"/>
        </w:trPr>
        <w:tc>
          <w:tcPr>
            <w:tcW w:w="4563" w:type="dxa"/>
            <w:tcBorders>
              <w:top w:val="single" w:sz="4" w:space="0" w:color="auto"/>
              <w:left w:val="single" w:sz="4" w:space="0" w:color="auto"/>
              <w:bottom w:val="single" w:sz="4" w:space="0" w:color="auto"/>
              <w:right w:val="single" w:sz="4" w:space="0" w:color="auto"/>
            </w:tcBorders>
          </w:tcPr>
          <w:p w14:paraId="714C7126" w14:textId="77777777" w:rsidR="00087B9D" w:rsidRDefault="00087B9D" w:rsidP="00FC1F06">
            <w:pPr>
              <w:jc w:val="center"/>
              <w:rPr>
                <w:rFonts w:cstheme="minorHAnsi"/>
              </w:rPr>
            </w:pPr>
            <w:r>
              <w:rPr>
                <w:noProof/>
                <w:lang w:eastAsia="en-GB"/>
              </w:rPr>
              <w:drawing>
                <wp:inline distT="0" distB="0" distL="0" distR="0" wp14:anchorId="1BF2A532" wp14:editId="46B83B84">
                  <wp:extent cx="2438400" cy="3440000"/>
                  <wp:effectExtent l="0" t="0" r="0" b="8255"/>
                  <wp:docPr id="9" name="Picture 9" descr="ber-c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r-ce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1546" cy="3557299"/>
                          </a:xfrm>
                          <a:prstGeom prst="rect">
                            <a:avLst/>
                          </a:prstGeom>
                          <a:noFill/>
                          <a:ln>
                            <a:noFill/>
                          </a:ln>
                        </pic:spPr>
                      </pic:pic>
                    </a:graphicData>
                  </a:graphic>
                </wp:inline>
              </w:drawing>
            </w:r>
          </w:p>
        </w:tc>
        <w:tc>
          <w:tcPr>
            <w:tcW w:w="4453" w:type="dxa"/>
            <w:tcBorders>
              <w:top w:val="single" w:sz="4" w:space="0" w:color="auto"/>
              <w:left w:val="single" w:sz="4" w:space="0" w:color="auto"/>
              <w:bottom w:val="single" w:sz="4" w:space="0" w:color="auto"/>
              <w:right w:val="single" w:sz="4" w:space="0" w:color="auto"/>
            </w:tcBorders>
          </w:tcPr>
          <w:p w14:paraId="1C9DC1DB" w14:textId="77777777" w:rsidR="00087B9D" w:rsidRDefault="00087B9D" w:rsidP="00FC1F06">
            <w:pPr>
              <w:jc w:val="center"/>
            </w:pPr>
            <w:r>
              <w:rPr>
                <w:noProof/>
              </w:rPr>
              <w:object w:dxaOrig="1185" w:dyaOrig="390" w14:anchorId="64CC82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0.75pt;height:18pt;mso-width-percent:0;mso-height-percent:0;mso-width-percent:0;mso-height-percent:0" o:ole="">
                  <v:imagedata r:id="rId9" o:title=""/>
                </v:shape>
                <o:OLEObject Type="Embed" ProgID="PBrush" ShapeID="_x0000_i1025" DrawAspect="Content" ObjectID="_1636362077" r:id="rId10"/>
              </w:object>
            </w:r>
          </w:p>
          <w:p w14:paraId="6B22BC8E" w14:textId="77777777" w:rsidR="00087B9D" w:rsidRDefault="00087B9D" w:rsidP="00FC1F06">
            <w:pPr>
              <w:jc w:val="center"/>
            </w:pPr>
            <w:r>
              <w:rPr>
                <w:noProof/>
              </w:rPr>
              <w:object w:dxaOrig="1200" w:dyaOrig="390" w14:anchorId="14C9DDFC">
                <v:shape id="_x0000_i1026" type="#_x0000_t75" alt="" style="width:60.75pt;height:18pt;mso-width-percent:0;mso-height-percent:0;mso-width-percent:0;mso-height-percent:0" o:ole="">
                  <v:imagedata r:id="rId11" o:title=""/>
                </v:shape>
                <o:OLEObject Type="Embed" ProgID="PBrush" ShapeID="_x0000_i1026" DrawAspect="Content" ObjectID="_1636362078" r:id="rId12"/>
              </w:object>
            </w:r>
          </w:p>
          <w:p w14:paraId="2EA89729" w14:textId="77777777" w:rsidR="00087B9D" w:rsidRDefault="00087B9D" w:rsidP="00FC1F06">
            <w:pPr>
              <w:jc w:val="center"/>
            </w:pPr>
            <w:r>
              <w:rPr>
                <w:noProof/>
              </w:rPr>
              <w:object w:dxaOrig="1155" w:dyaOrig="375" w14:anchorId="1F55B742">
                <v:shape id="_x0000_i1027" type="#_x0000_t75" alt="" style="width:57.75pt;height:18pt;mso-width-percent:0;mso-height-percent:0;mso-width-percent:0;mso-height-percent:0" o:ole="">
                  <v:imagedata r:id="rId13" o:title=""/>
                </v:shape>
                <o:OLEObject Type="Embed" ProgID="PBrush" ShapeID="_x0000_i1027" DrawAspect="Content" ObjectID="_1636362079" r:id="rId14"/>
              </w:object>
            </w:r>
          </w:p>
          <w:p w14:paraId="14BBD83D" w14:textId="77777777" w:rsidR="00087B9D" w:rsidRDefault="00087B9D" w:rsidP="00FC1F06">
            <w:pPr>
              <w:jc w:val="center"/>
            </w:pPr>
            <w:r>
              <w:rPr>
                <w:noProof/>
              </w:rPr>
              <w:object w:dxaOrig="1170" w:dyaOrig="405" w14:anchorId="366426FC">
                <v:shape id="_x0000_i1028" type="#_x0000_t75" alt="" style="width:60.75pt;height:18pt;mso-width-percent:0;mso-height-percent:0;mso-width-percent:0;mso-height-percent:0" o:ole="">
                  <v:imagedata r:id="rId15" o:title=""/>
                </v:shape>
                <o:OLEObject Type="Embed" ProgID="PBrush" ShapeID="_x0000_i1028" DrawAspect="Content" ObjectID="_1636362080" r:id="rId16"/>
              </w:object>
            </w:r>
          </w:p>
          <w:p w14:paraId="0563558F" w14:textId="77777777" w:rsidR="00087B9D" w:rsidRDefault="00087B9D" w:rsidP="00FC1F06">
            <w:pPr>
              <w:jc w:val="center"/>
            </w:pPr>
            <w:r>
              <w:rPr>
                <w:noProof/>
              </w:rPr>
              <w:object w:dxaOrig="1200" w:dyaOrig="405" w14:anchorId="3B385A61">
                <v:shape id="_x0000_i1029" type="#_x0000_t75" alt="" style="width:60.75pt;height:18pt;mso-width-percent:0;mso-height-percent:0;mso-width-percent:0;mso-height-percent:0" o:ole="">
                  <v:imagedata r:id="rId17" o:title=""/>
                </v:shape>
                <o:OLEObject Type="Embed" ProgID="PBrush" ShapeID="_x0000_i1029" DrawAspect="Content" ObjectID="_1636362081" r:id="rId18"/>
              </w:object>
            </w:r>
          </w:p>
          <w:p w14:paraId="4ED607AB" w14:textId="77777777" w:rsidR="00087B9D" w:rsidRDefault="00087B9D" w:rsidP="00FC1F06">
            <w:pPr>
              <w:jc w:val="center"/>
            </w:pPr>
            <w:r>
              <w:rPr>
                <w:noProof/>
              </w:rPr>
              <w:object w:dxaOrig="1155" w:dyaOrig="345" w14:anchorId="7BF003FE">
                <v:shape id="_x0000_i1030" type="#_x0000_t75" alt="" style="width:57.75pt;height:18pt;mso-width-percent:0;mso-height-percent:0;mso-width-percent:0;mso-height-percent:0" o:ole="">
                  <v:imagedata r:id="rId19" o:title=""/>
                </v:shape>
                <o:OLEObject Type="Embed" ProgID="PBrush" ShapeID="_x0000_i1030" DrawAspect="Content" ObjectID="_1636362082" r:id="rId20"/>
              </w:object>
            </w:r>
          </w:p>
          <w:p w14:paraId="03F11838" w14:textId="77777777" w:rsidR="00087B9D" w:rsidRDefault="00087B9D" w:rsidP="00FC1F06">
            <w:pPr>
              <w:jc w:val="center"/>
              <w:rPr>
                <w:noProof/>
                <w:lang w:val="en-IE" w:eastAsia="en-IE"/>
              </w:rPr>
            </w:pPr>
            <w:r>
              <w:rPr>
                <w:noProof/>
              </w:rPr>
              <w:object w:dxaOrig="1215" w:dyaOrig="360" w14:anchorId="41D60F6D">
                <v:shape id="_x0000_i1031" type="#_x0000_t75" alt="" style="width:61.5pt;height:18pt;mso-width-percent:0;mso-height-percent:0;mso-width-percent:0;mso-height-percent:0" o:ole="">
                  <v:imagedata r:id="rId21" o:title=""/>
                </v:shape>
                <o:OLEObject Type="Embed" ProgID="PBrush" ShapeID="_x0000_i1031" DrawAspect="Content" ObjectID="_1636362083" r:id="rId22"/>
              </w:object>
            </w:r>
          </w:p>
        </w:tc>
      </w:tr>
      <w:tr w:rsidR="00087B9D" w14:paraId="24210885" w14:textId="77777777" w:rsidTr="00FC1F06">
        <w:trPr>
          <w:jc w:val="center"/>
        </w:trPr>
        <w:tc>
          <w:tcPr>
            <w:tcW w:w="9016" w:type="dxa"/>
            <w:gridSpan w:val="2"/>
            <w:tcBorders>
              <w:top w:val="single" w:sz="4" w:space="0" w:color="auto"/>
            </w:tcBorders>
          </w:tcPr>
          <w:p w14:paraId="14F55DED" w14:textId="77777777" w:rsidR="00087B9D" w:rsidRDefault="00087B9D" w:rsidP="00FC1F06">
            <w:pPr>
              <w:jc w:val="both"/>
              <w:rPr>
                <w:rFonts w:cstheme="minorHAnsi"/>
              </w:rPr>
            </w:pPr>
            <w:r>
              <w:rPr>
                <w:rFonts w:cstheme="minorHAnsi"/>
              </w:rPr>
              <w:t xml:space="preserve">Source: </w:t>
            </w:r>
            <w:hyperlink r:id="rId23" w:history="1">
              <w:r w:rsidRPr="00DD7B12">
                <w:rPr>
                  <w:rStyle w:val="Hyperlink"/>
                  <w:rFonts w:cstheme="minorHAnsi"/>
                </w:rPr>
                <w:t>www.seai.ie</w:t>
              </w:r>
            </w:hyperlink>
          </w:p>
        </w:tc>
      </w:tr>
    </w:tbl>
    <w:p w14:paraId="22508B5E" w14:textId="77777777" w:rsidR="00087B9D" w:rsidRDefault="00087B9D" w:rsidP="00087B9D">
      <w:pPr>
        <w:shd w:val="clear" w:color="auto" w:fill="FFFFFF"/>
        <w:jc w:val="both"/>
        <w:rPr>
          <w:rFonts w:cstheme="minorHAnsi"/>
        </w:rPr>
      </w:pPr>
    </w:p>
    <w:p w14:paraId="48FA18D3" w14:textId="77AFC6E4" w:rsidR="00087B9D" w:rsidRDefault="00087B9D" w:rsidP="00087B9D">
      <w:pPr>
        <w:shd w:val="clear" w:color="auto" w:fill="FFFFFF"/>
        <w:jc w:val="both"/>
        <w:rPr>
          <w:rFonts w:cstheme="minorHAnsi"/>
          <w:sz w:val="24"/>
          <w:szCs w:val="24"/>
        </w:rPr>
      </w:pPr>
      <w:r w:rsidRPr="00B8771C">
        <w:rPr>
          <w:rFonts w:cstheme="minorHAnsi"/>
          <w:sz w:val="24"/>
          <w:szCs w:val="24"/>
        </w:rPr>
        <w:lastRenderedPageBreak/>
        <w:t>The monetary label is created using three components: the property size (from advertisements), the energy consumption per year (kWh/m</w:t>
      </w:r>
      <w:r w:rsidRPr="00B8771C">
        <w:rPr>
          <w:rFonts w:cstheme="minorHAnsi"/>
          <w:sz w:val="24"/>
          <w:szCs w:val="24"/>
          <w:vertAlign w:val="superscript"/>
        </w:rPr>
        <w:t>2</w:t>
      </w:r>
      <w:r w:rsidRPr="00B8771C">
        <w:rPr>
          <w:rFonts w:cstheme="minorHAnsi"/>
          <w:sz w:val="24"/>
          <w:szCs w:val="24"/>
        </w:rPr>
        <w:t>/annum from the BER) and the price of energy (from Sustainable Energy Authority of Ireland (</w:t>
      </w:r>
      <w:proofErr w:type="spellStart"/>
      <w:r w:rsidRPr="00B8771C">
        <w:rPr>
          <w:rFonts w:cstheme="minorHAnsi"/>
          <w:sz w:val="24"/>
          <w:szCs w:val="24"/>
        </w:rPr>
        <w:t>SEAI</w:t>
      </w:r>
      <w:proofErr w:type="spellEnd"/>
      <w:r w:rsidRPr="00B8771C">
        <w:rPr>
          <w:rFonts w:cstheme="minorHAnsi"/>
          <w:sz w:val="24"/>
          <w:szCs w:val="24"/>
        </w:rPr>
        <w:t xml:space="preserve">) monthly energy price tables). This follows the </w:t>
      </w:r>
      <w:proofErr w:type="spellStart"/>
      <w:r w:rsidRPr="00B8771C">
        <w:rPr>
          <w:rFonts w:cstheme="minorHAnsi"/>
          <w:sz w:val="24"/>
          <w:szCs w:val="24"/>
        </w:rPr>
        <w:t>SEAI’s</w:t>
      </w:r>
      <w:proofErr w:type="spellEnd"/>
      <w:r w:rsidRPr="00B8771C">
        <w:rPr>
          <w:rFonts w:cstheme="minorHAnsi"/>
          <w:sz w:val="24"/>
          <w:szCs w:val="24"/>
        </w:rPr>
        <w:t xml:space="preserve"> online energy cost tool “</w:t>
      </w:r>
      <w:r w:rsidRPr="00B8771C">
        <w:rPr>
          <w:rFonts w:cstheme="minorHAnsi"/>
          <w:i/>
          <w:sz w:val="24"/>
          <w:szCs w:val="24"/>
        </w:rPr>
        <w:t>See what a difference a BER makes!</w:t>
      </w:r>
      <w:r>
        <w:rPr>
          <w:rFonts w:cstheme="minorHAnsi"/>
          <w:sz w:val="24"/>
          <w:szCs w:val="24"/>
        </w:rPr>
        <w:t>” (</w:t>
      </w:r>
      <w:proofErr w:type="gramStart"/>
      <w:r>
        <w:rPr>
          <w:rFonts w:cstheme="minorHAnsi"/>
          <w:sz w:val="24"/>
          <w:szCs w:val="24"/>
        </w:rPr>
        <w:t>see</w:t>
      </w:r>
      <w:proofErr w:type="gramEnd"/>
      <w:r>
        <w:rPr>
          <w:rFonts w:cstheme="minorHAnsi"/>
          <w:sz w:val="24"/>
          <w:szCs w:val="24"/>
        </w:rPr>
        <w:t xml:space="preserve"> Figure </w:t>
      </w:r>
      <w:r w:rsidRPr="00B8771C">
        <w:rPr>
          <w:rFonts w:cstheme="minorHAnsi"/>
          <w:sz w:val="24"/>
          <w:szCs w:val="24"/>
        </w:rPr>
        <w:t>2). We provide an example o</w:t>
      </w:r>
      <w:r>
        <w:rPr>
          <w:rFonts w:cstheme="minorHAnsi"/>
          <w:sz w:val="24"/>
          <w:szCs w:val="24"/>
        </w:rPr>
        <w:t>f our calculations in Table 1.</w:t>
      </w:r>
    </w:p>
    <w:p w14:paraId="2D6E03C1" w14:textId="77777777" w:rsidR="002216D8" w:rsidRDefault="002216D8" w:rsidP="00087B9D">
      <w:pPr>
        <w:shd w:val="clear" w:color="auto" w:fill="FFFFFF"/>
        <w:jc w:val="both"/>
        <w:rPr>
          <w:rFonts w:cstheme="minorHAnsi"/>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06"/>
      </w:tblGrid>
      <w:tr w:rsidR="00087B9D" w14:paraId="6A7A16F9" w14:textId="77777777" w:rsidTr="00FC1F06">
        <w:trPr>
          <w:jc w:val="center"/>
        </w:trPr>
        <w:tc>
          <w:tcPr>
            <w:tcW w:w="8406" w:type="dxa"/>
            <w:tcBorders>
              <w:bottom w:val="single" w:sz="4" w:space="0" w:color="auto"/>
            </w:tcBorders>
          </w:tcPr>
          <w:p w14:paraId="3D97252D" w14:textId="77777777" w:rsidR="00087B9D" w:rsidRPr="00B8771C" w:rsidRDefault="00087B9D" w:rsidP="00FC1F06">
            <w:pPr>
              <w:shd w:val="clear" w:color="auto" w:fill="FFFFFF"/>
              <w:jc w:val="center"/>
              <w:rPr>
                <w:rFonts w:cstheme="minorHAnsi"/>
                <w:b/>
              </w:rPr>
            </w:pPr>
            <w:r w:rsidRPr="00B8771C">
              <w:rPr>
                <w:rFonts w:cstheme="minorHAnsi"/>
                <w:b/>
              </w:rPr>
              <w:t xml:space="preserve">Figure 2: </w:t>
            </w:r>
            <w:proofErr w:type="spellStart"/>
            <w:r w:rsidRPr="00B8771C">
              <w:rPr>
                <w:rFonts w:cstheme="minorHAnsi"/>
                <w:b/>
              </w:rPr>
              <w:t>SEAI</w:t>
            </w:r>
            <w:proofErr w:type="spellEnd"/>
            <w:r w:rsidRPr="00B8771C">
              <w:rPr>
                <w:rFonts w:cstheme="minorHAnsi"/>
                <w:b/>
              </w:rPr>
              <w:t xml:space="preserve"> Online Energy Cost Calculator (Screenshot)</w:t>
            </w:r>
          </w:p>
        </w:tc>
      </w:tr>
      <w:tr w:rsidR="00087B9D" w14:paraId="15DA4F72" w14:textId="77777777" w:rsidTr="00FC1F06">
        <w:trPr>
          <w:trHeight w:val="305"/>
          <w:jc w:val="center"/>
        </w:trPr>
        <w:tc>
          <w:tcPr>
            <w:tcW w:w="8406" w:type="dxa"/>
            <w:tcBorders>
              <w:top w:val="single" w:sz="4" w:space="0" w:color="auto"/>
              <w:left w:val="single" w:sz="4" w:space="0" w:color="auto"/>
              <w:right w:val="single" w:sz="4" w:space="0" w:color="auto"/>
            </w:tcBorders>
          </w:tcPr>
          <w:p w14:paraId="68D03050" w14:textId="77777777" w:rsidR="00087B9D" w:rsidRDefault="00087B9D" w:rsidP="00FC1F06">
            <w:pPr>
              <w:jc w:val="center"/>
              <w:rPr>
                <w:rFonts w:cstheme="minorHAnsi"/>
                <w:noProof/>
                <w:lang w:val="en-IE" w:eastAsia="en-IE"/>
              </w:rPr>
            </w:pPr>
          </w:p>
        </w:tc>
      </w:tr>
      <w:tr w:rsidR="00087B9D" w14:paraId="2942EAC8" w14:textId="77777777" w:rsidTr="00FC1F06">
        <w:trPr>
          <w:trHeight w:val="4275"/>
          <w:jc w:val="center"/>
        </w:trPr>
        <w:tc>
          <w:tcPr>
            <w:tcW w:w="8406" w:type="dxa"/>
            <w:tcBorders>
              <w:left w:val="single" w:sz="4" w:space="0" w:color="auto"/>
              <w:bottom w:val="single" w:sz="4" w:space="0" w:color="auto"/>
              <w:right w:val="single" w:sz="4" w:space="0" w:color="auto"/>
            </w:tcBorders>
          </w:tcPr>
          <w:p w14:paraId="73268ED8" w14:textId="77777777" w:rsidR="00087B9D" w:rsidRDefault="00087B9D" w:rsidP="00FC1F06">
            <w:pPr>
              <w:jc w:val="center"/>
              <w:rPr>
                <w:rFonts w:eastAsia="Times New Roman"/>
                <w:i/>
                <w:color w:val="000000"/>
                <w:lang w:val="en-IE" w:eastAsia="en-IE"/>
              </w:rPr>
            </w:pPr>
            <w:r>
              <w:rPr>
                <w:rFonts w:cstheme="minorHAnsi"/>
                <w:noProof/>
                <w:lang w:eastAsia="en-GB"/>
              </w:rPr>
              <w:drawing>
                <wp:inline distT="0" distB="0" distL="0" distR="0" wp14:anchorId="24D01451" wp14:editId="5DA82757">
                  <wp:extent cx="5200633" cy="2406952"/>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19686" cy="2415770"/>
                          </a:xfrm>
                          <a:prstGeom prst="rect">
                            <a:avLst/>
                          </a:prstGeom>
                          <a:noFill/>
                          <a:ln>
                            <a:noFill/>
                          </a:ln>
                        </pic:spPr>
                      </pic:pic>
                    </a:graphicData>
                  </a:graphic>
                </wp:inline>
              </w:drawing>
            </w:r>
          </w:p>
        </w:tc>
      </w:tr>
      <w:tr w:rsidR="00087B9D" w14:paraId="3611EA3A" w14:textId="77777777" w:rsidTr="00FC1F06">
        <w:trPr>
          <w:jc w:val="center"/>
        </w:trPr>
        <w:tc>
          <w:tcPr>
            <w:tcW w:w="8406" w:type="dxa"/>
            <w:tcBorders>
              <w:top w:val="single" w:sz="4" w:space="0" w:color="auto"/>
            </w:tcBorders>
          </w:tcPr>
          <w:p w14:paraId="0735CD4E" w14:textId="77777777" w:rsidR="00087B9D" w:rsidRDefault="00087B9D" w:rsidP="00FC1F06">
            <w:pPr>
              <w:jc w:val="both"/>
              <w:rPr>
                <w:rFonts w:eastAsia="Times New Roman"/>
                <w:i/>
                <w:color w:val="000000"/>
                <w:lang w:val="en-IE" w:eastAsia="en-IE"/>
              </w:rPr>
            </w:pPr>
            <w:r w:rsidRPr="003978D4">
              <w:rPr>
                <w:rFonts w:cstheme="minorHAnsi"/>
                <w:i/>
                <w:sz w:val="18"/>
                <w:szCs w:val="18"/>
              </w:rPr>
              <w:t>Source</w:t>
            </w:r>
            <w:r>
              <w:rPr>
                <w:rFonts w:cstheme="minorHAnsi"/>
                <w:i/>
                <w:sz w:val="18"/>
                <w:szCs w:val="18"/>
              </w:rPr>
              <w:t xml:space="preserve">: </w:t>
            </w:r>
            <w:hyperlink r:id="rId25" w:history="1">
              <w:r w:rsidRPr="00DD7B12">
                <w:rPr>
                  <w:rStyle w:val="Hyperlink"/>
                  <w:rFonts w:cstheme="minorHAnsi"/>
                  <w:sz w:val="18"/>
                  <w:szCs w:val="18"/>
                </w:rPr>
                <w:t>www.seai.ie</w:t>
              </w:r>
            </w:hyperlink>
          </w:p>
        </w:tc>
      </w:tr>
    </w:tbl>
    <w:p w14:paraId="68537215" w14:textId="77777777" w:rsidR="00087B9D" w:rsidRPr="00B8771C" w:rsidRDefault="00087B9D" w:rsidP="00087B9D">
      <w:pPr>
        <w:shd w:val="clear" w:color="auto" w:fill="FFFFFF"/>
        <w:jc w:val="both"/>
        <w:rPr>
          <w:rFonts w:cstheme="minorHAnsi"/>
          <w:b/>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gridCol w:w="1113"/>
        <w:gridCol w:w="1000"/>
        <w:gridCol w:w="2056"/>
      </w:tblGrid>
      <w:tr w:rsidR="00087B9D" w:rsidRPr="00B8771C" w14:paraId="66D51FF5" w14:textId="77777777" w:rsidTr="00FC1F06">
        <w:trPr>
          <w:trHeight w:val="300"/>
        </w:trPr>
        <w:tc>
          <w:tcPr>
            <w:tcW w:w="9209" w:type="dxa"/>
            <w:gridSpan w:val="4"/>
            <w:tcBorders>
              <w:top w:val="nil"/>
              <w:left w:val="nil"/>
              <w:bottom w:val="single" w:sz="4" w:space="0" w:color="auto"/>
              <w:right w:val="nil"/>
            </w:tcBorders>
            <w:shd w:val="clear" w:color="auto" w:fill="auto"/>
            <w:noWrap/>
            <w:vAlign w:val="bottom"/>
          </w:tcPr>
          <w:p w14:paraId="644C869D" w14:textId="77777777" w:rsidR="00087B9D" w:rsidRPr="00B8771C" w:rsidRDefault="00087B9D" w:rsidP="00FC1F06">
            <w:pPr>
              <w:shd w:val="clear" w:color="auto" w:fill="FFFFFF"/>
              <w:jc w:val="center"/>
              <w:rPr>
                <w:rFonts w:cstheme="minorHAnsi"/>
                <w:b/>
              </w:rPr>
            </w:pPr>
            <w:r w:rsidRPr="00B8771C">
              <w:rPr>
                <w:rFonts w:eastAsia="Times New Roman"/>
                <w:b/>
                <w:color w:val="000000"/>
                <w:lang w:val="en-IE" w:eastAsia="en-IE"/>
              </w:rPr>
              <w:t>Table 1: Energy Cost Calculations for Monetary Label (example) in Daft.ie-TCD Trial</w:t>
            </w:r>
          </w:p>
        </w:tc>
      </w:tr>
      <w:tr w:rsidR="00087B9D" w:rsidRPr="00492CA8" w14:paraId="7EDAD11F" w14:textId="77777777" w:rsidTr="00FC1F06">
        <w:trPr>
          <w:trHeight w:val="300"/>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37DB90" w14:textId="77777777" w:rsidR="00087B9D" w:rsidRPr="00492CA8" w:rsidRDefault="00087B9D" w:rsidP="00FC1F06">
            <w:pPr>
              <w:spacing w:after="0" w:line="240" w:lineRule="auto"/>
              <w:rPr>
                <w:rFonts w:eastAsia="Times New Roman"/>
                <w:b/>
                <w:color w:val="000000"/>
                <w:sz w:val="18"/>
                <w:szCs w:val="18"/>
                <w:lang w:val="en-IE" w:eastAsia="en-IE"/>
              </w:rPr>
            </w:pPr>
            <w:r w:rsidRPr="00492CA8">
              <w:rPr>
                <w:rFonts w:eastAsia="Times New Roman"/>
                <w:b/>
                <w:color w:val="000000"/>
                <w:sz w:val="18"/>
                <w:szCs w:val="18"/>
                <w:lang w:val="en-IE" w:eastAsia="en-IE"/>
              </w:rPr>
              <w:t xml:space="preserve">Description </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EEE9D3" w14:textId="77777777" w:rsidR="00087B9D" w:rsidRPr="00492CA8" w:rsidRDefault="00087B9D" w:rsidP="00FC1F06">
            <w:pPr>
              <w:spacing w:after="0" w:line="240" w:lineRule="auto"/>
              <w:jc w:val="center"/>
              <w:rPr>
                <w:rFonts w:eastAsia="Times New Roman"/>
                <w:b/>
                <w:color w:val="000000"/>
                <w:sz w:val="18"/>
                <w:szCs w:val="18"/>
                <w:lang w:val="en-IE" w:eastAsia="en-IE"/>
              </w:rPr>
            </w:pPr>
            <w:r w:rsidRPr="00492CA8">
              <w:rPr>
                <w:rFonts w:eastAsia="Times New Roman"/>
                <w:b/>
                <w:color w:val="000000"/>
                <w:sz w:val="18"/>
                <w:szCs w:val="18"/>
                <w:lang w:val="en-IE" w:eastAsia="en-IE"/>
              </w:rPr>
              <w:t>Values</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8CF434" w14:textId="77777777" w:rsidR="00087B9D" w:rsidRPr="00492CA8" w:rsidRDefault="00087B9D" w:rsidP="00FC1F06">
            <w:pPr>
              <w:spacing w:after="0" w:line="240" w:lineRule="auto"/>
              <w:jc w:val="center"/>
              <w:rPr>
                <w:rFonts w:eastAsia="Times New Roman"/>
                <w:b/>
                <w:color w:val="000000"/>
                <w:sz w:val="18"/>
                <w:szCs w:val="18"/>
                <w:lang w:val="en-IE" w:eastAsia="en-IE"/>
              </w:rPr>
            </w:pPr>
            <w:r w:rsidRPr="00492CA8">
              <w:rPr>
                <w:rFonts w:eastAsia="Times New Roman"/>
                <w:b/>
                <w:color w:val="000000"/>
                <w:sz w:val="18"/>
                <w:szCs w:val="18"/>
                <w:lang w:val="en-IE" w:eastAsia="en-IE"/>
              </w:rPr>
              <w:t>Code</w:t>
            </w:r>
          </w:p>
        </w:tc>
        <w:tc>
          <w:tcPr>
            <w:tcW w:w="2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8163B5" w14:textId="77777777" w:rsidR="00087B9D" w:rsidRPr="00492CA8" w:rsidRDefault="00087B9D" w:rsidP="00FC1F06">
            <w:pPr>
              <w:spacing w:after="0" w:line="240" w:lineRule="auto"/>
              <w:rPr>
                <w:rFonts w:eastAsia="Times New Roman"/>
                <w:b/>
                <w:color w:val="000000"/>
                <w:sz w:val="18"/>
                <w:szCs w:val="18"/>
                <w:lang w:val="en-IE" w:eastAsia="en-IE"/>
              </w:rPr>
            </w:pPr>
            <w:r w:rsidRPr="00492CA8">
              <w:rPr>
                <w:rFonts w:eastAsia="Times New Roman"/>
                <w:b/>
                <w:color w:val="000000"/>
                <w:sz w:val="18"/>
                <w:szCs w:val="18"/>
                <w:lang w:val="en-IE" w:eastAsia="en-IE"/>
              </w:rPr>
              <w:t xml:space="preserve">Formula </w:t>
            </w:r>
          </w:p>
        </w:tc>
      </w:tr>
      <w:tr w:rsidR="00087B9D" w:rsidRPr="00492CA8" w14:paraId="6A2ECC3E" w14:textId="77777777" w:rsidTr="00FC1F06">
        <w:trPr>
          <w:trHeight w:val="300"/>
        </w:trPr>
        <w:tc>
          <w:tcPr>
            <w:tcW w:w="5040" w:type="dxa"/>
            <w:tcBorders>
              <w:top w:val="single" w:sz="4" w:space="0" w:color="auto"/>
              <w:left w:val="single" w:sz="4" w:space="0" w:color="auto"/>
              <w:bottom w:val="nil"/>
              <w:right w:val="single" w:sz="4" w:space="0" w:color="auto"/>
            </w:tcBorders>
            <w:shd w:val="clear" w:color="auto" w:fill="auto"/>
            <w:noWrap/>
            <w:vAlign w:val="bottom"/>
            <w:hideMark/>
          </w:tcPr>
          <w:p w14:paraId="2B957F36" w14:textId="77777777" w:rsidR="00087B9D" w:rsidRPr="00AA47B7" w:rsidRDefault="00087B9D" w:rsidP="00FC1F06">
            <w:pPr>
              <w:spacing w:after="0" w:line="240" w:lineRule="auto"/>
              <w:rPr>
                <w:rFonts w:eastAsia="Times New Roman"/>
                <w:bCs/>
                <w:color w:val="000000"/>
                <w:sz w:val="20"/>
                <w:szCs w:val="20"/>
                <w:lang w:val="en-IE" w:eastAsia="en-IE"/>
              </w:rPr>
            </w:pPr>
            <w:r w:rsidRPr="00AA47B7">
              <w:rPr>
                <w:rFonts w:eastAsia="Times New Roman"/>
                <w:bCs/>
                <w:color w:val="000000"/>
                <w:sz w:val="20"/>
                <w:szCs w:val="20"/>
                <w:lang w:val="en-IE" w:eastAsia="en-IE"/>
              </w:rPr>
              <w:t>BER (kWh/m</w:t>
            </w:r>
            <w:r w:rsidRPr="00121F90">
              <w:rPr>
                <w:rFonts w:eastAsia="Times New Roman"/>
                <w:bCs/>
                <w:color w:val="000000"/>
                <w:sz w:val="20"/>
                <w:szCs w:val="20"/>
                <w:vertAlign w:val="superscript"/>
                <w:lang w:val="en-IE" w:eastAsia="en-IE"/>
              </w:rPr>
              <w:t>2</w:t>
            </w:r>
            <w:r w:rsidRPr="00AA47B7">
              <w:rPr>
                <w:rFonts w:eastAsia="Times New Roman"/>
                <w:bCs/>
                <w:color w:val="000000"/>
                <w:sz w:val="20"/>
                <w:szCs w:val="20"/>
                <w:lang w:val="en-IE" w:eastAsia="en-IE"/>
              </w:rPr>
              <w:t>/yr.)</w:t>
            </w:r>
          </w:p>
        </w:tc>
        <w:tc>
          <w:tcPr>
            <w:tcW w:w="1113" w:type="dxa"/>
            <w:tcBorders>
              <w:top w:val="single" w:sz="4" w:space="0" w:color="auto"/>
              <w:left w:val="single" w:sz="4" w:space="0" w:color="auto"/>
              <w:bottom w:val="nil"/>
              <w:right w:val="single" w:sz="4" w:space="0" w:color="auto"/>
            </w:tcBorders>
            <w:shd w:val="clear" w:color="auto" w:fill="auto"/>
            <w:noWrap/>
            <w:vAlign w:val="bottom"/>
            <w:hideMark/>
          </w:tcPr>
          <w:p w14:paraId="213DFDAE" w14:textId="77777777" w:rsidR="00087B9D" w:rsidRPr="00AA47B7" w:rsidRDefault="00087B9D" w:rsidP="00FC1F06">
            <w:pPr>
              <w:spacing w:after="0" w:line="240" w:lineRule="auto"/>
              <w:jc w:val="center"/>
              <w:rPr>
                <w:rFonts w:eastAsia="Times New Roman"/>
                <w:bCs/>
                <w:color w:val="000000"/>
                <w:sz w:val="20"/>
                <w:szCs w:val="20"/>
                <w:lang w:val="en-IE" w:eastAsia="en-IE"/>
              </w:rPr>
            </w:pPr>
            <w:r w:rsidRPr="00AA47B7">
              <w:rPr>
                <w:rFonts w:eastAsia="Times New Roman"/>
                <w:bCs/>
                <w:color w:val="000000"/>
                <w:sz w:val="20"/>
                <w:szCs w:val="20"/>
                <w:lang w:val="en-IE" w:eastAsia="en-IE"/>
              </w:rPr>
              <w:t>350</w:t>
            </w:r>
          </w:p>
        </w:tc>
        <w:tc>
          <w:tcPr>
            <w:tcW w:w="1000" w:type="dxa"/>
            <w:tcBorders>
              <w:top w:val="single" w:sz="4" w:space="0" w:color="auto"/>
              <w:left w:val="single" w:sz="4" w:space="0" w:color="auto"/>
              <w:bottom w:val="nil"/>
              <w:right w:val="single" w:sz="4" w:space="0" w:color="auto"/>
            </w:tcBorders>
            <w:shd w:val="clear" w:color="auto" w:fill="auto"/>
            <w:noWrap/>
            <w:vAlign w:val="bottom"/>
            <w:hideMark/>
          </w:tcPr>
          <w:p w14:paraId="6239C57D" w14:textId="77777777" w:rsidR="00087B9D" w:rsidRPr="00AA47B7" w:rsidRDefault="00087B9D" w:rsidP="00FC1F06">
            <w:pPr>
              <w:spacing w:after="0" w:line="240" w:lineRule="auto"/>
              <w:jc w:val="center"/>
              <w:rPr>
                <w:rFonts w:eastAsia="Times New Roman"/>
                <w:color w:val="000000"/>
                <w:sz w:val="20"/>
                <w:szCs w:val="20"/>
                <w:lang w:val="en-IE" w:eastAsia="en-IE"/>
              </w:rPr>
            </w:pPr>
            <w:r>
              <w:rPr>
                <w:rFonts w:eastAsia="Times New Roman"/>
                <w:color w:val="000000"/>
                <w:sz w:val="20"/>
                <w:szCs w:val="20"/>
                <w:lang w:val="en-IE" w:eastAsia="en-IE"/>
              </w:rPr>
              <w:t>a</w:t>
            </w:r>
          </w:p>
        </w:tc>
        <w:tc>
          <w:tcPr>
            <w:tcW w:w="2056" w:type="dxa"/>
            <w:tcBorders>
              <w:top w:val="single" w:sz="4" w:space="0" w:color="auto"/>
              <w:left w:val="single" w:sz="4" w:space="0" w:color="auto"/>
              <w:bottom w:val="nil"/>
              <w:right w:val="single" w:sz="4" w:space="0" w:color="auto"/>
            </w:tcBorders>
            <w:shd w:val="clear" w:color="auto" w:fill="auto"/>
            <w:noWrap/>
            <w:vAlign w:val="bottom"/>
            <w:hideMark/>
          </w:tcPr>
          <w:p w14:paraId="5D5A3EF9" w14:textId="77777777" w:rsidR="00087B9D" w:rsidRPr="00AA47B7" w:rsidRDefault="00087B9D" w:rsidP="00FC1F06">
            <w:pPr>
              <w:spacing w:after="0" w:line="240" w:lineRule="auto"/>
              <w:jc w:val="center"/>
              <w:rPr>
                <w:rFonts w:eastAsia="Times New Roman"/>
                <w:color w:val="000000"/>
                <w:sz w:val="20"/>
                <w:szCs w:val="20"/>
                <w:lang w:val="en-IE" w:eastAsia="en-IE"/>
              </w:rPr>
            </w:pPr>
          </w:p>
        </w:tc>
      </w:tr>
      <w:tr w:rsidR="00087B9D" w:rsidRPr="00492CA8" w14:paraId="10B47778" w14:textId="77777777" w:rsidTr="00FC1F06">
        <w:trPr>
          <w:trHeight w:val="300"/>
        </w:trPr>
        <w:tc>
          <w:tcPr>
            <w:tcW w:w="5040" w:type="dxa"/>
            <w:tcBorders>
              <w:top w:val="nil"/>
              <w:left w:val="single" w:sz="4" w:space="0" w:color="auto"/>
              <w:bottom w:val="nil"/>
              <w:right w:val="single" w:sz="4" w:space="0" w:color="auto"/>
            </w:tcBorders>
            <w:shd w:val="clear" w:color="auto" w:fill="auto"/>
            <w:noWrap/>
            <w:vAlign w:val="bottom"/>
            <w:hideMark/>
          </w:tcPr>
          <w:p w14:paraId="205E550C" w14:textId="77777777" w:rsidR="00087B9D" w:rsidRPr="00AA47B7" w:rsidRDefault="00087B9D" w:rsidP="00FC1F06">
            <w:pPr>
              <w:spacing w:after="0" w:line="240" w:lineRule="auto"/>
              <w:rPr>
                <w:rFonts w:eastAsia="Times New Roman"/>
                <w:bCs/>
                <w:color w:val="000000"/>
                <w:sz w:val="20"/>
                <w:szCs w:val="20"/>
                <w:lang w:val="en-IE" w:eastAsia="en-IE"/>
              </w:rPr>
            </w:pPr>
            <w:r w:rsidRPr="00AA47B7">
              <w:rPr>
                <w:rFonts w:eastAsia="Times New Roman"/>
                <w:bCs/>
                <w:color w:val="000000"/>
                <w:sz w:val="20"/>
                <w:szCs w:val="20"/>
                <w:lang w:val="en-IE" w:eastAsia="en-IE"/>
              </w:rPr>
              <w:t>Size (m</w:t>
            </w:r>
            <w:r w:rsidRPr="00121F90">
              <w:rPr>
                <w:rFonts w:eastAsia="Times New Roman"/>
                <w:bCs/>
                <w:color w:val="000000"/>
                <w:sz w:val="20"/>
                <w:szCs w:val="20"/>
                <w:vertAlign w:val="superscript"/>
                <w:lang w:val="en-IE" w:eastAsia="en-IE"/>
              </w:rPr>
              <w:t>2</w:t>
            </w:r>
            <w:r w:rsidRPr="00AA47B7">
              <w:rPr>
                <w:rFonts w:eastAsia="Times New Roman"/>
                <w:bCs/>
                <w:color w:val="000000"/>
                <w:sz w:val="20"/>
                <w:szCs w:val="20"/>
                <w:lang w:val="en-IE" w:eastAsia="en-IE"/>
              </w:rPr>
              <w:t>)</w:t>
            </w:r>
          </w:p>
        </w:tc>
        <w:tc>
          <w:tcPr>
            <w:tcW w:w="1113" w:type="dxa"/>
            <w:tcBorders>
              <w:top w:val="nil"/>
              <w:left w:val="single" w:sz="4" w:space="0" w:color="auto"/>
              <w:bottom w:val="nil"/>
              <w:right w:val="single" w:sz="4" w:space="0" w:color="auto"/>
            </w:tcBorders>
            <w:shd w:val="clear" w:color="auto" w:fill="auto"/>
            <w:noWrap/>
            <w:vAlign w:val="bottom"/>
            <w:hideMark/>
          </w:tcPr>
          <w:p w14:paraId="5DF15DC3" w14:textId="77777777" w:rsidR="00087B9D" w:rsidRPr="00AA47B7" w:rsidRDefault="00087B9D" w:rsidP="00FC1F06">
            <w:pPr>
              <w:spacing w:after="0" w:line="240" w:lineRule="auto"/>
              <w:jc w:val="center"/>
              <w:rPr>
                <w:rFonts w:eastAsia="Times New Roman"/>
                <w:bCs/>
                <w:color w:val="000000"/>
                <w:sz w:val="20"/>
                <w:szCs w:val="20"/>
                <w:lang w:val="en-IE" w:eastAsia="en-IE"/>
              </w:rPr>
            </w:pPr>
            <w:r w:rsidRPr="00AA47B7">
              <w:rPr>
                <w:rFonts w:eastAsia="Times New Roman"/>
                <w:bCs/>
                <w:color w:val="000000"/>
                <w:sz w:val="20"/>
                <w:szCs w:val="20"/>
                <w:lang w:val="en-IE" w:eastAsia="en-IE"/>
              </w:rPr>
              <w:t>100</w:t>
            </w:r>
          </w:p>
        </w:tc>
        <w:tc>
          <w:tcPr>
            <w:tcW w:w="1000" w:type="dxa"/>
            <w:tcBorders>
              <w:top w:val="nil"/>
              <w:left w:val="single" w:sz="4" w:space="0" w:color="auto"/>
              <w:bottom w:val="nil"/>
              <w:right w:val="single" w:sz="4" w:space="0" w:color="auto"/>
            </w:tcBorders>
            <w:shd w:val="clear" w:color="auto" w:fill="auto"/>
            <w:noWrap/>
            <w:vAlign w:val="bottom"/>
            <w:hideMark/>
          </w:tcPr>
          <w:p w14:paraId="0FA6E8B8" w14:textId="77777777" w:rsidR="00087B9D" w:rsidRPr="00AA47B7" w:rsidRDefault="00087B9D" w:rsidP="00FC1F06">
            <w:pPr>
              <w:spacing w:after="0" w:line="240" w:lineRule="auto"/>
              <w:jc w:val="center"/>
              <w:rPr>
                <w:rFonts w:eastAsia="Times New Roman"/>
                <w:color w:val="000000"/>
                <w:sz w:val="20"/>
                <w:szCs w:val="20"/>
                <w:lang w:val="en-IE" w:eastAsia="en-IE"/>
              </w:rPr>
            </w:pPr>
            <w:r>
              <w:rPr>
                <w:rFonts w:eastAsia="Times New Roman"/>
                <w:color w:val="000000"/>
                <w:sz w:val="20"/>
                <w:szCs w:val="20"/>
                <w:lang w:val="en-IE" w:eastAsia="en-IE"/>
              </w:rPr>
              <w:t>b</w:t>
            </w:r>
          </w:p>
        </w:tc>
        <w:tc>
          <w:tcPr>
            <w:tcW w:w="2056" w:type="dxa"/>
            <w:tcBorders>
              <w:top w:val="nil"/>
              <w:left w:val="single" w:sz="4" w:space="0" w:color="auto"/>
              <w:bottom w:val="nil"/>
              <w:right w:val="single" w:sz="4" w:space="0" w:color="auto"/>
            </w:tcBorders>
            <w:shd w:val="clear" w:color="auto" w:fill="auto"/>
            <w:noWrap/>
            <w:vAlign w:val="bottom"/>
            <w:hideMark/>
          </w:tcPr>
          <w:p w14:paraId="113A9D62" w14:textId="77777777" w:rsidR="00087B9D" w:rsidRPr="00AA47B7" w:rsidRDefault="00087B9D" w:rsidP="00FC1F06">
            <w:pPr>
              <w:spacing w:after="0" w:line="240" w:lineRule="auto"/>
              <w:jc w:val="center"/>
              <w:rPr>
                <w:rFonts w:eastAsia="Times New Roman"/>
                <w:color w:val="000000"/>
                <w:sz w:val="20"/>
                <w:szCs w:val="20"/>
                <w:lang w:val="en-IE" w:eastAsia="en-IE"/>
              </w:rPr>
            </w:pPr>
          </w:p>
        </w:tc>
      </w:tr>
      <w:tr w:rsidR="00087B9D" w:rsidRPr="00492CA8" w14:paraId="4858D731" w14:textId="77777777" w:rsidTr="00FC1F06">
        <w:trPr>
          <w:trHeight w:val="300"/>
        </w:trPr>
        <w:tc>
          <w:tcPr>
            <w:tcW w:w="5040" w:type="dxa"/>
            <w:tcBorders>
              <w:top w:val="nil"/>
              <w:left w:val="single" w:sz="4" w:space="0" w:color="auto"/>
              <w:bottom w:val="nil"/>
              <w:right w:val="single" w:sz="4" w:space="0" w:color="auto"/>
            </w:tcBorders>
            <w:shd w:val="clear" w:color="auto" w:fill="auto"/>
            <w:noWrap/>
            <w:vAlign w:val="bottom"/>
            <w:hideMark/>
          </w:tcPr>
          <w:p w14:paraId="7657F947" w14:textId="77777777" w:rsidR="00087B9D" w:rsidRPr="00AA47B7" w:rsidRDefault="00087B9D" w:rsidP="00FC1F06">
            <w:pPr>
              <w:spacing w:after="0" w:line="240" w:lineRule="auto"/>
              <w:rPr>
                <w:rFonts w:eastAsia="Times New Roman"/>
                <w:color w:val="000000"/>
                <w:sz w:val="20"/>
                <w:szCs w:val="20"/>
                <w:lang w:val="en-IE" w:eastAsia="en-IE"/>
              </w:rPr>
            </w:pPr>
            <w:r w:rsidRPr="00AA47B7">
              <w:rPr>
                <w:rFonts w:eastAsia="Times New Roman"/>
                <w:color w:val="000000"/>
                <w:sz w:val="20"/>
                <w:szCs w:val="20"/>
                <w:lang w:val="en-IE" w:eastAsia="en-IE"/>
              </w:rPr>
              <w:t xml:space="preserve">Cost of electricity (€) </w:t>
            </w:r>
          </w:p>
        </w:tc>
        <w:tc>
          <w:tcPr>
            <w:tcW w:w="1113" w:type="dxa"/>
            <w:tcBorders>
              <w:top w:val="nil"/>
              <w:left w:val="single" w:sz="4" w:space="0" w:color="auto"/>
              <w:bottom w:val="nil"/>
              <w:right w:val="single" w:sz="4" w:space="0" w:color="auto"/>
            </w:tcBorders>
            <w:shd w:val="clear" w:color="auto" w:fill="auto"/>
            <w:noWrap/>
            <w:vAlign w:val="bottom"/>
            <w:hideMark/>
          </w:tcPr>
          <w:p w14:paraId="28030BF6" w14:textId="77777777" w:rsidR="00087B9D" w:rsidRPr="00AA47B7" w:rsidRDefault="00087B9D" w:rsidP="00FC1F06">
            <w:pPr>
              <w:spacing w:after="0" w:line="240" w:lineRule="auto"/>
              <w:jc w:val="center"/>
              <w:rPr>
                <w:rFonts w:eastAsia="Times New Roman"/>
                <w:color w:val="000000"/>
                <w:sz w:val="20"/>
                <w:szCs w:val="20"/>
                <w:lang w:val="en-IE" w:eastAsia="en-IE"/>
              </w:rPr>
            </w:pPr>
            <w:r w:rsidRPr="00AA47B7">
              <w:rPr>
                <w:rFonts w:eastAsia="Times New Roman"/>
                <w:color w:val="000000"/>
                <w:sz w:val="20"/>
                <w:szCs w:val="20"/>
                <w:lang w:val="en-IE" w:eastAsia="en-IE"/>
              </w:rPr>
              <w:t>0.1992</w:t>
            </w:r>
          </w:p>
        </w:tc>
        <w:tc>
          <w:tcPr>
            <w:tcW w:w="1000" w:type="dxa"/>
            <w:tcBorders>
              <w:top w:val="nil"/>
              <w:left w:val="single" w:sz="4" w:space="0" w:color="auto"/>
              <w:bottom w:val="nil"/>
              <w:right w:val="single" w:sz="4" w:space="0" w:color="auto"/>
            </w:tcBorders>
            <w:shd w:val="clear" w:color="auto" w:fill="auto"/>
            <w:noWrap/>
            <w:vAlign w:val="bottom"/>
            <w:hideMark/>
          </w:tcPr>
          <w:p w14:paraId="17EE96E4" w14:textId="77777777" w:rsidR="00087B9D" w:rsidRPr="00AA47B7" w:rsidRDefault="00087B9D" w:rsidP="00FC1F06">
            <w:pPr>
              <w:spacing w:after="0" w:line="240" w:lineRule="auto"/>
              <w:jc w:val="center"/>
              <w:rPr>
                <w:rFonts w:eastAsia="Times New Roman"/>
                <w:color w:val="000000"/>
                <w:sz w:val="20"/>
                <w:szCs w:val="20"/>
                <w:lang w:val="en-IE" w:eastAsia="en-IE"/>
              </w:rPr>
            </w:pPr>
            <w:r>
              <w:rPr>
                <w:rFonts w:eastAsia="Times New Roman"/>
                <w:color w:val="000000"/>
                <w:sz w:val="20"/>
                <w:szCs w:val="20"/>
                <w:lang w:val="en-IE" w:eastAsia="en-IE"/>
              </w:rPr>
              <w:t>c</w:t>
            </w:r>
          </w:p>
        </w:tc>
        <w:tc>
          <w:tcPr>
            <w:tcW w:w="2056" w:type="dxa"/>
            <w:tcBorders>
              <w:top w:val="nil"/>
              <w:left w:val="single" w:sz="4" w:space="0" w:color="auto"/>
              <w:bottom w:val="nil"/>
              <w:right w:val="single" w:sz="4" w:space="0" w:color="auto"/>
            </w:tcBorders>
            <w:shd w:val="clear" w:color="auto" w:fill="auto"/>
            <w:noWrap/>
            <w:vAlign w:val="bottom"/>
            <w:hideMark/>
          </w:tcPr>
          <w:p w14:paraId="371F56FC" w14:textId="77777777" w:rsidR="00087B9D" w:rsidRPr="00AA47B7" w:rsidRDefault="00087B9D" w:rsidP="00FC1F06">
            <w:pPr>
              <w:spacing w:after="0" w:line="240" w:lineRule="auto"/>
              <w:jc w:val="center"/>
              <w:rPr>
                <w:rFonts w:eastAsia="Times New Roman"/>
                <w:color w:val="000000"/>
                <w:sz w:val="20"/>
                <w:szCs w:val="20"/>
                <w:lang w:val="en-IE" w:eastAsia="en-IE"/>
              </w:rPr>
            </w:pPr>
          </w:p>
        </w:tc>
      </w:tr>
      <w:tr w:rsidR="00087B9D" w:rsidRPr="00492CA8" w14:paraId="02A720E6" w14:textId="77777777" w:rsidTr="00FC1F06">
        <w:trPr>
          <w:trHeight w:val="300"/>
        </w:trPr>
        <w:tc>
          <w:tcPr>
            <w:tcW w:w="5040" w:type="dxa"/>
            <w:tcBorders>
              <w:top w:val="nil"/>
              <w:left w:val="single" w:sz="4" w:space="0" w:color="auto"/>
              <w:bottom w:val="nil"/>
              <w:right w:val="single" w:sz="4" w:space="0" w:color="auto"/>
            </w:tcBorders>
            <w:shd w:val="clear" w:color="auto" w:fill="auto"/>
            <w:noWrap/>
            <w:vAlign w:val="bottom"/>
            <w:hideMark/>
          </w:tcPr>
          <w:p w14:paraId="13443DE2" w14:textId="77777777" w:rsidR="00087B9D" w:rsidRPr="00AA47B7" w:rsidRDefault="00087B9D" w:rsidP="00FC1F06">
            <w:pPr>
              <w:spacing w:after="0" w:line="240" w:lineRule="auto"/>
              <w:rPr>
                <w:rFonts w:eastAsia="Times New Roman"/>
                <w:color w:val="000000"/>
                <w:sz w:val="20"/>
                <w:szCs w:val="20"/>
                <w:lang w:val="en-IE" w:eastAsia="en-IE"/>
              </w:rPr>
            </w:pPr>
            <w:r w:rsidRPr="00AA47B7">
              <w:rPr>
                <w:rFonts w:eastAsia="Times New Roman"/>
                <w:color w:val="000000"/>
                <w:sz w:val="20"/>
                <w:szCs w:val="20"/>
                <w:lang w:val="en-IE" w:eastAsia="en-IE"/>
              </w:rPr>
              <w:t>Cost of Gas (€)</w:t>
            </w:r>
          </w:p>
        </w:tc>
        <w:tc>
          <w:tcPr>
            <w:tcW w:w="1113" w:type="dxa"/>
            <w:tcBorders>
              <w:top w:val="nil"/>
              <w:left w:val="single" w:sz="4" w:space="0" w:color="auto"/>
              <w:bottom w:val="nil"/>
              <w:right w:val="single" w:sz="4" w:space="0" w:color="auto"/>
            </w:tcBorders>
            <w:shd w:val="clear" w:color="auto" w:fill="auto"/>
            <w:noWrap/>
            <w:vAlign w:val="bottom"/>
            <w:hideMark/>
          </w:tcPr>
          <w:p w14:paraId="3C06BABA" w14:textId="77777777" w:rsidR="00087B9D" w:rsidRPr="00AA47B7" w:rsidRDefault="00087B9D" w:rsidP="00FC1F06">
            <w:pPr>
              <w:spacing w:after="0" w:line="240" w:lineRule="auto"/>
              <w:jc w:val="center"/>
              <w:rPr>
                <w:rFonts w:eastAsia="Times New Roman"/>
                <w:color w:val="000000"/>
                <w:sz w:val="20"/>
                <w:szCs w:val="20"/>
                <w:lang w:val="en-IE" w:eastAsia="en-IE"/>
              </w:rPr>
            </w:pPr>
            <w:r w:rsidRPr="00AA47B7">
              <w:rPr>
                <w:rFonts w:eastAsia="Times New Roman"/>
                <w:color w:val="000000"/>
                <w:sz w:val="20"/>
                <w:szCs w:val="20"/>
                <w:lang w:val="en-IE" w:eastAsia="en-IE"/>
              </w:rPr>
              <w:t>0.0678</w:t>
            </w:r>
          </w:p>
        </w:tc>
        <w:tc>
          <w:tcPr>
            <w:tcW w:w="1000" w:type="dxa"/>
            <w:tcBorders>
              <w:top w:val="nil"/>
              <w:left w:val="single" w:sz="4" w:space="0" w:color="auto"/>
              <w:bottom w:val="nil"/>
              <w:right w:val="single" w:sz="4" w:space="0" w:color="auto"/>
            </w:tcBorders>
            <w:shd w:val="clear" w:color="auto" w:fill="auto"/>
            <w:noWrap/>
            <w:vAlign w:val="bottom"/>
            <w:hideMark/>
          </w:tcPr>
          <w:p w14:paraId="6936512D" w14:textId="77777777" w:rsidR="00087B9D" w:rsidRPr="00AA47B7" w:rsidRDefault="00087B9D" w:rsidP="00FC1F06">
            <w:pPr>
              <w:spacing w:after="0" w:line="240" w:lineRule="auto"/>
              <w:jc w:val="center"/>
              <w:rPr>
                <w:rFonts w:eastAsia="Times New Roman"/>
                <w:color w:val="000000"/>
                <w:sz w:val="20"/>
                <w:szCs w:val="20"/>
                <w:lang w:val="en-IE" w:eastAsia="en-IE"/>
              </w:rPr>
            </w:pPr>
            <w:r>
              <w:rPr>
                <w:rFonts w:eastAsia="Times New Roman"/>
                <w:color w:val="000000"/>
                <w:sz w:val="20"/>
                <w:szCs w:val="20"/>
                <w:lang w:val="en-IE" w:eastAsia="en-IE"/>
              </w:rPr>
              <w:t>d</w:t>
            </w:r>
          </w:p>
        </w:tc>
        <w:tc>
          <w:tcPr>
            <w:tcW w:w="2056" w:type="dxa"/>
            <w:tcBorders>
              <w:top w:val="nil"/>
              <w:left w:val="single" w:sz="4" w:space="0" w:color="auto"/>
              <w:bottom w:val="nil"/>
              <w:right w:val="single" w:sz="4" w:space="0" w:color="auto"/>
            </w:tcBorders>
            <w:shd w:val="clear" w:color="auto" w:fill="auto"/>
            <w:noWrap/>
            <w:vAlign w:val="bottom"/>
            <w:hideMark/>
          </w:tcPr>
          <w:p w14:paraId="63D522DB" w14:textId="77777777" w:rsidR="00087B9D" w:rsidRPr="00AA47B7" w:rsidRDefault="00087B9D" w:rsidP="00FC1F06">
            <w:pPr>
              <w:spacing w:after="0" w:line="240" w:lineRule="auto"/>
              <w:jc w:val="center"/>
              <w:rPr>
                <w:rFonts w:eastAsia="Times New Roman"/>
                <w:color w:val="000000"/>
                <w:sz w:val="20"/>
                <w:szCs w:val="20"/>
                <w:lang w:val="en-IE" w:eastAsia="en-IE"/>
              </w:rPr>
            </w:pPr>
          </w:p>
        </w:tc>
      </w:tr>
      <w:tr w:rsidR="00087B9D" w:rsidRPr="00492CA8" w14:paraId="1451C389" w14:textId="77777777" w:rsidTr="00FC1F06">
        <w:trPr>
          <w:trHeight w:val="300"/>
        </w:trPr>
        <w:tc>
          <w:tcPr>
            <w:tcW w:w="5040" w:type="dxa"/>
            <w:tcBorders>
              <w:top w:val="nil"/>
              <w:left w:val="single" w:sz="4" w:space="0" w:color="auto"/>
              <w:bottom w:val="nil"/>
              <w:right w:val="single" w:sz="4" w:space="0" w:color="auto"/>
            </w:tcBorders>
            <w:shd w:val="clear" w:color="auto" w:fill="auto"/>
            <w:noWrap/>
            <w:vAlign w:val="bottom"/>
            <w:hideMark/>
          </w:tcPr>
          <w:p w14:paraId="60A5DC43" w14:textId="77777777" w:rsidR="00087B9D" w:rsidRPr="00AA47B7" w:rsidRDefault="00087B9D" w:rsidP="00FC1F06">
            <w:pPr>
              <w:spacing w:after="0" w:line="240" w:lineRule="auto"/>
              <w:rPr>
                <w:rFonts w:eastAsia="Times New Roman"/>
                <w:color w:val="000000"/>
                <w:sz w:val="20"/>
                <w:szCs w:val="20"/>
                <w:lang w:val="en-IE" w:eastAsia="en-IE"/>
              </w:rPr>
            </w:pPr>
            <w:r w:rsidRPr="00AA47B7">
              <w:rPr>
                <w:rFonts w:eastAsia="Times New Roman"/>
                <w:color w:val="000000"/>
                <w:sz w:val="20"/>
                <w:szCs w:val="20"/>
                <w:lang w:val="en-IE" w:eastAsia="en-IE"/>
              </w:rPr>
              <w:t>Cost of Oil (€)</w:t>
            </w:r>
          </w:p>
        </w:tc>
        <w:tc>
          <w:tcPr>
            <w:tcW w:w="1113" w:type="dxa"/>
            <w:tcBorders>
              <w:top w:val="nil"/>
              <w:left w:val="single" w:sz="4" w:space="0" w:color="auto"/>
              <w:bottom w:val="nil"/>
              <w:right w:val="single" w:sz="4" w:space="0" w:color="auto"/>
            </w:tcBorders>
            <w:shd w:val="clear" w:color="auto" w:fill="auto"/>
            <w:noWrap/>
            <w:vAlign w:val="bottom"/>
            <w:hideMark/>
          </w:tcPr>
          <w:p w14:paraId="55FFE5D6" w14:textId="77777777" w:rsidR="00087B9D" w:rsidRPr="00AA47B7" w:rsidRDefault="00087B9D" w:rsidP="00FC1F06">
            <w:pPr>
              <w:spacing w:after="0" w:line="240" w:lineRule="auto"/>
              <w:jc w:val="center"/>
              <w:rPr>
                <w:rFonts w:eastAsia="Times New Roman"/>
                <w:color w:val="000000"/>
                <w:sz w:val="20"/>
                <w:szCs w:val="20"/>
                <w:lang w:val="en-IE" w:eastAsia="en-IE"/>
              </w:rPr>
            </w:pPr>
            <w:r w:rsidRPr="00AA47B7">
              <w:rPr>
                <w:rFonts w:eastAsia="Times New Roman"/>
                <w:color w:val="000000"/>
                <w:sz w:val="20"/>
                <w:szCs w:val="20"/>
                <w:lang w:val="en-IE" w:eastAsia="en-IE"/>
              </w:rPr>
              <w:t>0.0582</w:t>
            </w:r>
          </w:p>
        </w:tc>
        <w:tc>
          <w:tcPr>
            <w:tcW w:w="1000" w:type="dxa"/>
            <w:tcBorders>
              <w:top w:val="nil"/>
              <w:left w:val="single" w:sz="4" w:space="0" w:color="auto"/>
              <w:bottom w:val="nil"/>
              <w:right w:val="single" w:sz="4" w:space="0" w:color="auto"/>
            </w:tcBorders>
            <w:shd w:val="clear" w:color="auto" w:fill="auto"/>
            <w:noWrap/>
            <w:vAlign w:val="bottom"/>
            <w:hideMark/>
          </w:tcPr>
          <w:p w14:paraId="55211802" w14:textId="77777777" w:rsidR="00087B9D" w:rsidRPr="00AA47B7" w:rsidRDefault="00087B9D" w:rsidP="00FC1F06">
            <w:pPr>
              <w:spacing w:after="0" w:line="240" w:lineRule="auto"/>
              <w:jc w:val="center"/>
              <w:rPr>
                <w:rFonts w:eastAsia="Times New Roman"/>
                <w:color w:val="000000"/>
                <w:sz w:val="20"/>
                <w:szCs w:val="20"/>
                <w:lang w:val="en-IE" w:eastAsia="en-IE"/>
              </w:rPr>
            </w:pPr>
            <w:r>
              <w:rPr>
                <w:rFonts w:eastAsia="Times New Roman"/>
                <w:color w:val="000000"/>
                <w:sz w:val="20"/>
                <w:szCs w:val="20"/>
                <w:lang w:val="en-IE" w:eastAsia="en-IE"/>
              </w:rPr>
              <w:t>e</w:t>
            </w:r>
          </w:p>
        </w:tc>
        <w:tc>
          <w:tcPr>
            <w:tcW w:w="2056" w:type="dxa"/>
            <w:tcBorders>
              <w:top w:val="nil"/>
              <w:left w:val="single" w:sz="4" w:space="0" w:color="auto"/>
              <w:bottom w:val="nil"/>
              <w:right w:val="single" w:sz="4" w:space="0" w:color="auto"/>
            </w:tcBorders>
            <w:shd w:val="clear" w:color="auto" w:fill="auto"/>
            <w:noWrap/>
            <w:vAlign w:val="bottom"/>
            <w:hideMark/>
          </w:tcPr>
          <w:p w14:paraId="71A2F9B0" w14:textId="77777777" w:rsidR="00087B9D" w:rsidRPr="00AA47B7" w:rsidRDefault="00087B9D" w:rsidP="00FC1F06">
            <w:pPr>
              <w:spacing w:after="0" w:line="240" w:lineRule="auto"/>
              <w:jc w:val="center"/>
              <w:rPr>
                <w:rFonts w:eastAsia="Times New Roman"/>
                <w:color w:val="000000"/>
                <w:sz w:val="20"/>
                <w:szCs w:val="20"/>
                <w:lang w:val="en-IE" w:eastAsia="en-IE"/>
              </w:rPr>
            </w:pPr>
          </w:p>
        </w:tc>
      </w:tr>
      <w:tr w:rsidR="00087B9D" w:rsidRPr="00492CA8" w14:paraId="523D4C52" w14:textId="77777777" w:rsidTr="00FC1F06">
        <w:trPr>
          <w:trHeight w:val="300"/>
        </w:trPr>
        <w:tc>
          <w:tcPr>
            <w:tcW w:w="5040" w:type="dxa"/>
            <w:tcBorders>
              <w:top w:val="nil"/>
              <w:left w:val="single" w:sz="4" w:space="0" w:color="auto"/>
              <w:bottom w:val="nil"/>
              <w:right w:val="single" w:sz="4" w:space="0" w:color="auto"/>
            </w:tcBorders>
            <w:shd w:val="clear" w:color="auto" w:fill="auto"/>
            <w:noWrap/>
            <w:vAlign w:val="bottom"/>
            <w:hideMark/>
          </w:tcPr>
          <w:p w14:paraId="1FC71625" w14:textId="77777777" w:rsidR="00087B9D" w:rsidRPr="00AA47B7" w:rsidRDefault="00087B9D" w:rsidP="00FC1F06">
            <w:pPr>
              <w:spacing w:after="0" w:line="240" w:lineRule="auto"/>
              <w:rPr>
                <w:rFonts w:eastAsia="Times New Roman"/>
                <w:color w:val="000000"/>
                <w:sz w:val="20"/>
                <w:szCs w:val="20"/>
                <w:lang w:val="en-IE" w:eastAsia="en-IE"/>
              </w:rPr>
            </w:pPr>
            <w:r w:rsidRPr="00AA47B7">
              <w:rPr>
                <w:rFonts w:eastAsia="Times New Roman"/>
                <w:color w:val="000000"/>
                <w:sz w:val="20"/>
                <w:szCs w:val="20"/>
                <w:lang w:val="en-IE" w:eastAsia="en-IE"/>
              </w:rPr>
              <w:t>Energy for light and pumps (kWh/m</w:t>
            </w:r>
            <w:r w:rsidRPr="00121F90">
              <w:rPr>
                <w:rFonts w:eastAsia="Times New Roman"/>
                <w:color w:val="000000"/>
                <w:sz w:val="20"/>
                <w:szCs w:val="20"/>
                <w:vertAlign w:val="superscript"/>
                <w:lang w:val="en-IE" w:eastAsia="en-IE"/>
              </w:rPr>
              <w:t>2</w:t>
            </w:r>
            <w:r w:rsidRPr="00AA47B7">
              <w:rPr>
                <w:rFonts w:eastAsia="Times New Roman"/>
                <w:color w:val="000000"/>
                <w:sz w:val="20"/>
                <w:szCs w:val="20"/>
                <w:lang w:val="en-IE" w:eastAsia="en-IE"/>
              </w:rPr>
              <w:t>/yr.)</w:t>
            </w:r>
          </w:p>
        </w:tc>
        <w:tc>
          <w:tcPr>
            <w:tcW w:w="1113" w:type="dxa"/>
            <w:tcBorders>
              <w:top w:val="nil"/>
              <w:left w:val="single" w:sz="4" w:space="0" w:color="auto"/>
              <w:bottom w:val="nil"/>
              <w:right w:val="single" w:sz="4" w:space="0" w:color="auto"/>
            </w:tcBorders>
            <w:shd w:val="clear" w:color="auto" w:fill="auto"/>
            <w:noWrap/>
            <w:vAlign w:val="bottom"/>
            <w:hideMark/>
          </w:tcPr>
          <w:p w14:paraId="33A945D6" w14:textId="77777777" w:rsidR="00087B9D" w:rsidRPr="00AA47B7" w:rsidRDefault="00087B9D" w:rsidP="00FC1F06">
            <w:pPr>
              <w:spacing w:after="0" w:line="240" w:lineRule="auto"/>
              <w:jc w:val="center"/>
              <w:rPr>
                <w:rFonts w:eastAsia="Times New Roman"/>
                <w:color w:val="000000"/>
                <w:sz w:val="20"/>
                <w:szCs w:val="20"/>
                <w:lang w:val="en-IE" w:eastAsia="en-IE"/>
              </w:rPr>
            </w:pPr>
            <w:r w:rsidRPr="00AA47B7">
              <w:rPr>
                <w:rFonts w:eastAsia="Times New Roman"/>
                <w:color w:val="000000"/>
                <w:sz w:val="20"/>
                <w:szCs w:val="20"/>
                <w:lang w:val="en-IE" w:eastAsia="en-IE"/>
              </w:rPr>
              <w:t>20</w:t>
            </w:r>
          </w:p>
        </w:tc>
        <w:tc>
          <w:tcPr>
            <w:tcW w:w="1000" w:type="dxa"/>
            <w:tcBorders>
              <w:top w:val="nil"/>
              <w:left w:val="single" w:sz="4" w:space="0" w:color="auto"/>
              <w:bottom w:val="nil"/>
              <w:right w:val="single" w:sz="4" w:space="0" w:color="auto"/>
            </w:tcBorders>
            <w:shd w:val="clear" w:color="auto" w:fill="auto"/>
            <w:noWrap/>
            <w:vAlign w:val="bottom"/>
            <w:hideMark/>
          </w:tcPr>
          <w:p w14:paraId="7FE8E5A6" w14:textId="77777777" w:rsidR="00087B9D" w:rsidRPr="00AA47B7" w:rsidRDefault="00087B9D" w:rsidP="00FC1F06">
            <w:pPr>
              <w:spacing w:after="0" w:line="240" w:lineRule="auto"/>
              <w:jc w:val="center"/>
              <w:rPr>
                <w:rFonts w:eastAsia="Times New Roman"/>
                <w:color w:val="000000"/>
                <w:sz w:val="20"/>
                <w:szCs w:val="20"/>
                <w:lang w:val="en-IE" w:eastAsia="en-IE"/>
              </w:rPr>
            </w:pPr>
            <w:r>
              <w:rPr>
                <w:rFonts w:eastAsia="Times New Roman"/>
                <w:color w:val="000000"/>
                <w:sz w:val="20"/>
                <w:szCs w:val="20"/>
                <w:lang w:val="en-IE" w:eastAsia="en-IE"/>
              </w:rPr>
              <w:t>f</w:t>
            </w:r>
          </w:p>
        </w:tc>
        <w:tc>
          <w:tcPr>
            <w:tcW w:w="2056" w:type="dxa"/>
            <w:tcBorders>
              <w:top w:val="nil"/>
              <w:left w:val="single" w:sz="4" w:space="0" w:color="auto"/>
              <w:bottom w:val="nil"/>
              <w:right w:val="single" w:sz="4" w:space="0" w:color="auto"/>
            </w:tcBorders>
            <w:shd w:val="clear" w:color="auto" w:fill="auto"/>
            <w:noWrap/>
            <w:vAlign w:val="bottom"/>
            <w:hideMark/>
          </w:tcPr>
          <w:p w14:paraId="24BF1960" w14:textId="77777777" w:rsidR="00087B9D" w:rsidRPr="00AA47B7" w:rsidRDefault="00087B9D" w:rsidP="00FC1F06">
            <w:pPr>
              <w:spacing w:after="0" w:line="240" w:lineRule="auto"/>
              <w:jc w:val="center"/>
              <w:rPr>
                <w:rFonts w:eastAsia="Times New Roman"/>
                <w:color w:val="000000"/>
                <w:sz w:val="20"/>
                <w:szCs w:val="20"/>
                <w:lang w:val="en-IE" w:eastAsia="en-IE"/>
              </w:rPr>
            </w:pPr>
          </w:p>
        </w:tc>
      </w:tr>
      <w:tr w:rsidR="00087B9D" w:rsidRPr="00492CA8" w14:paraId="2CC22E29" w14:textId="77777777" w:rsidTr="00FC1F06">
        <w:trPr>
          <w:trHeight w:val="300"/>
        </w:trPr>
        <w:tc>
          <w:tcPr>
            <w:tcW w:w="5040" w:type="dxa"/>
            <w:tcBorders>
              <w:top w:val="nil"/>
              <w:left w:val="single" w:sz="4" w:space="0" w:color="auto"/>
              <w:bottom w:val="nil"/>
              <w:right w:val="single" w:sz="4" w:space="0" w:color="auto"/>
            </w:tcBorders>
            <w:shd w:val="clear" w:color="auto" w:fill="auto"/>
            <w:noWrap/>
            <w:vAlign w:val="bottom"/>
            <w:hideMark/>
          </w:tcPr>
          <w:p w14:paraId="14A5B477" w14:textId="77777777" w:rsidR="00087B9D" w:rsidRPr="00AA47B7" w:rsidRDefault="00087B9D" w:rsidP="00FC1F06">
            <w:pPr>
              <w:spacing w:after="0" w:line="240" w:lineRule="auto"/>
              <w:rPr>
                <w:rFonts w:eastAsia="Times New Roman"/>
                <w:color w:val="000000"/>
                <w:sz w:val="20"/>
                <w:szCs w:val="20"/>
                <w:lang w:val="en-IE" w:eastAsia="en-IE"/>
              </w:rPr>
            </w:pPr>
            <w:r w:rsidRPr="00AA47B7">
              <w:rPr>
                <w:rFonts w:eastAsia="Times New Roman"/>
                <w:color w:val="000000"/>
                <w:sz w:val="20"/>
                <w:szCs w:val="20"/>
                <w:lang w:val="en-IE" w:eastAsia="en-IE"/>
              </w:rPr>
              <w:t>Delivered energy for lights and pumps (kWh/m</w:t>
            </w:r>
            <w:r w:rsidRPr="00121F90">
              <w:rPr>
                <w:rFonts w:eastAsia="Times New Roman"/>
                <w:color w:val="000000"/>
                <w:sz w:val="20"/>
                <w:szCs w:val="20"/>
                <w:vertAlign w:val="superscript"/>
                <w:lang w:val="en-IE" w:eastAsia="en-IE"/>
              </w:rPr>
              <w:t>2</w:t>
            </w:r>
            <w:r w:rsidRPr="00AA47B7">
              <w:rPr>
                <w:rFonts w:eastAsia="Times New Roman"/>
                <w:color w:val="000000"/>
                <w:sz w:val="20"/>
                <w:szCs w:val="20"/>
                <w:lang w:val="en-IE" w:eastAsia="en-IE"/>
              </w:rPr>
              <w:t>/yr.)</w:t>
            </w:r>
          </w:p>
        </w:tc>
        <w:tc>
          <w:tcPr>
            <w:tcW w:w="1113" w:type="dxa"/>
            <w:tcBorders>
              <w:top w:val="nil"/>
              <w:left w:val="single" w:sz="4" w:space="0" w:color="auto"/>
              <w:bottom w:val="nil"/>
              <w:right w:val="single" w:sz="4" w:space="0" w:color="auto"/>
            </w:tcBorders>
            <w:shd w:val="clear" w:color="auto" w:fill="auto"/>
            <w:noWrap/>
            <w:vAlign w:val="bottom"/>
            <w:hideMark/>
          </w:tcPr>
          <w:p w14:paraId="3409086E" w14:textId="77777777" w:rsidR="00087B9D" w:rsidRPr="00AA47B7" w:rsidRDefault="00087B9D" w:rsidP="00FC1F06">
            <w:pPr>
              <w:spacing w:after="0" w:line="240" w:lineRule="auto"/>
              <w:jc w:val="center"/>
              <w:rPr>
                <w:rFonts w:eastAsia="Times New Roman"/>
                <w:color w:val="000000"/>
                <w:sz w:val="20"/>
                <w:szCs w:val="20"/>
                <w:lang w:val="en-IE" w:eastAsia="en-IE"/>
              </w:rPr>
            </w:pPr>
            <w:r w:rsidRPr="00AA47B7">
              <w:rPr>
                <w:rFonts w:eastAsia="Times New Roman"/>
                <w:color w:val="000000"/>
                <w:sz w:val="20"/>
                <w:szCs w:val="20"/>
                <w:lang w:val="en-IE" w:eastAsia="en-IE"/>
              </w:rPr>
              <w:t>8</w:t>
            </w:r>
          </w:p>
        </w:tc>
        <w:tc>
          <w:tcPr>
            <w:tcW w:w="1000" w:type="dxa"/>
            <w:tcBorders>
              <w:top w:val="nil"/>
              <w:left w:val="single" w:sz="4" w:space="0" w:color="auto"/>
              <w:bottom w:val="nil"/>
              <w:right w:val="single" w:sz="4" w:space="0" w:color="auto"/>
            </w:tcBorders>
            <w:shd w:val="clear" w:color="auto" w:fill="auto"/>
            <w:noWrap/>
            <w:vAlign w:val="bottom"/>
            <w:hideMark/>
          </w:tcPr>
          <w:p w14:paraId="59953D93" w14:textId="77777777" w:rsidR="00087B9D" w:rsidRPr="00AA47B7" w:rsidRDefault="00087B9D" w:rsidP="00FC1F06">
            <w:pPr>
              <w:spacing w:after="0" w:line="240" w:lineRule="auto"/>
              <w:jc w:val="center"/>
              <w:rPr>
                <w:rFonts w:eastAsia="Times New Roman"/>
                <w:color w:val="000000"/>
                <w:sz w:val="20"/>
                <w:szCs w:val="20"/>
                <w:lang w:val="en-IE" w:eastAsia="en-IE"/>
              </w:rPr>
            </w:pPr>
            <w:r>
              <w:rPr>
                <w:rFonts w:eastAsia="Times New Roman"/>
                <w:color w:val="000000"/>
                <w:sz w:val="20"/>
                <w:szCs w:val="20"/>
                <w:lang w:val="en-IE" w:eastAsia="en-IE"/>
              </w:rPr>
              <w:t>g</w:t>
            </w:r>
          </w:p>
        </w:tc>
        <w:tc>
          <w:tcPr>
            <w:tcW w:w="2056" w:type="dxa"/>
            <w:tcBorders>
              <w:top w:val="nil"/>
              <w:left w:val="single" w:sz="4" w:space="0" w:color="auto"/>
              <w:bottom w:val="nil"/>
              <w:right w:val="single" w:sz="4" w:space="0" w:color="auto"/>
            </w:tcBorders>
            <w:shd w:val="clear" w:color="auto" w:fill="auto"/>
            <w:noWrap/>
            <w:vAlign w:val="bottom"/>
            <w:hideMark/>
          </w:tcPr>
          <w:p w14:paraId="4D681388" w14:textId="77777777" w:rsidR="00087B9D" w:rsidRPr="00AA47B7" w:rsidRDefault="00087B9D" w:rsidP="00FC1F06">
            <w:pPr>
              <w:spacing w:after="0" w:line="240" w:lineRule="auto"/>
              <w:jc w:val="center"/>
              <w:rPr>
                <w:rFonts w:eastAsia="Times New Roman"/>
                <w:color w:val="000000"/>
                <w:sz w:val="20"/>
                <w:szCs w:val="20"/>
                <w:lang w:val="en-IE" w:eastAsia="en-IE"/>
              </w:rPr>
            </w:pPr>
          </w:p>
        </w:tc>
      </w:tr>
      <w:tr w:rsidR="00087B9D" w:rsidRPr="0009169E" w14:paraId="1B917B75" w14:textId="77777777" w:rsidTr="00FC1F06">
        <w:trPr>
          <w:trHeight w:val="300"/>
        </w:trPr>
        <w:tc>
          <w:tcPr>
            <w:tcW w:w="5040" w:type="dxa"/>
            <w:tcBorders>
              <w:top w:val="nil"/>
              <w:left w:val="single" w:sz="4" w:space="0" w:color="auto"/>
              <w:bottom w:val="nil"/>
              <w:right w:val="single" w:sz="4" w:space="0" w:color="auto"/>
            </w:tcBorders>
            <w:shd w:val="clear" w:color="auto" w:fill="auto"/>
            <w:noWrap/>
            <w:vAlign w:val="bottom"/>
            <w:hideMark/>
          </w:tcPr>
          <w:p w14:paraId="3071A7FF" w14:textId="77777777" w:rsidR="00087B9D" w:rsidRPr="0009169E" w:rsidRDefault="00087B9D" w:rsidP="00FC1F06">
            <w:pPr>
              <w:spacing w:after="0" w:line="240" w:lineRule="auto"/>
              <w:rPr>
                <w:rFonts w:eastAsia="Times New Roman"/>
                <w:bCs/>
                <w:color w:val="000000"/>
                <w:sz w:val="20"/>
                <w:szCs w:val="20"/>
                <w:lang w:val="en-IE" w:eastAsia="en-IE"/>
              </w:rPr>
            </w:pPr>
            <w:r w:rsidRPr="0009169E">
              <w:rPr>
                <w:rFonts w:eastAsia="Times New Roman"/>
                <w:bCs/>
                <w:color w:val="000000"/>
                <w:sz w:val="20"/>
                <w:szCs w:val="20"/>
                <w:lang w:val="en-IE" w:eastAsia="en-IE"/>
              </w:rPr>
              <w:t>Cost of lights and pumps (€/m</w:t>
            </w:r>
            <w:r w:rsidRPr="00121F90">
              <w:rPr>
                <w:rFonts w:eastAsia="Times New Roman"/>
                <w:bCs/>
                <w:color w:val="000000"/>
                <w:sz w:val="20"/>
                <w:szCs w:val="20"/>
                <w:vertAlign w:val="superscript"/>
                <w:lang w:val="en-IE" w:eastAsia="en-IE"/>
              </w:rPr>
              <w:t>2</w:t>
            </w:r>
            <w:r w:rsidRPr="0009169E">
              <w:rPr>
                <w:rFonts w:eastAsia="Times New Roman"/>
                <w:bCs/>
                <w:color w:val="000000"/>
                <w:sz w:val="20"/>
                <w:szCs w:val="20"/>
                <w:lang w:val="en-IE" w:eastAsia="en-IE"/>
              </w:rPr>
              <w:t>)</w:t>
            </w:r>
          </w:p>
        </w:tc>
        <w:tc>
          <w:tcPr>
            <w:tcW w:w="1113" w:type="dxa"/>
            <w:tcBorders>
              <w:top w:val="nil"/>
              <w:left w:val="single" w:sz="4" w:space="0" w:color="auto"/>
              <w:bottom w:val="nil"/>
              <w:right w:val="single" w:sz="4" w:space="0" w:color="auto"/>
            </w:tcBorders>
            <w:shd w:val="clear" w:color="auto" w:fill="auto"/>
            <w:noWrap/>
            <w:vAlign w:val="bottom"/>
            <w:hideMark/>
          </w:tcPr>
          <w:p w14:paraId="1346B7F5" w14:textId="77777777" w:rsidR="00087B9D" w:rsidRPr="0009169E" w:rsidRDefault="00087B9D" w:rsidP="00FC1F06">
            <w:pPr>
              <w:spacing w:after="0" w:line="240" w:lineRule="auto"/>
              <w:jc w:val="center"/>
              <w:rPr>
                <w:rFonts w:eastAsia="Times New Roman"/>
                <w:bCs/>
                <w:color w:val="000000"/>
                <w:sz w:val="20"/>
                <w:szCs w:val="20"/>
                <w:lang w:val="en-IE" w:eastAsia="en-IE"/>
              </w:rPr>
            </w:pPr>
            <w:r w:rsidRPr="0009169E">
              <w:rPr>
                <w:rFonts w:eastAsia="Times New Roman"/>
                <w:bCs/>
                <w:color w:val="000000"/>
                <w:sz w:val="20"/>
                <w:szCs w:val="20"/>
                <w:lang w:val="en-IE" w:eastAsia="en-IE"/>
              </w:rPr>
              <w:t>€1.59</w:t>
            </w:r>
          </w:p>
        </w:tc>
        <w:tc>
          <w:tcPr>
            <w:tcW w:w="1000" w:type="dxa"/>
            <w:tcBorders>
              <w:top w:val="nil"/>
              <w:left w:val="single" w:sz="4" w:space="0" w:color="auto"/>
              <w:bottom w:val="nil"/>
              <w:right w:val="single" w:sz="4" w:space="0" w:color="auto"/>
            </w:tcBorders>
            <w:shd w:val="clear" w:color="auto" w:fill="auto"/>
            <w:noWrap/>
            <w:vAlign w:val="bottom"/>
            <w:hideMark/>
          </w:tcPr>
          <w:p w14:paraId="1B0BEF13" w14:textId="77777777" w:rsidR="00087B9D" w:rsidRPr="0009169E" w:rsidRDefault="00087B9D" w:rsidP="00FC1F06">
            <w:pPr>
              <w:spacing w:after="0" w:line="240" w:lineRule="auto"/>
              <w:jc w:val="center"/>
              <w:rPr>
                <w:rFonts w:eastAsia="Times New Roman"/>
                <w:color w:val="000000"/>
                <w:sz w:val="20"/>
                <w:szCs w:val="20"/>
                <w:lang w:val="en-IE" w:eastAsia="en-IE"/>
              </w:rPr>
            </w:pPr>
            <w:r>
              <w:rPr>
                <w:rFonts w:eastAsia="Times New Roman"/>
                <w:color w:val="000000"/>
                <w:sz w:val="20"/>
                <w:szCs w:val="20"/>
                <w:lang w:val="en-IE" w:eastAsia="en-IE"/>
              </w:rPr>
              <w:t>h</w:t>
            </w:r>
          </w:p>
        </w:tc>
        <w:tc>
          <w:tcPr>
            <w:tcW w:w="2056" w:type="dxa"/>
            <w:tcBorders>
              <w:top w:val="nil"/>
              <w:left w:val="single" w:sz="4" w:space="0" w:color="auto"/>
              <w:bottom w:val="nil"/>
              <w:right w:val="single" w:sz="4" w:space="0" w:color="auto"/>
            </w:tcBorders>
            <w:shd w:val="clear" w:color="auto" w:fill="auto"/>
            <w:noWrap/>
            <w:vAlign w:val="bottom"/>
            <w:hideMark/>
          </w:tcPr>
          <w:p w14:paraId="33DF60CE" w14:textId="77777777" w:rsidR="00087B9D" w:rsidRPr="0009169E" w:rsidRDefault="00087B9D" w:rsidP="00FC1F06">
            <w:pPr>
              <w:spacing w:after="0" w:line="240" w:lineRule="auto"/>
              <w:rPr>
                <w:rFonts w:eastAsia="Times New Roman"/>
                <w:color w:val="000000"/>
                <w:sz w:val="20"/>
                <w:szCs w:val="20"/>
                <w:lang w:val="en-IE" w:eastAsia="en-IE"/>
              </w:rPr>
            </w:pPr>
            <w:r>
              <w:rPr>
                <w:rFonts w:eastAsia="Times New Roman"/>
                <w:color w:val="000000"/>
                <w:sz w:val="20"/>
                <w:szCs w:val="20"/>
                <w:lang w:val="en-IE" w:eastAsia="en-IE"/>
              </w:rPr>
              <w:t>g * c</w:t>
            </w:r>
          </w:p>
        </w:tc>
      </w:tr>
      <w:tr w:rsidR="00087B9D" w:rsidRPr="0009169E" w14:paraId="36116BA7" w14:textId="77777777" w:rsidTr="00FC1F06">
        <w:trPr>
          <w:trHeight w:val="315"/>
        </w:trPr>
        <w:tc>
          <w:tcPr>
            <w:tcW w:w="5040" w:type="dxa"/>
            <w:tcBorders>
              <w:top w:val="nil"/>
              <w:left w:val="single" w:sz="4" w:space="0" w:color="auto"/>
              <w:bottom w:val="nil"/>
              <w:right w:val="single" w:sz="4" w:space="0" w:color="auto"/>
            </w:tcBorders>
            <w:shd w:val="clear" w:color="auto" w:fill="auto"/>
            <w:noWrap/>
            <w:vAlign w:val="bottom"/>
            <w:hideMark/>
          </w:tcPr>
          <w:p w14:paraId="3739E8F5" w14:textId="77777777" w:rsidR="00087B9D" w:rsidRPr="0009169E" w:rsidRDefault="00087B9D" w:rsidP="00FC1F06">
            <w:pPr>
              <w:spacing w:after="0" w:line="240" w:lineRule="auto"/>
              <w:rPr>
                <w:rFonts w:eastAsia="Times New Roman"/>
                <w:bCs/>
                <w:color w:val="000000"/>
                <w:sz w:val="20"/>
                <w:szCs w:val="20"/>
                <w:lang w:val="en-IE" w:eastAsia="en-IE"/>
              </w:rPr>
            </w:pPr>
            <w:r w:rsidRPr="0009169E">
              <w:rPr>
                <w:rFonts w:eastAsia="Times New Roman"/>
                <w:bCs/>
                <w:color w:val="000000"/>
                <w:sz w:val="20"/>
                <w:szCs w:val="20"/>
                <w:lang w:val="en-IE" w:eastAsia="en-IE"/>
              </w:rPr>
              <w:t>Cost of heating (€/m</w:t>
            </w:r>
            <w:r w:rsidRPr="00121F90">
              <w:rPr>
                <w:rFonts w:eastAsia="Times New Roman"/>
                <w:bCs/>
                <w:color w:val="000000"/>
                <w:sz w:val="20"/>
                <w:szCs w:val="20"/>
                <w:vertAlign w:val="superscript"/>
                <w:lang w:val="en-IE" w:eastAsia="en-IE"/>
              </w:rPr>
              <w:t>2</w:t>
            </w:r>
            <w:r w:rsidRPr="0009169E">
              <w:rPr>
                <w:rFonts w:eastAsia="Times New Roman"/>
                <w:bCs/>
                <w:color w:val="000000"/>
                <w:sz w:val="20"/>
                <w:szCs w:val="20"/>
                <w:lang w:val="en-IE" w:eastAsia="en-IE"/>
              </w:rPr>
              <w:t>)</w:t>
            </w:r>
          </w:p>
        </w:tc>
        <w:tc>
          <w:tcPr>
            <w:tcW w:w="1113" w:type="dxa"/>
            <w:tcBorders>
              <w:top w:val="nil"/>
              <w:left w:val="single" w:sz="4" w:space="0" w:color="auto"/>
              <w:bottom w:val="nil"/>
              <w:right w:val="single" w:sz="4" w:space="0" w:color="auto"/>
            </w:tcBorders>
            <w:shd w:val="clear" w:color="auto" w:fill="auto"/>
            <w:noWrap/>
            <w:vAlign w:val="bottom"/>
            <w:hideMark/>
          </w:tcPr>
          <w:p w14:paraId="43AAD459" w14:textId="77777777" w:rsidR="00087B9D" w:rsidRPr="0009169E" w:rsidRDefault="00087B9D" w:rsidP="00FC1F06">
            <w:pPr>
              <w:spacing w:after="0" w:line="240" w:lineRule="auto"/>
              <w:jc w:val="center"/>
              <w:rPr>
                <w:rFonts w:eastAsia="Times New Roman"/>
                <w:bCs/>
                <w:color w:val="000000"/>
                <w:sz w:val="20"/>
                <w:szCs w:val="20"/>
                <w:lang w:val="en-IE" w:eastAsia="en-IE"/>
              </w:rPr>
            </w:pPr>
            <w:r w:rsidRPr="0009169E">
              <w:rPr>
                <w:rFonts w:eastAsia="Times New Roman"/>
                <w:bCs/>
                <w:color w:val="000000"/>
                <w:sz w:val="20"/>
                <w:szCs w:val="20"/>
                <w:lang w:val="en-IE" w:eastAsia="en-IE"/>
              </w:rPr>
              <w:t>€20.79</w:t>
            </w:r>
          </w:p>
        </w:tc>
        <w:tc>
          <w:tcPr>
            <w:tcW w:w="1000" w:type="dxa"/>
            <w:tcBorders>
              <w:top w:val="nil"/>
              <w:left w:val="single" w:sz="4" w:space="0" w:color="auto"/>
              <w:bottom w:val="nil"/>
              <w:right w:val="single" w:sz="4" w:space="0" w:color="auto"/>
            </w:tcBorders>
            <w:shd w:val="clear" w:color="auto" w:fill="auto"/>
            <w:noWrap/>
            <w:vAlign w:val="bottom"/>
            <w:hideMark/>
          </w:tcPr>
          <w:p w14:paraId="0BA12FE7" w14:textId="77777777" w:rsidR="00087B9D" w:rsidRPr="0009169E" w:rsidRDefault="00087B9D" w:rsidP="00FC1F06">
            <w:pPr>
              <w:spacing w:after="0" w:line="240" w:lineRule="auto"/>
              <w:jc w:val="center"/>
              <w:rPr>
                <w:rFonts w:eastAsia="Times New Roman"/>
                <w:color w:val="000000"/>
                <w:sz w:val="20"/>
                <w:szCs w:val="20"/>
                <w:lang w:val="en-IE" w:eastAsia="en-IE"/>
              </w:rPr>
            </w:pPr>
            <w:proofErr w:type="spellStart"/>
            <w:r>
              <w:rPr>
                <w:rFonts w:eastAsia="Times New Roman"/>
                <w:color w:val="000000"/>
                <w:sz w:val="20"/>
                <w:szCs w:val="20"/>
                <w:lang w:val="en-IE" w:eastAsia="en-IE"/>
              </w:rPr>
              <w:t>i</w:t>
            </w:r>
            <w:proofErr w:type="spellEnd"/>
          </w:p>
        </w:tc>
        <w:tc>
          <w:tcPr>
            <w:tcW w:w="2056" w:type="dxa"/>
            <w:tcBorders>
              <w:top w:val="nil"/>
              <w:left w:val="single" w:sz="4" w:space="0" w:color="auto"/>
              <w:bottom w:val="nil"/>
              <w:right w:val="single" w:sz="4" w:space="0" w:color="auto"/>
            </w:tcBorders>
            <w:shd w:val="clear" w:color="auto" w:fill="auto"/>
            <w:noWrap/>
            <w:vAlign w:val="bottom"/>
            <w:hideMark/>
          </w:tcPr>
          <w:p w14:paraId="41B77507" w14:textId="77777777" w:rsidR="00087B9D" w:rsidRPr="0009169E" w:rsidRDefault="00087B9D" w:rsidP="00FC1F06">
            <w:pPr>
              <w:spacing w:after="0" w:line="240" w:lineRule="auto"/>
              <w:rPr>
                <w:rFonts w:eastAsia="Times New Roman"/>
                <w:color w:val="000000"/>
                <w:sz w:val="20"/>
                <w:szCs w:val="20"/>
                <w:lang w:val="en-IE" w:eastAsia="en-IE"/>
              </w:rPr>
            </w:pPr>
            <w:r>
              <w:rPr>
                <w:rFonts w:eastAsia="Times New Roman"/>
                <w:color w:val="000000"/>
                <w:sz w:val="20"/>
                <w:szCs w:val="20"/>
                <w:lang w:val="en-IE" w:eastAsia="en-IE"/>
              </w:rPr>
              <w:t>(a - f) * ((d + e</w:t>
            </w:r>
            <w:r w:rsidRPr="0009169E">
              <w:rPr>
                <w:rFonts w:eastAsia="Times New Roman"/>
                <w:color w:val="000000"/>
                <w:sz w:val="20"/>
                <w:szCs w:val="20"/>
                <w:lang w:val="en-IE" w:eastAsia="en-IE"/>
              </w:rPr>
              <w:t>)/2)</w:t>
            </w:r>
          </w:p>
        </w:tc>
      </w:tr>
      <w:tr w:rsidR="00087B9D" w:rsidRPr="00492CA8" w14:paraId="78C58865" w14:textId="77777777" w:rsidTr="00FC1F06">
        <w:trPr>
          <w:trHeight w:val="315"/>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555BC4E7" w14:textId="77777777" w:rsidR="00087B9D" w:rsidRPr="0009169E" w:rsidRDefault="00087B9D" w:rsidP="00FC1F06">
            <w:pPr>
              <w:spacing w:after="0" w:line="240" w:lineRule="auto"/>
              <w:rPr>
                <w:rFonts w:eastAsia="Times New Roman"/>
                <w:bCs/>
                <w:color w:val="000000"/>
                <w:sz w:val="20"/>
                <w:szCs w:val="20"/>
                <w:lang w:val="en-IE" w:eastAsia="en-IE"/>
              </w:rPr>
            </w:pPr>
            <w:r w:rsidRPr="0009169E">
              <w:rPr>
                <w:rFonts w:eastAsia="Times New Roman"/>
                <w:bCs/>
                <w:color w:val="000000"/>
                <w:sz w:val="20"/>
                <w:szCs w:val="20"/>
                <w:lang w:val="en-IE" w:eastAsia="en-IE"/>
              </w:rPr>
              <w:t>Total annual energy cost</w:t>
            </w:r>
          </w:p>
        </w:tc>
        <w:tc>
          <w:tcPr>
            <w:tcW w:w="1113" w:type="dxa"/>
            <w:tcBorders>
              <w:top w:val="nil"/>
              <w:left w:val="single" w:sz="4" w:space="0" w:color="auto"/>
              <w:bottom w:val="single" w:sz="4" w:space="0" w:color="auto"/>
              <w:right w:val="single" w:sz="4" w:space="0" w:color="auto"/>
            </w:tcBorders>
            <w:shd w:val="clear" w:color="auto" w:fill="auto"/>
            <w:noWrap/>
            <w:vAlign w:val="bottom"/>
            <w:hideMark/>
          </w:tcPr>
          <w:p w14:paraId="3C9DA696" w14:textId="77777777" w:rsidR="00087B9D" w:rsidRPr="0009169E" w:rsidRDefault="00087B9D" w:rsidP="00FC1F06">
            <w:pPr>
              <w:spacing w:after="0" w:line="240" w:lineRule="auto"/>
              <w:jc w:val="right"/>
              <w:rPr>
                <w:rFonts w:eastAsia="Times New Roman"/>
                <w:bCs/>
                <w:color w:val="000000"/>
                <w:sz w:val="20"/>
                <w:szCs w:val="20"/>
                <w:lang w:val="en-IE" w:eastAsia="en-IE"/>
              </w:rPr>
            </w:pPr>
            <w:r w:rsidRPr="0009169E">
              <w:rPr>
                <w:rFonts w:eastAsia="Times New Roman"/>
                <w:bCs/>
                <w:color w:val="000000"/>
                <w:sz w:val="20"/>
                <w:szCs w:val="20"/>
                <w:lang w:val="en-IE" w:eastAsia="en-IE"/>
              </w:rPr>
              <w:t>€2,238.36</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070CAC13" w14:textId="77777777" w:rsidR="00087B9D" w:rsidRPr="0009169E" w:rsidRDefault="00087B9D" w:rsidP="00FC1F06">
            <w:pPr>
              <w:spacing w:after="0" w:line="240" w:lineRule="auto"/>
              <w:jc w:val="center"/>
              <w:rPr>
                <w:rFonts w:eastAsia="Times New Roman"/>
                <w:color w:val="000000"/>
                <w:sz w:val="20"/>
                <w:szCs w:val="20"/>
                <w:lang w:val="en-IE" w:eastAsia="en-IE"/>
              </w:rPr>
            </w:pPr>
            <w:r>
              <w:rPr>
                <w:rFonts w:eastAsia="Times New Roman"/>
                <w:color w:val="000000"/>
                <w:sz w:val="20"/>
                <w:szCs w:val="20"/>
                <w:lang w:val="en-IE" w:eastAsia="en-IE"/>
              </w:rPr>
              <w:t>j</w:t>
            </w:r>
          </w:p>
        </w:tc>
        <w:tc>
          <w:tcPr>
            <w:tcW w:w="2056" w:type="dxa"/>
            <w:tcBorders>
              <w:top w:val="nil"/>
              <w:left w:val="single" w:sz="4" w:space="0" w:color="auto"/>
              <w:bottom w:val="single" w:sz="4" w:space="0" w:color="auto"/>
              <w:right w:val="single" w:sz="4" w:space="0" w:color="auto"/>
            </w:tcBorders>
            <w:shd w:val="clear" w:color="auto" w:fill="auto"/>
            <w:noWrap/>
            <w:vAlign w:val="bottom"/>
            <w:hideMark/>
          </w:tcPr>
          <w:p w14:paraId="0C3217BE" w14:textId="77777777" w:rsidR="00087B9D" w:rsidRPr="00AA47B7" w:rsidRDefault="00087B9D" w:rsidP="00FC1F06">
            <w:pPr>
              <w:spacing w:after="0" w:line="240" w:lineRule="auto"/>
              <w:rPr>
                <w:rFonts w:eastAsia="Times New Roman"/>
                <w:color w:val="000000"/>
                <w:sz w:val="20"/>
                <w:szCs w:val="20"/>
                <w:lang w:val="en-IE" w:eastAsia="en-IE"/>
              </w:rPr>
            </w:pPr>
            <w:r>
              <w:rPr>
                <w:rFonts w:eastAsia="Times New Roman"/>
                <w:color w:val="000000"/>
                <w:sz w:val="20"/>
                <w:szCs w:val="20"/>
                <w:lang w:val="en-IE" w:eastAsia="en-IE"/>
              </w:rPr>
              <w:t xml:space="preserve">(h + </w:t>
            </w:r>
            <w:proofErr w:type="spellStart"/>
            <w:r>
              <w:rPr>
                <w:rFonts w:eastAsia="Times New Roman"/>
                <w:color w:val="000000"/>
                <w:sz w:val="20"/>
                <w:szCs w:val="20"/>
                <w:lang w:val="en-IE" w:eastAsia="en-IE"/>
              </w:rPr>
              <w:t>i</w:t>
            </w:r>
            <w:proofErr w:type="spellEnd"/>
            <w:r>
              <w:rPr>
                <w:rFonts w:eastAsia="Times New Roman"/>
                <w:color w:val="000000"/>
                <w:sz w:val="20"/>
                <w:szCs w:val="20"/>
                <w:lang w:val="en-IE" w:eastAsia="en-IE"/>
              </w:rPr>
              <w:t>) * b</w:t>
            </w:r>
          </w:p>
        </w:tc>
      </w:tr>
      <w:tr w:rsidR="00087B9D" w:rsidRPr="00492CA8" w14:paraId="0F335A69" w14:textId="77777777" w:rsidTr="00FC1F06">
        <w:trPr>
          <w:trHeight w:val="315"/>
        </w:trPr>
        <w:tc>
          <w:tcPr>
            <w:tcW w:w="9209" w:type="dxa"/>
            <w:gridSpan w:val="4"/>
            <w:tcBorders>
              <w:top w:val="single" w:sz="4" w:space="0" w:color="auto"/>
              <w:left w:val="nil"/>
              <w:bottom w:val="nil"/>
              <w:right w:val="nil"/>
            </w:tcBorders>
            <w:shd w:val="clear" w:color="auto" w:fill="auto"/>
            <w:noWrap/>
            <w:vAlign w:val="bottom"/>
          </w:tcPr>
          <w:p w14:paraId="4D0E899F" w14:textId="77777777" w:rsidR="00087B9D" w:rsidRDefault="00087B9D" w:rsidP="00FC1F06">
            <w:pPr>
              <w:spacing w:after="0" w:line="240" w:lineRule="auto"/>
              <w:rPr>
                <w:rFonts w:eastAsia="Times New Roman"/>
                <w:color w:val="000000"/>
                <w:sz w:val="18"/>
                <w:szCs w:val="18"/>
                <w:lang w:val="en-IE" w:eastAsia="en-IE"/>
              </w:rPr>
            </w:pPr>
            <w:r>
              <w:rPr>
                <w:rFonts w:eastAsia="Times New Roman"/>
                <w:i/>
                <w:color w:val="000000"/>
                <w:sz w:val="18"/>
                <w:szCs w:val="18"/>
                <w:lang w:val="en-IE" w:eastAsia="en-IE"/>
              </w:rPr>
              <w:t xml:space="preserve">Source: </w:t>
            </w:r>
            <w:r>
              <w:rPr>
                <w:rFonts w:eastAsia="Times New Roman"/>
                <w:color w:val="000000"/>
                <w:sz w:val="18"/>
                <w:szCs w:val="18"/>
                <w:lang w:val="en-IE" w:eastAsia="en-IE"/>
              </w:rPr>
              <w:t xml:space="preserve">calculations based on the methodology used for the </w:t>
            </w:r>
            <w:proofErr w:type="spellStart"/>
            <w:r>
              <w:rPr>
                <w:rFonts w:eastAsia="Times New Roman"/>
                <w:color w:val="000000"/>
                <w:sz w:val="18"/>
                <w:szCs w:val="18"/>
                <w:lang w:val="en-IE" w:eastAsia="en-IE"/>
              </w:rPr>
              <w:t>SEAI</w:t>
            </w:r>
            <w:proofErr w:type="spellEnd"/>
            <w:r>
              <w:rPr>
                <w:rFonts w:eastAsia="Times New Roman"/>
                <w:color w:val="000000"/>
                <w:sz w:val="18"/>
                <w:szCs w:val="18"/>
                <w:lang w:val="en-IE" w:eastAsia="en-IE"/>
              </w:rPr>
              <w:t xml:space="preserve"> energy cost calculation online tool </w:t>
            </w:r>
          </w:p>
          <w:p w14:paraId="41C26736" w14:textId="77777777" w:rsidR="00087B9D" w:rsidRDefault="00087B9D" w:rsidP="00FC1F06">
            <w:pPr>
              <w:spacing w:after="0" w:line="240" w:lineRule="auto"/>
              <w:rPr>
                <w:rFonts w:eastAsia="Times New Roman"/>
                <w:color w:val="000000"/>
                <w:sz w:val="18"/>
                <w:szCs w:val="18"/>
                <w:lang w:val="en-IE" w:eastAsia="en-IE"/>
              </w:rPr>
            </w:pPr>
            <w:hyperlink r:id="rId26" w:history="1">
              <w:r w:rsidRPr="00DD7B12">
                <w:rPr>
                  <w:rStyle w:val="Hyperlink"/>
                  <w:rFonts w:eastAsia="Times New Roman"/>
                  <w:sz w:val="18"/>
                  <w:szCs w:val="18"/>
                  <w:lang w:val="en-IE" w:eastAsia="en-IE"/>
                </w:rPr>
                <w:t>www.seai.ie/energy-ratings/building-energy-rating-ber/</w:t>
              </w:r>
            </w:hyperlink>
          </w:p>
          <w:p w14:paraId="59FE6346" w14:textId="77777777" w:rsidR="00087B9D" w:rsidRPr="00FD5A27" w:rsidRDefault="00087B9D" w:rsidP="00FC1F06">
            <w:pPr>
              <w:spacing w:after="0" w:line="240" w:lineRule="auto"/>
              <w:rPr>
                <w:rFonts w:eastAsia="Times New Roman"/>
                <w:color w:val="000000"/>
                <w:sz w:val="18"/>
                <w:szCs w:val="18"/>
                <w:lang w:val="en-IE" w:eastAsia="en-IE"/>
              </w:rPr>
            </w:pPr>
            <w:r>
              <w:rPr>
                <w:rFonts w:eastAsia="Times New Roman"/>
                <w:i/>
                <w:color w:val="000000"/>
                <w:sz w:val="18"/>
                <w:szCs w:val="18"/>
                <w:lang w:val="en-IE" w:eastAsia="en-IE"/>
              </w:rPr>
              <w:t xml:space="preserve">Notes: </w:t>
            </w:r>
            <w:r>
              <w:rPr>
                <w:rFonts w:eastAsia="Times New Roman"/>
                <w:color w:val="000000"/>
                <w:sz w:val="18"/>
                <w:szCs w:val="18"/>
                <w:lang w:val="en-IE" w:eastAsia="en-IE"/>
              </w:rPr>
              <w:t xml:space="preserve">energy prices are available from </w:t>
            </w:r>
            <w:hyperlink r:id="rId27" w:history="1">
              <w:r w:rsidRPr="00DD7B12">
                <w:rPr>
                  <w:rStyle w:val="Hyperlink"/>
                  <w:rFonts w:eastAsia="Times New Roman"/>
                  <w:sz w:val="18"/>
                  <w:szCs w:val="18"/>
                  <w:lang w:val="en-IE" w:eastAsia="en-IE"/>
                </w:rPr>
                <w:t>www.seai.ie</w:t>
              </w:r>
            </w:hyperlink>
          </w:p>
        </w:tc>
      </w:tr>
      <w:tr w:rsidR="00087B9D" w:rsidRPr="00492CA8" w14:paraId="0C7D6BCD" w14:textId="77777777" w:rsidTr="00FC1F06">
        <w:trPr>
          <w:trHeight w:val="315"/>
        </w:trPr>
        <w:tc>
          <w:tcPr>
            <w:tcW w:w="9209" w:type="dxa"/>
            <w:gridSpan w:val="4"/>
            <w:tcBorders>
              <w:top w:val="nil"/>
              <w:left w:val="nil"/>
              <w:bottom w:val="nil"/>
              <w:right w:val="nil"/>
            </w:tcBorders>
            <w:shd w:val="clear" w:color="auto" w:fill="auto"/>
            <w:noWrap/>
            <w:vAlign w:val="bottom"/>
          </w:tcPr>
          <w:p w14:paraId="402029CA" w14:textId="77777777" w:rsidR="00087B9D" w:rsidRDefault="00087B9D" w:rsidP="00FC1F06">
            <w:pPr>
              <w:spacing w:after="0" w:line="240" w:lineRule="auto"/>
              <w:rPr>
                <w:rFonts w:eastAsia="Times New Roman"/>
                <w:i/>
                <w:color w:val="000000"/>
                <w:lang w:val="en-IE" w:eastAsia="en-IE"/>
              </w:rPr>
            </w:pPr>
          </w:p>
          <w:p w14:paraId="2CEFF457" w14:textId="77777777" w:rsidR="00087B9D" w:rsidRDefault="00087B9D" w:rsidP="00FC1F06">
            <w:pPr>
              <w:spacing w:after="0" w:line="240" w:lineRule="auto"/>
              <w:rPr>
                <w:rFonts w:eastAsia="Times New Roman"/>
                <w:i/>
                <w:color w:val="000000"/>
                <w:sz w:val="18"/>
                <w:szCs w:val="18"/>
                <w:lang w:val="en-IE" w:eastAsia="en-IE"/>
              </w:rPr>
            </w:pPr>
          </w:p>
        </w:tc>
      </w:tr>
    </w:tbl>
    <w:p w14:paraId="60685601" w14:textId="4E6DAF5F" w:rsidR="00087B9D" w:rsidRDefault="00087B9D" w:rsidP="00087B9D">
      <w:pPr>
        <w:shd w:val="clear" w:color="auto" w:fill="FFFFFF"/>
        <w:jc w:val="both"/>
        <w:rPr>
          <w:rFonts w:cstheme="minorHAnsi"/>
          <w:sz w:val="24"/>
          <w:szCs w:val="24"/>
        </w:rPr>
      </w:pPr>
      <w:r w:rsidRPr="00125EFD">
        <w:rPr>
          <w:rFonts w:cstheme="minorHAnsi"/>
          <w:sz w:val="24"/>
          <w:szCs w:val="24"/>
        </w:rPr>
        <w:t xml:space="preserve">The monetary label was designed by TCD and daft.ie and is displayed in Figure 3 (left panel). Relative to the pre-trial advertisement format (right panel of Figure 1), our new label contains two new and separate components that could change buyer behaviour: monetary information </w:t>
      </w:r>
      <w:r w:rsidRPr="00125EFD">
        <w:rPr>
          <w:rFonts w:cstheme="minorHAnsi"/>
          <w:i/>
          <w:sz w:val="24"/>
          <w:szCs w:val="24"/>
        </w:rPr>
        <w:t>and</w:t>
      </w:r>
      <w:r w:rsidRPr="00125EFD">
        <w:rPr>
          <w:rFonts w:cstheme="minorHAnsi"/>
          <w:sz w:val="24"/>
          <w:szCs w:val="24"/>
        </w:rPr>
        <w:t xml:space="preserve"> a categorical and graphical scale. Therefore, to isolate the independent effects of monetary information, we included an identical categorical scale in the control group that is based on kWh/m</w:t>
      </w:r>
      <w:r w:rsidRPr="00125EFD">
        <w:rPr>
          <w:rFonts w:cstheme="minorHAnsi"/>
          <w:sz w:val="24"/>
          <w:szCs w:val="24"/>
          <w:vertAlign w:val="superscript"/>
        </w:rPr>
        <w:t>2</w:t>
      </w:r>
      <w:r w:rsidRPr="00125EFD">
        <w:rPr>
          <w:rFonts w:cstheme="minorHAnsi"/>
          <w:sz w:val="24"/>
          <w:szCs w:val="24"/>
        </w:rPr>
        <w:t xml:space="preserve">/annum information only (right panel of Figure 3). While this implies that there has </w:t>
      </w:r>
      <w:r w:rsidRPr="00125EFD">
        <w:rPr>
          <w:rFonts w:cstheme="minorHAnsi"/>
          <w:sz w:val="24"/>
          <w:szCs w:val="24"/>
        </w:rPr>
        <w:lastRenderedPageBreak/>
        <w:t>been a change in control group information, this was carried out to remove any effects of a visual graphical scale, leaving only the effects of monetary information.</w:t>
      </w:r>
      <w:r>
        <w:rPr>
          <w:rFonts w:cstheme="minorHAnsi"/>
          <w:sz w:val="24"/>
          <w:szCs w:val="24"/>
        </w:rPr>
        <w:t xml:space="preserve">    </w:t>
      </w:r>
    </w:p>
    <w:p w14:paraId="60EDA228" w14:textId="77777777" w:rsidR="002216D8" w:rsidRPr="002216D8" w:rsidRDefault="002216D8" w:rsidP="00087B9D">
      <w:pPr>
        <w:shd w:val="clear" w:color="auto" w:fill="FFFFFF"/>
        <w:jc w:val="both"/>
        <w:rPr>
          <w:rFonts w:cstheme="minorHAnsi"/>
          <w:sz w:val="24"/>
          <w:szCs w:val="24"/>
        </w:rPr>
      </w:pPr>
    </w:p>
    <w:tbl>
      <w:tblPr>
        <w:tblW w:w="0" w:type="auto"/>
        <w:tblLook w:val="04A0" w:firstRow="1" w:lastRow="0" w:firstColumn="1" w:lastColumn="0" w:noHBand="0" w:noVBand="1"/>
      </w:tblPr>
      <w:tblGrid>
        <w:gridCol w:w="4502"/>
        <w:gridCol w:w="4524"/>
      </w:tblGrid>
      <w:tr w:rsidR="00087B9D" w14:paraId="431FA111" w14:textId="77777777" w:rsidTr="00FC1F06">
        <w:tc>
          <w:tcPr>
            <w:tcW w:w="9117" w:type="dxa"/>
            <w:gridSpan w:val="2"/>
            <w:tcBorders>
              <w:top w:val="nil"/>
              <w:bottom w:val="single" w:sz="4" w:space="0" w:color="auto"/>
            </w:tcBorders>
          </w:tcPr>
          <w:p w14:paraId="1DB8519C" w14:textId="77777777" w:rsidR="00087B9D" w:rsidRPr="00B8771C" w:rsidRDefault="00087B9D" w:rsidP="00FC1F06">
            <w:pPr>
              <w:shd w:val="clear" w:color="auto" w:fill="FFFFFF"/>
              <w:jc w:val="center"/>
              <w:rPr>
                <w:rFonts w:cstheme="minorHAnsi"/>
                <w:b/>
              </w:rPr>
            </w:pPr>
            <w:r>
              <w:rPr>
                <w:rFonts w:cstheme="minorHAnsi"/>
                <w:b/>
              </w:rPr>
              <w:t xml:space="preserve">Figure </w:t>
            </w:r>
            <w:r w:rsidRPr="00B8771C">
              <w:rPr>
                <w:rFonts w:cstheme="minorHAnsi"/>
                <w:b/>
              </w:rPr>
              <w:t>3: Label Examples from daft.ie-TCD trial</w:t>
            </w:r>
          </w:p>
        </w:tc>
      </w:tr>
      <w:tr w:rsidR="00087B9D" w14:paraId="79FFE7B8" w14:textId="77777777" w:rsidTr="00FC1F06">
        <w:tc>
          <w:tcPr>
            <w:tcW w:w="4547" w:type="dxa"/>
            <w:tcBorders>
              <w:top w:val="single" w:sz="4" w:space="0" w:color="auto"/>
              <w:left w:val="single" w:sz="4" w:space="0" w:color="auto"/>
              <w:bottom w:val="single" w:sz="4" w:space="0" w:color="auto"/>
              <w:right w:val="single" w:sz="4" w:space="0" w:color="auto"/>
            </w:tcBorders>
          </w:tcPr>
          <w:p w14:paraId="2F72E963" w14:textId="77777777" w:rsidR="00087B9D" w:rsidRDefault="00087B9D" w:rsidP="00FC1F06">
            <w:pPr>
              <w:jc w:val="center"/>
              <w:rPr>
                <w:rFonts w:cstheme="minorHAnsi"/>
              </w:rPr>
            </w:pPr>
            <w:r>
              <w:rPr>
                <w:noProof/>
                <w:lang w:eastAsia="en-GB"/>
              </w:rPr>
              <w:drawing>
                <wp:inline distT="0" distB="0" distL="0" distR="0" wp14:anchorId="16FA0C20" wp14:editId="11AFE119">
                  <wp:extent cx="2750400" cy="162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l="2051" t="1738" r="1666" b="2136"/>
                          <a:stretch/>
                        </pic:blipFill>
                        <pic:spPr bwMode="auto">
                          <a:xfrm>
                            <a:off x="0" y="0"/>
                            <a:ext cx="2750400" cy="1620000"/>
                          </a:xfrm>
                          <a:prstGeom prst="rect">
                            <a:avLst/>
                          </a:prstGeom>
                          <a:ln>
                            <a:noFill/>
                          </a:ln>
                          <a:extLst>
                            <a:ext uri="{53640926-AAD7-44D8-BBD7-CCE9431645EC}">
                              <a14:shadowObscured xmlns:a14="http://schemas.microsoft.com/office/drawing/2010/main"/>
                            </a:ext>
                          </a:extLst>
                        </pic:spPr>
                      </pic:pic>
                    </a:graphicData>
                  </a:graphic>
                </wp:inline>
              </w:drawing>
            </w:r>
          </w:p>
        </w:tc>
        <w:tc>
          <w:tcPr>
            <w:tcW w:w="4570" w:type="dxa"/>
            <w:tcBorders>
              <w:top w:val="single" w:sz="4" w:space="0" w:color="auto"/>
              <w:left w:val="single" w:sz="4" w:space="0" w:color="auto"/>
              <w:bottom w:val="single" w:sz="4" w:space="0" w:color="auto"/>
              <w:right w:val="single" w:sz="4" w:space="0" w:color="auto"/>
            </w:tcBorders>
          </w:tcPr>
          <w:p w14:paraId="66703721" w14:textId="77777777" w:rsidR="00087B9D" w:rsidRDefault="00087B9D" w:rsidP="00FC1F06">
            <w:pPr>
              <w:jc w:val="center"/>
              <w:rPr>
                <w:rFonts w:cstheme="minorHAnsi"/>
              </w:rPr>
            </w:pPr>
            <w:r>
              <w:rPr>
                <w:noProof/>
                <w:lang w:eastAsia="en-GB"/>
              </w:rPr>
              <w:drawing>
                <wp:inline distT="0" distB="0" distL="0" distR="0" wp14:anchorId="235B3BC6" wp14:editId="7E10DD8A">
                  <wp:extent cx="2764800" cy="162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l="1475" t="2571" r="1923" b="2732"/>
                          <a:stretch/>
                        </pic:blipFill>
                        <pic:spPr bwMode="auto">
                          <a:xfrm>
                            <a:off x="0" y="0"/>
                            <a:ext cx="2764800" cy="1620000"/>
                          </a:xfrm>
                          <a:prstGeom prst="rect">
                            <a:avLst/>
                          </a:prstGeom>
                          <a:ln>
                            <a:noFill/>
                          </a:ln>
                          <a:extLst>
                            <a:ext uri="{53640926-AAD7-44D8-BBD7-CCE9431645EC}">
                              <a14:shadowObscured xmlns:a14="http://schemas.microsoft.com/office/drawing/2010/main"/>
                            </a:ext>
                          </a:extLst>
                        </pic:spPr>
                      </pic:pic>
                    </a:graphicData>
                  </a:graphic>
                </wp:inline>
              </w:drawing>
            </w:r>
          </w:p>
        </w:tc>
      </w:tr>
      <w:tr w:rsidR="00087B9D" w:rsidRPr="003956E7" w14:paraId="0C5DC368" w14:textId="77777777" w:rsidTr="00FC1F06">
        <w:tc>
          <w:tcPr>
            <w:tcW w:w="9117" w:type="dxa"/>
            <w:gridSpan w:val="2"/>
            <w:tcBorders>
              <w:top w:val="single" w:sz="4" w:space="0" w:color="auto"/>
              <w:left w:val="nil"/>
              <w:bottom w:val="nil"/>
              <w:right w:val="nil"/>
            </w:tcBorders>
          </w:tcPr>
          <w:p w14:paraId="69696BE9" w14:textId="77777777" w:rsidR="00087B9D" w:rsidRPr="003956E7" w:rsidRDefault="00087B9D" w:rsidP="00FC1F06">
            <w:pPr>
              <w:rPr>
                <w:rFonts w:cstheme="minorHAnsi"/>
                <w:sz w:val="18"/>
                <w:szCs w:val="18"/>
              </w:rPr>
            </w:pPr>
            <w:r w:rsidRPr="00E04697">
              <w:rPr>
                <w:rFonts w:cstheme="minorHAnsi"/>
                <w:i/>
                <w:sz w:val="18"/>
                <w:szCs w:val="18"/>
              </w:rPr>
              <w:t>Source:</w:t>
            </w:r>
            <w:r w:rsidRPr="003956E7">
              <w:rPr>
                <w:rFonts w:cstheme="minorHAnsi"/>
                <w:sz w:val="18"/>
                <w:szCs w:val="18"/>
              </w:rPr>
              <w:t xml:space="preserve"> designed by TCD and Daft</w:t>
            </w:r>
            <w:r>
              <w:rPr>
                <w:rFonts w:cstheme="minorHAnsi"/>
                <w:sz w:val="18"/>
                <w:szCs w:val="18"/>
              </w:rPr>
              <w:t>.ie</w:t>
            </w:r>
          </w:p>
        </w:tc>
      </w:tr>
    </w:tbl>
    <w:p w14:paraId="13BCAAA9" w14:textId="77777777" w:rsidR="00087B9D" w:rsidRPr="00125EFD" w:rsidRDefault="00087B9D" w:rsidP="00087B9D">
      <w:pPr>
        <w:spacing w:after="240"/>
        <w:jc w:val="both"/>
        <w:rPr>
          <w:rFonts w:cstheme="minorHAnsi"/>
          <w:sz w:val="24"/>
          <w:szCs w:val="24"/>
        </w:rPr>
      </w:pPr>
      <w:r w:rsidRPr="00125EFD">
        <w:rPr>
          <w:rFonts w:cstheme="minorHAnsi"/>
          <w:sz w:val="24"/>
          <w:szCs w:val="24"/>
        </w:rPr>
        <w:t>The labels were displayed from early February 2018 in addition to existing BER advertising requirements (at the bottom of the advertisement). However, as there were a number of implementation issues during February, our analysis of treatment effects is from March 1</w:t>
      </w:r>
      <w:r w:rsidRPr="00125EFD">
        <w:rPr>
          <w:rFonts w:cstheme="minorHAnsi"/>
          <w:sz w:val="24"/>
          <w:szCs w:val="24"/>
          <w:vertAlign w:val="superscript"/>
        </w:rPr>
        <w:t>st</w:t>
      </w:r>
      <w:r w:rsidRPr="00125EFD">
        <w:rPr>
          <w:rFonts w:cstheme="minorHAnsi"/>
          <w:sz w:val="24"/>
          <w:szCs w:val="24"/>
        </w:rPr>
        <w:t xml:space="preserve"> onwards (February is excluded from the analysis entirely, for simplicity). For treatment allocation, we split Ireland into 26 property markets, in line with the traditional administrative counties within the Republic of Ireland. While a larger number of markets would be preferable for randomisation, we were constrained by buyer search patterns which is generally within counties. This split would therefore help to reduce treatment contamination, that is, buyers learning about energy costs from a treatment county and applying this new knowledge to a control county. Each market was randomly allocated, with one exception – we combined the capital city Dublin with its surrounding counties (Meath, Kildare and Wicklow) and imposed this aggregate group to treatment. We did so as many Dublin workers reside in these counties, and we expected that such buyers would search for properties across this wider geographic area. The final county allocation is displayed in Table 2 with county numbers and shares (of total dataset). County shares generally range between 1% and 6% with two exceptions – Cork with 11% and Dublin with 34%. </w:t>
      </w:r>
    </w:p>
    <w:p w14:paraId="47EBC366" w14:textId="77777777" w:rsidR="00087B9D" w:rsidRDefault="00087B9D" w:rsidP="00087B9D">
      <w:pPr>
        <w:spacing w:after="240"/>
        <w:jc w:val="both"/>
        <w:rPr>
          <w:rFonts w:cstheme="minorHAnsi"/>
        </w:rPr>
      </w:pPr>
    </w:p>
    <w:p w14:paraId="3AB40E20" w14:textId="77777777" w:rsidR="00087B9D" w:rsidRDefault="00087B9D" w:rsidP="00087B9D">
      <w:pPr>
        <w:spacing w:after="240"/>
        <w:jc w:val="both"/>
        <w:rPr>
          <w:rFonts w:cstheme="minorHAnsi"/>
        </w:rPr>
      </w:pPr>
    </w:p>
    <w:p w14:paraId="288EB4F2" w14:textId="77777777" w:rsidR="00087B9D" w:rsidRDefault="00087B9D" w:rsidP="00087B9D">
      <w:pPr>
        <w:spacing w:after="240"/>
        <w:jc w:val="both"/>
        <w:rPr>
          <w:rFonts w:cstheme="minorHAnsi"/>
        </w:rPr>
      </w:pPr>
    </w:p>
    <w:p w14:paraId="05C08128" w14:textId="77777777" w:rsidR="00087B9D" w:rsidRDefault="00087B9D" w:rsidP="00087B9D">
      <w:pPr>
        <w:spacing w:after="240"/>
        <w:jc w:val="both"/>
        <w:rPr>
          <w:rFonts w:cstheme="minorHAnsi"/>
        </w:rPr>
      </w:pPr>
    </w:p>
    <w:p w14:paraId="7092BE61" w14:textId="77777777" w:rsidR="002216D8" w:rsidRDefault="002216D8" w:rsidP="00087B9D">
      <w:pPr>
        <w:spacing w:after="240"/>
        <w:jc w:val="both"/>
        <w:rPr>
          <w:rFonts w:cstheme="minorHAnsi"/>
        </w:rPr>
      </w:pPr>
    </w:p>
    <w:p w14:paraId="1772BFC9" w14:textId="77777777" w:rsidR="002216D8" w:rsidRDefault="002216D8" w:rsidP="00087B9D">
      <w:pPr>
        <w:spacing w:after="240"/>
        <w:jc w:val="both"/>
        <w:rPr>
          <w:rFonts w:cstheme="minorHAnsi"/>
        </w:rPr>
      </w:pPr>
    </w:p>
    <w:p w14:paraId="45279BD2" w14:textId="77777777" w:rsidR="00087B9D" w:rsidRDefault="00087B9D" w:rsidP="00087B9D">
      <w:pPr>
        <w:spacing w:after="240"/>
        <w:jc w:val="both"/>
        <w:rPr>
          <w:rFonts w:cstheme="minorHAnsi"/>
        </w:rPr>
      </w:pPr>
    </w:p>
    <w:p w14:paraId="1B919B49" w14:textId="77777777" w:rsidR="00087B9D" w:rsidRDefault="00087B9D" w:rsidP="00087B9D">
      <w:pPr>
        <w:spacing w:after="240"/>
        <w:jc w:val="both"/>
        <w:rPr>
          <w:rFonts w:cstheme="minorHAnsi"/>
        </w:rPr>
      </w:pPr>
    </w:p>
    <w:p w14:paraId="3BFF0AC0" w14:textId="77777777" w:rsidR="00087B9D" w:rsidRDefault="00087B9D" w:rsidP="00087B9D">
      <w:pPr>
        <w:spacing w:after="240"/>
        <w:jc w:val="both"/>
        <w:rPr>
          <w:rFonts w:cstheme="minorHAnsi"/>
        </w:rPr>
      </w:pPr>
    </w:p>
    <w:tbl>
      <w:tblPr>
        <w:tblW w:w="9015" w:type="dxa"/>
        <w:tblLook w:val="04A0" w:firstRow="1" w:lastRow="0" w:firstColumn="1" w:lastColumn="0" w:noHBand="0" w:noVBand="1"/>
      </w:tblPr>
      <w:tblGrid>
        <w:gridCol w:w="2835"/>
        <w:gridCol w:w="821"/>
        <w:gridCol w:w="895"/>
        <w:gridCol w:w="2748"/>
        <w:gridCol w:w="821"/>
        <w:gridCol w:w="895"/>
      </w:tblGrid>
      <w:tr w:rsidR="00087B9D" w:rsidRPr="0034645D" w14:paraId="2BC7F9EE" w14:textId="77777777" w:rsidTr="00FC1F06">
        <w:trPr>
          <w:trHeight w:val="300"/>
        </w:trPr>
        <w:tc>
          <w:tcPr>
            <w:tcW w:w="9015" w:type="dxa"/>
            <w:gridSpan w:val="6"/>
            <w:tcBorders>
              <w:top w:val="nil"/>
              <w:left w:val="nil"/>
              <w:bottom w:val="single" w:sz="4" w:space="0" w:color="auto"/>
            </w:tcBorders>
            <w:shd w:val="clear" w:color="auto" w:fill="auto"/>
            <w:noWrap/>
            <w:vAlign w:val="center"/>
          </w:tcPr>
          <w:p w14:paraId="01AB82DD" w14:textId="77777777" w:rsidR="00087B9D" w:rsidRPr="00B8771C" w:rsidRDefault="00087B9D" w:rsidP="00FC1F06">
            <w:pPr>
              <w:spacing w:after="0" w:line="240" w:lineRule="auto"/>
              <w:jc w:val="center"/>
              <w:rPr>
                <w:rFonts w:ascii="Times" w:eastAsia="Times New Roman" w:hAnsi="Times" w:cs="Times"/>
                <w:b/>
                <w:iCs/>
                <w:color w:val="000000"/>
                <w:lang w:val="en-IE" w:eastAsia="en-IE"/>
              </w:rPr>
            </w:pPr>
            <w:r w:rsidRPr="00B8771C">
              <w:rPr>
                <w:rFonts w:cstheme="minorHAnsi"/>
                <w:b/>
              </w:rPr>
              <w:lastRenderedPageBreak/>
              <w:t>Table 2: Control and Treatment County Allocation for Daft.ie-TCD trial</w:t>
            </w:r>
          </w:p>
        </w:tc>
      </w:tr>
      <w:tr w:rsidR="00087B9D" w:rsidRPr="0034645D" w14:paraId="427EB673" w14:textId="77777777" w:rsidTr="00FC1F06">
        <w:trPr>
          <w:trHeight w:val="300"/>
        </w:trPr>
        <w:tc>
          <w:tcPr>
            <w:tcW w:w="4551" w:type="dxa"/>
            <w:gridSpan w:val="3"/>
            <w:tcBorders>
              <w:top w:val="single" w:sz="4" w:space="0" w:color="auto"/>
              <w:left w:val="single" w:sz="4" w:space="0" w:color="auto"/>
              <w:bottom w:val="nil"/>
              <w:right w:val="single" w:sz="12" w:space="0" w:color="auto"/>
            </w:tcBorders>
            <w:shd w:val="clear" w:color="000000" w:fill="DEEAF6"/>
            <w:noWrap/>
            <w:vAlign w:val="center"/>
            <w:hideMark/>
          </w:tcPr>
          <w:p w14:paraId="31CBE84B" w14:textId="77777777" w:rsidR="00087B9D" w:rsidRPr="0034645D" w:rsidRDefault="00087B9D" w:rsidP="00FC1F06">
            <w:pPr>
              <w:spacing w:after="0" w:line="240" w:lineRule="auto"/>
              <w:jc w:val="center"/>
              <w:rPr>
                <w:rFonts w:ascii="Times" w:eastAsia="Times New Roman" w:hAnsi="Times" w:cs="Times"/>
                <w:i/>
                <w:iCs/>
                <w:color w:val="000000"/>
                <w:lang w:val="en-IE" w:eastAsia="en-IE"/>
              </w:rPr>
            </w:pPr>
            <w:r w:rsidRPr="0034645D">
              <w:rPr>
                <w:rFonts w:ascii="Times" w:eastAsia="Times New Roman" w:hAnsi="Times" w:cs="Times"/>
                <w:i/>
                <w:iCs/>
                <w:color w:val="000000"/>
                <w:lang w:val="en-IE" w:eastAsia="en-IE"/>
              </w:rPr>
              <w:t>Control</w:t>
            </w:r>
          </w:p>
        </w:tc>
        <w:tc>
          <w:tcPr>
            <w:tcW w:w="4464" w:type="dxa"/>
            <w:gridSpan w:val="3"/>
            <w:tcBorders>
              <w:top w:val="single" w:sz="4" w:space="0" w:color="auto"/>
              <w:left w:val="single" w:sz="12" w:space="0" w:color="auto"/>
              <w:bottom w:val="nil"/>
              <w:right w:val="single" w:sz="4" w:space="0" w:color="auto"/>
            </w:tcBorders>
            <w:shd w:val="clear" w:color="000000" w:fill="DEEAF6"/>
            <w:noWrap/>
            <w:vAlign w:val="center"/>
            <w:hideMark/>
          </w:tcPr>
          <w:p w14:paraId="769B6500" w14:textId="77777777" w:rsidR="00087B9D" w:rsidRPr="0034645D" w:rsidRDefault="00087B9D" w:rsidP="00FC1F06">
            <w:pPr>
              <w:spacing w:after="0" w:line="240" w:lineRule="auto"/>
              <w:jc w:val="center"/>
              <w:rPr>
                <w:rFonts w:ascii="Times" w:eastAsia="Times New Roman" w:hAnsi="Times" w:cs="Times"/>
                <w:i/>
                <w:iCs/>
                <w:color w:val="000000"/>
                <w:lang w:val="en-IE" w:eastAsia="en-IE"/>
              </w:rPr>
            </w:pPr>
            <w:r w:rsidRPr="0034645D">
              <w:rPr>
                <w:rFonts w:ascii="Times" w:eastAsia="Times New Roman" w:hAnsi="Times" w:cs="Times"/>
                <w:i/>
                <w:iCs/>
                <w:color w:val="000000"/>
                <w:lang w:val="en-IE" w:eastAsia="en-IE"/>
              </w:rPr>
              <w:t>Treatment</w:t>
            </w:r>
          </w:p>
        </w:tc>
      </w:tr>
      <w:tr w:rsidR="00087B9D" w:rsidRPr="0034645D" w14:paraId="47F485B0" w14:textId="77777777" w:rsidTr="00FC1F06">
        <w:trPr>
          <w:trHeight w:val="315"/>
        </w:trPr>
        <w:tc>
          <w:tcPr>
            <w:tcW w:w="2835" w:type="dxa"/>
            <w:tcBorders>
              <w:top w:val="nil"/>
              <w:left w:val="single" w:sz="4" w:space="0" w:color="auto"/>
              <w:bottom w:val="single" w:sz="8" w:space="0" w:color="auto"/>
              <w:right w:val="nil"/>
            </w:tcBorders>
            <w:shd w:val="clear" w:color="000000" w:fill="DEEAF6"/>
            <w:noWrap/>
            <w:vAlign w:val="center"/>
            <w:hideMark/>
          </w:tcPr>
          <w:p w14:paraId="122A2096" w14:textId="77777777" w:rsidR="00087B9D" w:rsidRPr="0034645D" w:rsidRDefault="00087B9D" w:rsidP="00FC1F06">
            <w:pPr>
              <w:spacing w:after="0" w:line="240" w:lineRule="auto"/>
              <w:rPr>
                <w:rFonts w:ascii="Times" w:eastAsia="Times New Roman" w:hAnsi="Times" w:cs="Times"/>
                <w:b/>
                <w:bCs/>
                <w:color w:val="000000"/>
                <w:lang w:val="en-IE" w:eastAsia="en-IE"/>
              </w:rPr>
            </w:pPr>
            <w:r w:rsidRPr="0034645D">
              <w:rPr>
                <w:rFonts w:ascii="Times" w:eastAsia="Times New Roman" w:hAnsi="Times" w:cs="Times"/>
                <w:b/>
                <w:bCs/>
                <w:color w:val="000000"/>
                <w:lang w:val="en-IE" w:eastAsia="en-IE"/>
              </w:rPr>
              <w:t>County</w:t>
            </w:r>
          </w:p>
        </w:tc>
        <w:tc>
          <w:tcPr>
            <w:tcW w:w="821" w:type="dxa"/>
            <w:tcBorders>
              <w:top w:val="nil"/>
              <w:left w:val="nil"/>
              <w:bottom w:val="single" w:sz="8" w:space="0" w:color="auto"/>
              <w:right w:val="nil"/>
            </w:tcBorders>
            <w:shd w:val="clear" w:color="000000" w:fill="DEEAF6"/>
            <w:noWrap/>
            <w:vAlign w:val="center"/>
            <w:hideMark/>
          </w:tcPr>
          <w:p w14:paraId="7530E6EB" w14:textId="77777777" w:rsidR="00087B9D" w:rsidRPr="0034645D" w:rsidRDefault="00087B9D" w:rsidP="00FC1F06">
            <w:pPr>
              <w:spacing w:after="0" w:line="240" w:lineRule="auto"/>
              <w:jc w:val="center"/>
              <w:rPr>
                <w:rFonts w:ascii="Times" w:eastAsia="Times New Roman" w:hAnsi="Times" w:cs="Times"/>
                <w:b/>
                <w:bCs/>
                <w:color w:val="000000"/>
                <w:lang w:val="en-IE" w:eastAsia="en-IE"/>
              </w:rPr>
            </w:pPr>
            <w:r w:rsidRPr="0034645D">
              <w:rPr>
                <w:rFonts w:ascii="Times" w:eastAsia="Times New Roman" w:hAnsi="Times" w:cs="Times"/>
                <w:b/>
                <w:bCs/>
                <w:color w:val="000000"/>
                <w:lang w:val="en-IE" w:eastAsia="en-IE"/>
              </w:rPr>
              <w:t>N</w:t>
            </w:r>
          </w:p>
        </w:tc>
        <w:tc>
          <w:tcPr>
            <w:tcW w:w="895" w:type="dxa"/>
            <w:tcBorders>
              <w:top w:val="nil"/>
              <w:left w:val="nil"/>
              <w:bottom w:val="single" w:sz="8" w:space="0" w:color="auto"/>
              <w:right w:val="single" w:sz="12" w:space="0" w:color="auto"/>
            </w:tcBorders>
            <w:shd w:val="clear" w:color="000000" w:fill="DEEAF6"/>
            <w:noWrap/>
            <w:vAlign w:val="center"/>
            <w:hideMark/>
          </w:tcPr>
          <w:p w14:paraId="7017A9B3" w14:textId="77777777" w:rsidR="00087B9D" w:rsidRPr="0034645D" w:rsidRDefault="00087B9D" w:rsidP="00FC1F06">
            <w:pPr>
              <w:spacing w:after="0" w:line="240" w:lineRule="auto"/>
              <w:jc w:val="center"/>
              <w:rPr>
                <w:rFonts w:ascii="Times" w:eastAsia="Times New Roman" w:hAnsi="Times" w:cs="Times"/>
                <w:b/>
                <w:bCs/>
                <w:color w:val="000000"/>
                <w:lang w:val="en-IE" w:eastAsia="en-IE"/>
              </w:rPr>
            </w:pPr>
            <w:r w:rsidRPr="0034645D">
              <w:rPr>
                <w:rFonts w:ascii="Times" w:eastAsia="Times New Roman" w:hAnsi="Times" w:cs="Times"/>
                <w:b/>
                <w:bCs/>
                <w:color w:val="000000"/>
                <w:lang w:val="en-IE" w:eastAsia="en-IE"/>
              </w:rPr>
              <w:t>%</w:t>
            </w:r>
          </w:p>
        </w:tc>
        <w:tc>
          <w:tcPr>
            <w:tcW w:w="2748" w:type="dxa"/>
            <w:tcBorders>
              <w:top w:val="nil"/>
              <w:left w:val="single" w:sz="12" w:space="0" w:color="auto"/>
              <w:bottom w:val="single" w:sz="8" w:space="0" w:color="auto"/>
              <w:right w:val="nil"/>
            </w:tcBorders>
            <w:shd w:val="clear" w:color="000000" w:fill="DEEAF6"/>
            <w:noWrap/>
            <w:vAlign w:val="center"/>
            <w:hideMark/>
          </w:tcPr>
          <w:p w14:paraId="56D61A42" w14:textId="77777777" w:rsidR="00087B9D" w:rsidRPr="0034645D" w:rsidRDefault="00087B9D" w:rsidP="00FC1F06">
            <w:pPr>
              <w:spacing w:after="0" w:line="240" w:lineRule="auto"/>
              <w:rPr>
                <w:rFonts w:ascii="Times" w:eastAsia="Times New Roman" w:hAnsi="Times" w:cs="Times"/>
                <w:b/>
                <w:bCs/>
                <w:color w:val="000000"/>
                <w:lang w:val="en-IE" w:eastAsia="en-IE"/>
              </w:rPr>
            </w:pPr>
            <w:r w:rsidRPr="0034645D">
              <w:rPr>
                <w:rFonts w:ascii="Times" w:eastAsia="Times New Roman" w:hAnsi="Times" w:cs="Times"/>
                <w:b/>
                <w:bCs/>
                <w:color w:val="000000"/>
                <w:lang w:val="en-IE" w:eastAsia="en-IE"/>
              </w:rPr>
              <w:t>County</w:t>
            </w:r>
          </w:p>
        </w:tc>
        <w:tc>
          <w:tcPr>
            <w:tcW w:w="821" w:type="dxa"/>
            <w:tcBorders>
              <w:top w:val="nil"/>
              <w:left w:val="nil"/>
              <w:bottom w:val="single" w:sz="8" w:space="0" w:color="auto"/>
              <w:right w:val="nil"/>
            </w:tcBorders>
            <w:shd w:val="clear" w:color="000000" w:fill="DEEAF6"/>
            <w:noWrap/>
            <w:vAlign w:val="center"/>
            <w:hideMark/>
          </w:tcPr>
          <w:p w14:paraId="6EBA34E8" w14:textId="77777777" w:rsidR="00087B9D" w:rsidRPr="0034645D" w:rsidRDefault="00087B9D" w:rsidP="00FC1F06">
            <w:pPr>
              <w:spacing w:after="0" w:line="240" w:lineRule="auto"/>
              <w:jc w:val="center"/>
              <w:rPr>
                <w:rFonts w:ascii="Times" w:eastAsia="Times New Roman" w:hAnsi="Times" w:cs="Times"/>
                <w:b/>
                <w:bCs/>
                <w:color w:val="000000"/>
                <w:lang w:val="en-IE" w:eastAsia="en-IE"/>
              </w:rPr>
            </w:pPr>
            <w:r w:rsidRPr="0034645D">
              <w:rPr>
                <w:rFonts w:ascii="Times" w:eastAsia="Times New Roman" w:hAnsi="Times" w:cs="Times"/>
                <w:b/>
                <w:bCs/>
                <w:color w:val="000000"/>
                <w:lang w:val="en-IE" w:eastAsia="en-IE"/>
              </w:rPr>
              <w:t>N</w:t>
            </w:r>
          </w:p>
        </w:tc>
        <w:tc>
          <w:tcPr>
            <w:tcW w:w="895" w:type="dxa"/>
            <w:tcBorders>
              <w:top w:val="nil"/>
              <w:left w:val="nil"/>
              <w:bottom w:val="single" w:sz="8" w:space="0" w:color="auto"/>
              <w:right w:val="single" w:sz="4" w:space="0" w:color="auto"/>
            </w:tcBorders>
            <w:shd w:val="clear" w:color="000000" w:fill="DEEAF6"/>
            <w:noWrap/>
            <w:vAlign w:val="center"/>
            <w:hideMark/>
          </w:tcPr>
          <w:p w14:paraId="788CADCD" w14:textId="77777777" w:rsidR="00087B9D" w:rsidRPr="0034645D" w:rsidRDefault="00087B9D" w:rsidP="00FC1F06">
            <w:pPr>
              <w:spacing w:after="0" w:line="240" w:lineRule="auto"/>
              <w:jc w:val="center"/>
              <w:rPr>
                <w:rFonts w:ascii="Times" w:eastAsia="Times New Roman" w:hAnsi="Times" w:cs="Times"/>
                <w:b/>
                <w:bCs/>
                <w:color w:val="000000"/>
                <w:lang w:val="en-IE" w:eastAsia="en-IE"/>
              </w:rPr>
            </w:pPr>
            <w:r w:rsidRPr="0034645D">
              <w:rPr>
                <w:rFonts w:ascii="Times" w:eastAsia="Times New Roman" w:hAnsi="Times" w:cs="Times"/>
                <w:b/>
                <w:bCs/>
                <w:color w:val="000000"/>
                <w:lang w:val="en-IE" w:eastAsia="en-IE"/>
              </w:rPr>
              <w:t>%</w:t>
            </w:r>
          </w:p>
        </w:tc>
      </w:tr>
      <w:tr w:rsidR="00087B9D" w:rsidRPr="0034645D" w14:paraId="56BD300E" w14:textId="77777777" w:rsidTr="00FC1F06">
        <w:trPr>
          <w:trHeight w:val="300"/>
        </w:trPr>
        <w:tc>
          <w:tcPr>
            <w:tcW w:w="2835" w:type="dxa"/>
            <w:tcBorders>
              <w:top w:val="nil"/>
              <w:left w:val="single" w:sz="4" w:space="0" w:color="auto"/>
              <w:bottom w:val="nil"/>
              <w:right w:val="nil"/>
            </w:tcBorders>
            <w:shd w:val="clear" w:color="auto" w:fill="auto"/>
            <w:noWrap/>
            <w:vAlign w:val="center"/>
            <w:hideMark/>
          </w:tcPr>
          <w:p w14:paraId="0AB9804A" w14:textId="77777777" w:rsidR="00087B9D" w:rsidRPr="0034645D" w:rsidRDefault="00087B9D" w:rsidP="00FC1F06">
            <w:pPr>
              <w:spacing w:after="0" w:line="240" w:lineRule="auto"/>
              <w:rPr>
                <w:rFonts w:ascii="Times" w:eastAsia="Times New Roman" w:hAnsi="Times" w:cs="Times"/>
                <w:color w:val="000000"/>
                <w:lang w:val="en-IE" w:eastAsia="en-IE"/>
              </w:rPr>
            </w:pPr>
            <w:r w:rsidRPr="0034645D">
              <w:rPr>
                <w:rFonts w:ascii="Times" w:eastAsia="Times New Roman" w:hAnsi="Times" w:cs="Times"/>
                <w:color w:val="000000"/>
                <w:lang w:val="en-IE" w:eastAsia="en-IE"/>
              </w:rPr>
              <w:t>Cork</w:t>
            </w:r>
          </w:p>
        </w:tc>
        <w:tc>
          <w:tcPr>
            <w:tcW w:w="821" w:type="dxa"/>
            <w:tcBorders>
              <w:top w:val="nil"/>
              <w:left w:val="nil"/>
              <w:bottom w:val="nil"/>
              <w:right w:val="nil"/>
            </w:tcBorders>
            <w:shd w:val="clear" w:color="auto" w:fill="auto"/>
            <w:noWrap/>
            <w:vAlign w:val="center"/>
            <w:hideMark/>
          </w:tcPr>
          <w:p w14:paraId="097B5813" w14:textId="77777777" w:rsidR="00087B9D" w:rsidRPr="0034645D" w:rsidRDefault="00087B9D" w:rsidP="00FC1F06">
            <w:pPr>
              <w:spacing w:after="0" w:line="240" w:lineRule="auto"/>
              <w:jc w:val="right"/>
              <w:rPr>
                <w:rFonts w:ascii="Times" w:eastAsia="Times New Roman" w:hAnsi="Times" w:cs="Times"/>
                <w:color w:val="000000"/>
                <w:lang w:val="en-IE" w:eastAsia="en-IE"/>
              </w:rPr>
            </w:pPr>
            <w:r w:rsidRPr="0034645D">
              <w:rPr>
                <w:rFonts w:ascii="Times" w:eastAsia="Times New Roman" w:hAnsi="Times" w:cs="Times"/>
                <w:color w:val="000000"/>
                <w:lang w:val="en-IE" w:eastAsia="en-IE"/>
              </w:rPr>
              <w:t>29,778</w:t>
            </w:r>
          </w:p>
        </w:tc>
        <w:tc>
          <w:tcPr>
            <w:tcW w:w="895" w:type="dxa"/>
            <w:tcBorders>
              <w:top w:val="nil"/>
              <w:left w:val="nil"/>
              <w:bottom w:val="nil"/>
              <w:right w:val="single" w:sz="12" w:space="0" w:color="auto"/>
            </w:tcBorders>
            <w:shd w:val="clear" w:color="auto" w:fill="auto"/>
            <w:noWrap/>
            <w:vAlign w:val="center"/>
            <w:hideMark/>
          </w:tcPr>
          <w:p w14:paraId="5BEE856D" w14:textId="77777777" w:rsidR="00087B9D" w:rsidRPr="0034645D" w:rsidRDefault="00087B9D" w:rsidP="00FC1F06">
            <w:pPr>
              <w:spacing w:after="0" w:line="240" w:lineRule="auto"/>
              <w:jc w:val="center"/>
              <w:rPr>
                <w:rFonts w:ascii="Times" w:eastAsia="Times New Roman" w:hAnsi="Times" w:cs="Times"/>
                <w:color w:val="000000"/>
                <w:lang w:val="en-IE" w:eastAsia="en-IE"/>
              </w:rPr>
            </w:pPr>
            <w:r w:rsidRPr="0034645D">
              <w:rPr>
                <w:rFonts w:ascii="Times" w:eastAsia="Times New Roman" w:hAnsi="Times" w:cs="Times"/>
                <w:color w:val="000000"/>
                <w:lang w:val="en-IE" w:eastAsia="en-IE"/>
              </w:rPr>
              <w:t>11.25%</w:t>
            </w:r>
          </w:p>
        </w:tc>
        <w:tc>
          <w:tcPr>
            <w:tcW w:w="2748" w:type="dxa"/>
            <w:tcBorders>
              <w:top w:val="nil"/>
              <w:left w:val="single" w:sz="12" w:space="0" w:color="auto"/>
              <w:bottom w:val="nil"/>
              <w:right w:val="nil"/>
            </w:tcBorders>
            <w:shd w:val="clear" w:color="auto" w:fill="auto"/>
            <w:noWrap/>
            <w:vAlign w:val="center"/>
            <w:hideMark/>
          </w:tcPr>
          <w:p w14:paraId="68818D19" w14:textId="77777777" w:rsidR="00087B9D" w:rsidRPr="0034645D" w:rsidRDefault="00087B9D" w:rsidP="00FC1F06">
            <w:pPr>
              <w:spacing w:after="0" w:line="240" w:lineRule="auto"/>
              <w:rPr>
                <w:rFonts w:ascii="Times" w:eastAsia="Times New Roman" w:hAnsi="Times" w:cs="Times"/>
                <w:color w:val="000000"/>
                <w:lang w:val="en-IE" w:eastAsia="en-IE"/>
              </w:rPr>
            </w:pPr>
            <w:r w:rsidRPr="0034645D">
              <w:rPr>
                <w:rFonts w:ascii="Times" w:eastAsia="Times New Roman" w:hAnsi="Times" w:cs="Times"/>
                <w:color w:val="000000"/>
                <w:lang w:val="en-IE" w:eastAsia="en-IE"/>
              </w:rPr>
              <w:t>Carlow</w:t>
            </w:r>
          </w:p>
        </w:tc>
        <w:tc>
          <w:tcPr>
            <w:tcW w:w="821" w:type="dxa"/>
            <w:tcBorders>
              <w:top w:val="nil"/>
              <w:left w:val="nil"/>
              <w:bottom w:val="nil"/>
              <w:right w:val="nil"/>
            </w:tcBorders>
            <w:shd w:val="clear" w:color="auto" w:fill="auto"/>
            <w:noWrap/>
            <w:vAlign w:val="center"/>
            <w:hideMark/>
          </w:tcPr>
          <w:p w14:paraId="4D0EE481" w14:textId="77777777" w:rsidR="00087B9D" w:rsidRPr="0034645D" w:rsidRDefault="00087B9D" w:rsidP="00FC1F06">
            <w:pPr>
              <w:spacing w:after="0" w:line="240" w:lineRule="auto"/>
              <w:jc w:val="right"/>
              <w:rPr>
                <w:rFonts w:ascii="Times" w:eastAsia="Times New Roman" w:hAnsi="Times" w:cs="Times"/>
                <w:color w:val="000000"/>
                <w:lang w:val="en-IE" w:eastAsia="en-IE"/>
              </w:rPr>
            </w:pPr>
            <w:r w:rsidRPr="0034645D">
              <w:rPr>
                <w:rFonts w:ascii="Times" w:eastAsia="Times New Roman" w:hAnsi="Times" w:cs="Times"/>
                <w:color w:val="000000"/>
                <w:lang w:val="en-IE" w:eastAsia="en-IE"/>
              </w:rPr>
              <w:t>2,772</w:t>
            </w:r>
          </w:p>
        </w:tc>
        <w:tc>
          <w:tcPr>
            <w:tcW w:w="895" w:type="dxa"/>
            <w:tcBorders>
              <w:top w:val="nil"/>
              <w:left w:val="nil"/>
              <w:bottom w:val="nil"/>
              <w:right w:val="single" w:sz="4" w:space="0" w:color="auto"/>
            </w:tcBorders>
            <w:shd w:val="clear" w:color="auto" w:fill="auto"/>
            <w:noWrap/>
            <w:vAlign w:val="center"/>
            <w:hideMark/>
          </w:tcPr>
          <w:p w14:paraId="4F60FC55" w14:textId="77777777" w:rsidR="00087B9D" w:rsidRPr="0034645D" w:rsidRDefault="00087B9D" w:rsidP="00FC1F06">
            <w:pPr>
              <w:spacing w:after="0" w:line="240" w:lineRule="auto"/>
              <w:jc w:val="center"/>
              <w:rPr>
                <w:rFonts w:ascii="Times" w:eastAsia="Times New Roman" w:hAnsi="Times" w:cs="Times"/>
                <w:color w:val="000000"/>
                <w:lang w:val="en-IE" w:eastAsia="en-IE"/>
              </w:rPr>
            </w:pPr>
            <w:r w:rsidRPr="0034645D">
              <w:rPr>
                <w:rFonts w:ascii="Times" w:eastAsia="Times New Roman" w:hAnsi="Times" w:cs="Times"/>
                <w:color w:val="000000"/>
                <w:lang w:val="en-IE" w:eastAsia="en-IE"/>
              </w:rPr>
              <w:t>1.05%</w:t>
            </w:r>
          </w:p>
        </w:tc>
      </w:tr>
      <w:tr w:rsidR="00087B9D" w:rsidRPr="0034645D" w14:paraId="5A110AD0" w14:textId="77777777" w:rsidTr="00FC1F06">
        <w:trPr>
          <w:trHeight w:val="300"/>
        </w:trPr>
        <w:tc>
          <w:tcPr>
            <w:tcW w:w="2835" w:type="dxa"/>
            <w:tcBorders>
              <w:top w:val="nil"/>
              <w:left w:val="single" w:sz="4" w:space="0" w:color="auto"/>
              <w:bottom w:val="nil"/>
              <w:right w:val="nil"/>
            </w:tcBorders>
            <w:shd w:val="clear" w:color="auto" w:fill="auto"/>
            <w:noWrap/>
            <w:vAlign w:val="center"/>
            <w:hideMark/>
          </w:tcPr>
          <w:p w14:paraId="32E9677F" w14:textId="77777777" w:rsidR="00087B9D" w:rsidRPr="0034645D" w:rsidRDefault="00087B9D" w:rsidP="00FC1F06">
            <w:pPr>
              <w:spacing w:after="0" w:line="240" w:lineRule="auto"/>
              <w:rPr>
                <w:rFonts w:ascii="Times" w:eastAsia="Times New Roman" w:hAnsi="Times" w:cs="Times"/>
                <w:color w:val="000000"/>
                <w:lang w:val="en-IE" w:eastAsia="en-IE"/>
              </w:rPr>
            </w:pPr>
            <w:r w:rsidRPr="0034645D">
              <w:rPr>
                <w:rFonts w:ascii="Times" w:eastAsia="Times New Roman" w:hAnsi="Times" w:cs="Times"/>
                <w:color w:val="000000"/>
                <w:lang w:val="en-IE" w:eastAsia="en-IE"/>
              </w:rPr>
              <w:t>Galway</w:t>
            </w:r>
          </w:p>
        </w:tc>
        <w:tc>
          <w:tcPr>
            <w:tcW w:w="821" w:type="dxa"/>
            <w:tcBorders>
              <w:top w:val="nil"/>
              <w:left w:val="nil"/>
              <w:bottom w:val="nil"/>
              <w:right w:val="nil"/>
            </w:tcBorders>
            <w:shd w:val="clear" w:color="auto" w:fill="auto"/>
            <w:noWrap/>
            <w:vAlign w:val="center"/>
            <w:hideMark/>
          </w:tcPr>
          <w:p w14:paraId="3F3447E2" w14:textId="77777777" w:rsidR="00087B9D" w:rsidRPr="0034645D" w:rsidRDefault="00087B9D" w:rsidP="00FC1F06">
            <w:pPr>
              <w:spacing w:after="0" w:line="240" w:lineRule="auto"/>
              <w:jc w:val="right"/>
              <w:rPr>
                <w:rFonts w:ascii="Times" w:eastAsia="Times New Roman" w:hAnsi="Times" w:cs="Times"/>
                <w:color w:val="000000"/>
                <w:lang w:val="en-IE" w:eastAsia="en-IE"/>
              </w:rPr>
            </w:pPr>
            <w:r w:rsidRPr="0034645D">
              <w:rPr>
                <w:rFonts w:ascii="Times" w:eastAsia="Times New Roman" w:hAnsi="Times" w:cs="Times"/>
                <w:color w:val="000000"/>
                <w:lang w:val="en-IE" w:eastAsia="en-IE"/>
              </w:rPr>
              <w:t>14,758</w:t>
            </w:r>
          </w:p>
        </w:tc>
        <w:tc>
          <w:tcPr>
            <w:tcW w:w="895" w:type="dxa"/>
            <w:tcBorders>
              <w:top w:val="nil"/>
              <w:left w:val="nil"/>
              <w:bottom w:val="nil"/>
              <w:right w:val="single" w:sz="12" w:space="0" w:color="auto"/>
            </w:tcBorders>
            <w:shd w:val="clear" w:color="auto" w:fill="auto"/>
            <w:noWrap/>
            <w:vAlign w:val="center"/>
            <w:hideMark/>
          </w:tcPr>
          <w:p w14:paraId="53B66D49" w14:textId="77777777" w:rsidR="00087B9D" w:rsidRPr="0034645D" w:rsidRDefault="00087B9D" w:rsidP="00FC1F06">
            <w:pPr>
              <w:spacing w:after="0" w:line="240" w:lineRule="auto"/>
              <w:jc w:val="center"/>
              <w:rPr>
                <w:rFonts w:ascii="Times" w:eastAsia="Times New Roman" w:hAnsi="Times" w:cs="Times"/>
                <w:color w:val="000000"/>
                <w:lang w:val="en-IE" w:eastAsia="en-IE"/>
              </w:rPr>
            </w:pPr>
            <w:r w:rsidRPr="0034645D">
              <w:rPr>
                <w:rFonts w:ascii="Times" w:eastAsia="Times New Roman" w:hAnsi="Times" w:cs="Times"/>
                <w:color w:val="000000"/>
                <w:lang w:val="en-IE" w:eastAsia="en-IE"/>
              </w:rPr>
              <w:t>5.58%</w:t>
            </w:r>
          </w:p>
        </w:tc>
        <w:tc>
          <w:tcPr>
            <w:tcW w:w="2748" w:type="dxa"/>
            <w:tcBorders>
              <w:top w:val="nil"/>
              <w:left w:val="single" w:sz="12" w:space="0" w:color="auto"/>
              <w:bottom w:val="nil"/>
              <w:right w:val="nil"/>
            </w:tcBorders>
            <w:shd w:val="clear" w:color="auto" w:fill="auto"/>
            <w:noWrap/>
            <w:vAlign w:val="center"/>
            <w:hideMark/>
          </w:tcPr>
          <w:p w14:paraId="188B6E9A" w14:textId="77777777" w:rsidR="00087B9D" w:rsidRPr="0034645D" w:rsidRDefault="00087B9D" w:rsidP="00FC1F06">
            <w:pPr>
              <w:spacing w:after="0" w:line="240" w:lineRule="auto"/>
              <w:rPr>
                <w:rFonts w:ascii="Times" w:eastAsia="Times New Roman" w:hAnsi="Times" w:cs="Times"/>
                <w:color w:val="000000"/>
                <w:lang w:val="en-IE" w:eastAsia="en-IE"/>
              </w:rPr>
            </w:pPr>
            <w:r w:rsidRPr="0034645D">
              <w:rPr>
                <w:rFonts w:ascii="Times" w:eastAsia="Times New Roman" w:hAnsi="Times" w:cs="Times"/>
                <w:color w:val="000000"/>
                <w:lang w:val="en-IE" w:eastAsia="en-IE"/>
              </w:rPr>
              <w:t>Cavan</w:t>
            </w:r>
          </w:p>
        </w:tc>
        <w:tc>
          <w:tcPr>
            <w:tcW w:w="821" w:type="dxa"/>
            <w:tcBorders>
              <w:top w:val="nil"/>
              <w:left w:val="nil"/>
              <w:bottom w:val="nil"/>
              <w:right w:val="nil"/>
            </w:tcBorders>
            <w:shd w:val="clear" w:color="auto" w:fill="auto"/>
            <w:noWrap/>
            <w:vAlign w:val="center"/>
            <w:hideMark/>
          </w:tcPr>
          <w:p w14:paraId="381EBEB2" w14:textId="77777777" w:rsidR="00087B9D" w:rsidRPr="0034645D" w:rsidRDefault="00087B9D" w:rsidP="00FC1F06">
            <w:pPr>
              <w:spacing w:after="0" w:line="240" w:lineRule="auto"/>
              <w:jc w:val="right"/>
              <w:rPr>
                <w:rFonts w:ascii="Times" w:eastAsia="Times New Roman" w:hAnsi="Times" w:cs="Times"/>
                <w:color w:val="000000"/>
                <w:lang w:val="en-IE" w:eastAsia="en-IE"/>
              </w:rPr>
            </w:pPr>
            <w:r w:rsidRPr="0034645D">
              <w:rPr>
                <w:rFonts w:ascii="Times" w:eastAsia="Times New Roman" w:hAnsi="Times" w:cs="Times"/>
                <w:color w:val="000000"/>
                <w:lang w:val="en-IE" w:eastAsia="en-IE"/>
              </w:rPr>
              <w:t>3,743</w:t>
            </w:r>
          </w:p>
        </w:tc>
        <w:tc>
          <w:tcPr>
            <w:tcW w:w="895" w:type="dxa"/>
            <w:tcBorders>
              <w:top w:val="nil"/>
              <w:left w:val="nil"/>
              <w:bottom w:val="nil"/>
              <w:right w:val="single" w:sz="4" w:space="0" w:color="auto"/>
            </w:tcBorders>
            <w:shd w:val="clear" w:color="auto" w:fill="auto"/>
            <w:noWrap/>
            <w:vAlign w:val="center"/>
            <w:hideMark/>
          </w:tcPr>
          <w:p w14:paraId="0E8687B6" w14:textId="77777777" w:rsidR="00087B9D" w:rsidRPr="0034645D" w:rsidRDefault="00087B9D" w:rsidP="00FC1F06">
            <w:pPr>
              <w:spacing w:after="0" w:line="240" w:lineRule="auto"/>
              <w:jc w:val="center"/>
              <w:rPr>
                <w:rFonts w:ascii="Times" w:eastAsia="Times New Roman" w:hAnsi="Times" w:cs="Times"/>
                <w:color w:val="000000"/>
                <w:lang w:val="en-IE" w:eastAsia="en-IE"/>
              </w:rPr>
            </w:pPr>
            <w:r w:rsidRPr="0034645D">
              <w:rPr>
                <w:rFonts w:ascii="Times" w:eastAsia="Times New Roman" w:hAnsi="Times" w:cs="Times"/>
                <w:color w:val="000000"/>
                <w:lang w:val="en-IE" w:eastAsia="en-IE"/>
              </w:rPr>
              <w:t>1.41%</w:t>
            </w:r>
          </w:p>
        </w:tc>
      </w:tr>
      <w:tr w:rsidR="00087B9D" w:rsidRPr="0034645D" w14:paraId="77D5867D" w14:textId="77777777" w:rsidTr="00FC1F06">
        <w:trPr>
          <w:trHeight w:val="300"/>
        </w:trPr>
        <w:tc>
          <w:tcPr>
            <w:tcW w:w="2835" w:type="dxa"/>
            <w:tcBorders>
              <w:top w:val="nil"/>
              <w:left w:val="single" w:sz="4" w:space="0" w:color="auto"/>
              <w:bottom w:val="nil"/>
              <w:right w:val="nil"/>
            </w:tcBorders>
            <w:shd w:val="clear" w:color="auto" w:fill="auto"/>
            <w:noWrap/>
            <w:vAlign w:val="center"/>
            <w:hideMark/>
          </w:tcPr>
          <w:p w14:paraId="5AD8A228" w14:textId="77777777" w:rsidR="00087B9D" w:rsidRPr="0034645D" w:rsidRDefault="00087B9D" w:rsidP="00FC1F06">
            <w:pPr>
              <w:spacing w:after="0" w:line="240" w:lineRule="auto"/>
              <w:rPr>
                <w:rFonts w:ascii="Times" w:eastAsia="Times New Roman" w:hAnsi="Times" w:cs="Times"/>
                <w:color w:val="000000"/>
                <w:lang w:val="en-IE" w:eastAsia="en-IE"/>
              </w:rPr>
            </w:pPr>
            <w:r w:rsidRPr="0034645D">
              <w:rPr>
                <w:rFonts w:ascii="Times" w:eastAsia="Times New Roman" w:hAnsi="Times" w:cs="Times"/>
                <w:color w:val="000000"/>
                <w:lang w:val="en-IE" w:eastAsia="en-IE"/>
              </w:rPr>
              <w:t>Kerry</w:t>
            </w:r>
          </w:p>
        </w:tc>
        <w:tc>
          <w:tcPr>
            <w:tcW w:w="821" w:type="dxa"/>
            <w:tcBorders>
              <w:top w:val="nil"/>
              <w:left w:val="nil"/>
              <w:bottom w:val="nil"/>
              <w:right w:val="nil"/>
            </w:tcBorders>
            <w:shd w:val="clear" w:color="auto" w:fill="auto"/>
            <w:noWrap/>
            <w:vAlign w:val="center"/>
            <w:hideMark/>
          </w:tcPr>
          <w:p w14:paraId="43D1B525" w14:textId="77777777" w:rsidR="00087B9D" w:rsidRPr="0034645D" w:rsidRDefault="00087B9D" w:rsidP="00FC1F06">
            <w:pPr>
              <w:spacing w:after="0" w:line="240" w:lineRule="auto"/>
              <w:jc w:val="right"/>
              <w:rPr>
                <w:rFonts w:ascii="Times" w:eastAsia="Times New Roman" w:hAnsi="Times" w:cs="Times"/>
                <w:color w:val="000000"/>
                <w:lang w:val="en-IE" w:eastAsia="en-IE"/>
              </w:rPr>
            </w:pPr>
            <w:r w:rsidRPr="0034645D">
              <w:rPr>
                <w:rFonts w:ascii="Times" w:eastAsia="Times New Roman" w:hAnsi="Times" w:cs="Times"/>
                <w:color w:val="000000"/>
                <w:lang w:val="en-IE" w:eastAsia="en-IE"/>
              </w:rPr>
              <w:t>7,059</w:t>
            </w:r>
          </w:p>
        </w:tc>
        <w:tc>
          <w:tcPr>
            <w:tcW w:w="895" w:type="dxa"/>
            <w:tcBorders>
              <w:top w:val="nil"/>
              <w:left w:val="nil"/>
              <w:bottom w:val="nil"/>
              <w:right w:val="single" w:sz="12" w:space="0" w:color="auto"/>
            </w:tcBorders>
            <w:shd w:val="clear" w:color="auto" w:fill="auto"/>
            <w:noWrap/>
            <w:vAlign w:val="center"/>
            <w:hideMark/>
          </w:tcPr>
          <w:p w14:paraId="5F1F1366" w14:textId="77777777" w:rsidR="00087B9D" w:rsidRPr="0034645D" w:rsidRDefault="00087B9D" w:rsidP="00FC1F06">
            <w:pPr>
              <w:spacing w:after="0" w:line="240" w:lineRule="auto"/>
              <w:jc w:val="center"/>
              <w:rPr>
                <w:rFonts w:ascii="Times" w:eastAsia="Times New Roman" w:hAnsi="Times" w:cs="Times"/>
                <w:color w:val="000000"/>
                <w:lang w:val="en-IE" w:eastAsia="en-IE"/>
              </w:rPr>
            </w:pPr>
            <w:r w:rsidRPr="0034645D">
              <w:rPr>
                <w:rFonts w:ascii="Times" w:eastAsia="Times New Roman" w:hAnsi="Times" w:cs="Times"/>
                <w:color w:val="000000"/>
                <w:lang w:val="en-IE" w:eastAsia="en-IE"/>
              </w:rPr>
              <w:t>2.67%</w:t>
            </w:r>
          </w:p>
        </w:tc>
        <w:tc>
          <w:tcPr>
            <w:tcW w:w="2748" w:type="dxa"/>
            <w:tcBorders>
              <w:top w:val="nil"/>
              <w:left w:val="single" w:sz="12" w:space="0" w:color="auto"/>
              <w:bottom w:val="nil"/>
              <w:right w:val="nil"/>
            </w:tcBorders>
            <w:shd w:val="clear" w:color="auto" w:fill="auto"/>
            <w:noWrap/>
            <w:vAlign w:val="center"/>
            <w:hideMark/>
          </w:tcPr>
          <w:p w14:paraId="46380A6B" w14:textId="77777777" w:rsidR="00087B9D" w:rsidRPr="0034645D" w:rsidRDefault="00087B9D" w:rsidP="00FC1F06">
            <w:pPr>
              <w:spacing w:after="0" w:line="240" w:lineRule="auto"/>
              <w:rPr>
                <w:rFonts w:ascii="Times" w:eastAsia="Times New Roman" w:hAnsi="Times" w:cs="Times"/>
                <w:color w:val="000000"/>
                <w:lang w:val="en-IE" w:eastAsia="en-IE"/>
              </w:rPr>
            </w:pPr>
            <w:r w:rsidRPr="0034645D">
              <w:rPr>
                <w:rFonts w:ascii="Times" w:eastAsia="Times New Roman" w:hAnsi="Times" w:cs="Times"/>
                <w:color w:val="000000"/>
                <w:lang w:val="en-IE" w:eastAsia="en-IE"/>
              </w:rPr>
              <w:t>Clare</w:t>
            </w:r>
          </w:p>
        </w:tc>
        <w:tc>
          <w:tcPr>
            <w:tcW w:w="821" w:type="dxa"/>
            <w:tcBorders>
              <w:top w:val="nil"/>
              <w:left w:val="nil"/>
              <w:bottom w:val="nil"/>
              <w:right w:val="nil"/>
            </w:tcBorders>
            <w:shd w:val="clear" w:color="auto" w:fill="auto"/>
            <w:noWrap/>
            <w:vAlign w:val="center"/>
            <w:hideMark/>
          </w:tcPr>
          <w:p w14:paraId="6EF486F5" w14:textId="77777777" w:rsidR="00087B9D" w:rsidRPr="0034645D" w:rsidRDefault="00087B9D" w:rsidP="00FC1F06">
            <w:pPr>
              <w:spacing w:after="0" w:line="240" w:lineRule="auto"/>
              <w:jc w:val="right"/>
              <w:rPr>
                <w:rFonts w:ascii="Times" w:eastAsia="Times New Roman" w:hAnsi="Times" w:cs="Times"/>
                <w:color w:val="000000"/>
                <w:lang w:val="en-IE" w:eastAsia="en-IE"/>
              </w:rPr>
            </w:pPr>
            <w:r w:rsidRPr="0034645D">
              <w:rPr>
                <w:rFonts w:ascii="Times" w:eastAsia="Times New Roman" w:hAnsi="Times" w:cs="Times"/>
                <w:color w:val="000000"/>
                <w:lang w:val="en-IE" w:eastAsia="en-IE"/>
              </w:rPr>
              <w:t>5,352</w:t>
            </w:r>
          </w:p>
        </w:tc>
        <w:tc>
          <w:tcPr>
            <w:tcW w:w="895" w:type="dxa"/>
            <w:tcBorders>
              <w:top w:val="nil"/>
              <w:left w:val="nil"/>
              <w:bottom w:val="nil"/>
              <w:right w:val="single" w:sz="4" w:space="0" w:color="auto"/>
            </w:tcBorders>
            <w:shd w:val="clear" w:color="auto" w:fill="auto"/>
            <w:noWrap/>
            <w:vAlign w:val="center"/>
            <w:hideMark/>
          </w:tcPr>
          <w:p w14:paraId="35EA47E9" w14:textId="77777777" w:rsidR="00087B9D" w:rsidRPr="0034645D" w:rsidRDefault="00087B9D" w:rsidP="00FC1F06">
            <w:pPr>
              <w:spacing w:after="0" w:line="240" w:lineRule="auto"/>
              <w:jc w:val="center"/>
              <w:rPr>
                <w:rFonts w:ascii="Times" w:eastAsia="Times New Roman" w:hAnsi="Times" w:cs="Times"/>
                <w:color w:val="000000"/>
                <w:lang w:val="en-IE" w:eastAsia="en-IE"/>
              </w:rPr>
            </w:pPr>
            <w:r w:rsidRPr="0034645D">
              <w:rPr>
                <w:rFonts w:ascii="Times" w:eastAsia="Times New Roman" w:hAnsi="Times" w:cs="Times"/>
                <w:color w:val="000000"/>
                <w:lang w:val="en-IE" w:eastAsia="en-IE"/>
              </w:rPr>
              <w:t>2.02%</w:t>
            </w:r>
          </w:p>
        </w:tc>
      </w:tr>
      <w:tr w:rsidR="00087B9D" w:rsidRPr="0034645D" w14:paraId="112FAD9F" w14:textId="77777777" w:rsidTr="00FC1F06">
        <w:trPr>
          <w:trHeight w:val="300"/>
        </w:trPr>
        <w:tc>
          <w:tcPr>
            <w:tcW w:w="2835" w:type="dxa"/>
            <w:tcBorders>
              <w:top w:val="nil"/>
              <w:left w:val="single" w:sz="4" w:space="0" w:color="auto"/>
              <w:bottom w:val="nil"/>
              <w:right w:val="nil"/>
            </w:tcBorders>
            <w:shd w:val="clear" w:color="auto" w:fill="auto"/>
            <w:noWrap/>
            <w:vAlign w:val="center"/>
            <w:hideMark/>
          </w:tcPr>
          <w:p w14:paraId="5595693D" w14:textId="77777777" w:rsidR="00087B9D" w:rsidRPr="0034645D" w:rsidRDefault="00087B9D" w:rsidP="00FC1F06">
            <w:pPr>
              <w:spacing w:after="0" w:line="240" w:lineRule="auto"/>
              <w:rPr>
                <w:rFonts w:ascii="Times" w:eastAsia="Times New Roman" w:hAnsi="Times" w:cs="Times"/>
                <w:color w:val="000000"/>
                <w:lang w:val="en-IE" w:eastAsia="en-IE"/>
              </w:rPr>
            </w:pPr>
            <w:r w:rsidRPr="0034645D">
              <w:rPr>
                <w:rFonts w:ascii="Times" w:eastAsia="Times New Roman" w:hAnsi="Times" w:cs="Times"/>
                <w:color w:val="000000"/>
                <w:lang w:val="en-IE" w:eastAsia="en-IE"/>
              </w:rPr>
              <w:t>Kilkenny</w:t>
            </w:r>
          </w:p>
        </w:tc>
        <w:tc>
          <w:tcPr>
            <w:tcW w:w="821" w:type="dxa"/>
            <w:tcBorders>
              <w:top w:val="nil"/>
              <w:left w:val="nil"/>
              <w:bottom w:val="nil"/>
              <w:right w:val="nil"/>
            </w:tcBorders>
            <w:shd w:val="clear" w:color="auto" w:fill="auto"/>
            <w:noWrap/>
            <w:vAlign w:val="center"/>
            <w:hideMark/>
          </w:tcPr>
          <w:p w14:paraId="5FF31E80" w14:textId="77777777" w:rsidR="00087B9D" w:rsidRPr="0034645D" w:rsidRDefault="00087B9D" w:rsidP="00FC1F06">
            <w:pPr>
              <w:spacing w:after="0" w:line="240" w:lineRule="auto"/>
              <w:jc w:val="right"/>
              <w:rPr>
                <w:rFonts w:ascii="Times" w:eastAsia="Times New Roman" w:hAnsi="Times" w:cs="Times"/>
                <w:color w:val="000000"/>
                <w:lang w:val="en-IE" w:eastAsia="en-IE"/>
              </w:rPr>
            </w:pPr>
            <w:r w:rsidRPr="0034645D">
              <w:rPr>
                <w:rFonts w:ascii="Times" w:eastAsia="Times New Roman" w:hAnsi="Times" w:cs="Times"/>
                <w:color w:val="000000"/>
                <w:lang w:val="en-IE" w:eastAsia="en-IE"/>
              </w:rPr>
              <w:t>3,628</w:t>
            </w:r>
          </w:p>
        </w:tc>
        <w:tc>
          <w:tcPr>
            <w:tcW w:w="895" w:type="dxa"/>
            <w:tcBorders>
              <w:top w:val="nil"/>
              <w:left w:val="nil"/>
              <w:bottom w:val="nil"/>
              <w:right w:val="single" w:sz="12" w:space="0" w:color="auto"/>
            </w:tcBorders>
            <w:shd w:val="clear" w:color="auto" w:fill="auto"/>
            <w:noWrap/>
            <w:vAlign w:val="center"/>
            <w:hideMark/>
          </w:tcPr>
          <w:p w14:paraId="0CE6106F" w14:textId="77777777" w:rsidR="00087B9D" w:rsidRPr="0034645D" w:rsidRDefault="00087B9D" w:rsidP="00FC1F06">
            <w:pPr>
              <w:spacing w:after="0" w:line="240" w:lineRule="auto"/>
              <w:jc w:val="center"/>
              <w:rPr>
                <w:rFonts w:ascii="Times" w:eastAsia="Times New Roman" w:hAnsi="Times" w:cs="Times"/>
                <w:color w:val="000000"/>
                <w:lang w:val="en-IE" w:eastAsia="en-IE"/>
              </w:rPr>
            </w:pPr>
            <w:r w:rsidRPr="0034645D">
              <w:rPr>
                <w:rFonts w:ascii="Times" w:eastAsia="Times New Roman" w:hAnsi="Times" w:cs="Times"/>
                <w:color w:val="000000"/>
                <w:lang w:val="en-IE" w:eastAsia="en-IE"/>
              </w:rPr>
              <w:t>1.37%</w:t>
            </w:r>
          </w:p>
        </w:tc>
        <w:tc>
          <w:tcPr>
            <w:tcW w:w="2748" w:type="dxa"/>
            <w:tcBorders>
              <w:top w:val="nil"/>
              <w:left w:val="single" w:sz="12" w:space="0" w:color="auto"/>
              <w:bottom w:val="nil"/>
              <w:right w:val="nil"/>
            </w:tcBorders>
            <w:shd w:val="clear" w:color="auto" w:fill="auto"/>
            <w:noWrap/>
            <w:vAlign w:val="center"/>
            <w:hideMark/>
          </w:tcPr>
          <w:p w14:paraId="7111366E" w14:textId="77777777" w:rsidR="00087B9D" w:rsidRPr="0034645D" w:rsidRDefault="00087B9D" w:rsidP="00FC1F06">
            <w:pPr>
              <w:spacing w:after="0" w:line="240" w:lineRule="auto"/>
              <w:rPr>
                <w:rFonts w:ascii="Times" w:eastAsia="Times New Roman" w:hAnsi="Times" w:cs="Times"/>
                <w:color w:val="000000"/>
                <w:lang w:val="en-IE" w:eastAsia="en-IE"/>
              </w:rPr>
            </w:pPr>
            <w:r w:rsidRPr="0034645D">
              <w:rPr>
                <w:rFonts w:ascii="Times" w:eastAsia="Times New Roman" w:hAnsi="Times" w:cs="Times"/>
                <w:color w:val="000000"/>
                <w:lang w:val="en-IE" w:eastAsia="en-IE"/>
              </w:rPr>
              <w:t>Donegal</w:t>
            </w:r>
          </w:p>
        </w:tc>
        <w:tc>
          <w:tcPr>
            <w:tcW w:w="821" w:type="dxa"/>
            <w:tcBorders>
              <w:top w:val="nil"/>
              <w:left w:val="nil"/>
              <w:bottom w:val="nil"/>
              <w:right w:val="nil"/>
            </w:tcBorders>
            <w:shd w:val="clear" w:color="auto" w:fill="auto"/>
            <w:noWrap/>
            <w:vAlign w:val="center"/>
            <w:hideMark/>
          </w:tcPr>
          <w:p w14:paraId="3C621E6F" w14:textId="77777777" w:rsidR="00087B9D" w:rsidRPr="0034645D" w:rsidRDefault="00087B9D" w:rsidP="00FC1F06">
            <w:pPr>
              <w:spacing w:after="0" w:line="240" w:lineRule="auto"/>
              <w:jc w:val="right"/>
              <w:rPr>
                <w:rFonts w:ascii="Times" w:eastAsia="Times New Roman" w:hAnsi="Times" w:cs="Times"/>
                <w:color w:val="000000"/>
                <w:lang w:val="en-IE" w:eastAsia="en-IE"/>
              </w:rPr>
            </w:pPr>
            <w:r w:rsidRPr="0034645D">
              <w:rPr>
                <w:rFonts w:ascii="Times" w:eastAsia="Times New Roman" w:hAnsi="Times" w:cs="Times"/>
                <w:color w:val="000000"/>
                <w:lang w:val="en-IE" w:eastAsia="en-IE"/>
              </w:rPr>
              <w:t>6,267</w:t>
            </w:r>
          </w:p>
        </w:tc>
        <w:tc>
          <w:tcPr>
            <w:tcW w:w="895" w:type="dxa"/>
            <w:tcBorders>
              <w:top w:val="nil"/>
              <w:left w:val="nil"/>
              <w:bottom w:val="nil"/>
              <w:right w:val="single" w:sz="4" w:space="0" w:color="auto"/>
            </w:tcBorders>
            <w:shd w:val="clear" w:color="auto" w:fill="auto"/>
            <w:noWrap/>
            <w:vAlign w:val="center"/>
            <w:hideMark/>
          </w:tcPr>
          <w:p w14:paraId="1B366790" w14:textId="77777777" w:rsidR="00087B9D" w:rsidRPr="0034645D" w:rsidRDefault="00087B9D" w:rsidP="00FC1F06">
            <w:pPr>
              <w:spacing w:after="0" w:line="240" w:lineRule="auto"/>
              <w:jc w:val="center"/>
              <w:rPr>
                <w:rFonts w:ascii="Times" w:eastAsia="Times New Roman" w:hAnsi="Times" w:cs="Times"/>
                <w:color w:val="000000"/>
                <w:lang w:val="en-IE" w:eastAsia="en-IE"/>
              </w:rPr>
            </w:pPr>
            <w:r w:rsidRPr="0034645D">
              <w:rPr>
                <w:rFonts w:ascii="Times" w:eastAsia="Times New Roman" w:hAnsi="Times" w:cs="Times"/>
                <w:color w:val="000000"/>
                <w:lang w:val="en-IE" w:eastAsia="en-IE"/>
              </w:rPr>
              <w:t>2.37%</w:t>
            </w:r>
          </w:p>
        </w:tc>
      </w:tr>
      <w:tr w:rsidR="00087B9D" w:rsidRPr="0034645D" w14:paraId="7ECC9247" w14:textId="77777777" w:rsidTr="00FC1F06">
        <w:trPr>
          <w:trHeight w:val="300"/>
        </w:trPr>
        <w:tc>
          <w:tcPr>
            <w:tcW w:w="2835" w:type="dxa"/>
            <w:tcBorders>
              <w:top w:val="nil"/>
              <w:left w:val="single" w:sz="4" w:space="0" w:color="auto"/>
              <w:bottom w:val="nil"/>
              <w:right w:val="nil"/>
            </w:tcBorders>
            <w:shd w:val="clear" w:color="auto" w:fill="auto"/>
            <w:noWrap/>
            <w:vAlign w:val="center"/>
            <w:hideMark/>
          </w:tcPr>
          <w:p w14:paraId="6D2469FA" w14:textId="77777777" w:rsidR="00087B9D" w:rsidRPr="0034645D" w:rsidRDefault="00087B9D" w:rsidP="00FC1F06">
            <w:pPr>
              <w:spacing w:after="0" w:line="240" w:lineRule="auto"/>
              <w:rPr>
                <w:rFonts w:ascii="Times" w:eastAsia="Times New Roman" w:hAnsi="Times" w:cs="Times"/>
                <w:color w:val="000000"/>
                <w:lang w:val="en-IE" w:eastAsia="en-IE"/>
              </w:rPr>
            </w:pPr>
            <w:r w:rsidRPr="0034645D">
              <w:rPr>
                <w:rFonts w:ascii="Times" w:eastAsia="Times New Roman" w:hAnsi="Times" w:cs="Times"/>
                <w:color w:val="000000"/>
                <w:lang w:val="en-IE" w:eastAsia="en-IE"/>
              </w:rPr>
              <w:t>Laois</w:t>
            </w:r>
          </w:p>
        </w:tc>
        <w:tc>
          <w:tcPr>
            <w:tcW w:w="821" w:type="dxa"/>
            <w:tcBorders>
              <w:top w:val="nil"/>
              <w:left w:val="nil"/>
              <w:bottom w:val="nil"/>
              <w:right w:val="nil"/>
            </w:tcBorders>
            <w:shd w:val="clear" w:color="auto" w:fill="auto"/>
            <w:noWrap/>
            <w:vAlign w:val="center"/>
            <w:hideMark/>
          </w:tcPr>
          <w:p w14:paraId="29028505" w14:textId="77777777" w:rsidR="00087B9D" w:rsidRPr="0034645D" w:rsidRDefault="00087B9D" w:rsidP="00FC1F06">
            <w:pPr>
              <w:spacing w:after="0" w:line="240" w:lineRule="auto"/>
              <w:jc w:val="right"/>
              <w:rPr>
                <w:rFonts w:ascii="Times" w:eastAsia="Times New Roman" w:hAnsi="Times" w:cs="Times"/>
                <w:color w:val="000000"/>
                <w:lang w:val="en-IE" w:eastAsia="en-IE"/>
              </w:rPr>
            </w:pPr>
            <w:r w:rsidRPr="0034645D">
              <w:rPr>
                <w:rFonts w:ascii="Times" w:eastAsia="Times New Roman" w:hAnsi="Times" w:cs="Times"/>
                <w:color w:val="000000"/>
                <w:lang w:val="en-IE" w:eastAsia="en-IE"/>
              </w:rPr>
              <w:t>4,209</w:t>
            </w:r>
          </w:p>
        </w:tc>
        <w:tc>
          <w:tcPr>
            <w:tcW w:w="895" w:type="dxa"/>
            <w:tcBorders>
              <w:top w:val="nil"/>
              <w:left w:val="nil"/>
              <w:bottom w:val="nil"/>
              <w:right w:val="single" w:sz="12" w:space="0" w:color="auto"/>
            </w:tcBorders>
            <w:shd w:val="clear" w:color="auto" w:fill="auto"/>
            <w:noWrap/>
            <w:vAlign w:val="center"/>
            <w:hideMark/>
          </w:tcPr>
          <w:p w14:paraId="60B5EB8E" w14:textId="77777777" w:rsidR="00087B9D" w:rsidRPr="0034645D" w:rsidRDefault="00087B9D" w:rsidP="00FC1F06">
            <w:pPr>
              <w:spacing w:after="0" w:line="240" w:lineRule="auto"/>
              <w:jc w:val="center"/>
              <w:rPr>
                <w:rFonts w:ascii="Times" w:eastAsia="Times New Roman" w:hAnsi="Times" w:cs="Times"/>
                <w:color w:val="000000"/>
                <w:lang w:val="en-IE" w:eastAsia="en-IE"/>
              </w:rPr>
            </w:pPr>
            <w:r w:rsidRPr="0034645D">
              <w:rPr>
                <w:rFonts w:ascii="Times" w:eastAsia="Times New Roman" w:hAnsi="Times" w:cs="Times"/>
                <w:color w:val="000000"/>
                <w:lang w:val="en-IE" w:eastAsia="en-IE"/>
              </w:rPr>
              <w:t>1.59%</w:t>
            </w:r>
          </w:p>
        </w:tc>
        <w:tc>
          <w:tcPr>
            <w:tcW w:w="2748" w:type="dxa"/>
            <w:tcBorders>
              <w:top w:val="nil"/>
              <w:left w:val="single" w:sz="12" w:space="0" w:color="auto"/>
              <w:bottom w:val="nil"/>
              <w:right w:val="nil"/>
            </w:tcBorders>
            <w:shd w:val="clear" w:color="auto" w:fill="auto"/>
            <w:noWrap/>
            <w:vAlign w:val="center"/>
            <w:hideMark/>
          </w:tcPr>
          <w:p w14:paraId="3E1A7F27" w14:textId="77777777" w:rsidR="00087B9D" w:rsidRPr="0034645D" w:rsidRDefault="00087B9D" w:rsidP="00FC1F06">
            <w:pPr>
              <w:spacing w:after="0" w:line="240" w:lineRule="auto"/>
              <w:rPr>
                <w:rFonts w:ascii="Times" w:eastAsia="Times New Roman" w:hAnsi="Times" w:cs="Times"/>
                <w:color w:val="000000"/>
                <w:lang w:val="en-IE" w:eastAsia="en-IE"/>
              </w:rPr>
            </w:pPr>
            <w:r w:rsidRPr="0034645D">
              <w:rPr>
                <w:rFonts w:ascii="Times" w:eastAsia="Times New Roman" w:hAnsi="Times" w:cs="Times"/>
                <w:color w:val="000000"/>
                <w:lang w:val="en-IE" w:eastAsia="en-IE"/>
              </w:rPr>
              <w:t>Dublin</w:t>
            </w:r>
          </w:p>
        </w:tc>
        <w:tc>
          <w:tcPr>
            <w:tcW w:w="821" w:type="dxa"/>
            <w:tcBorders>
              <w:top w:val="nil"/>
              <w:left w:val="nil"/>
              <w:bottom w:val="nil"/>
              <w:right w:val="nil"/>
            </w:tcBorders>
            <w:shd w:val="clear" w:color="auto" w:fill="auto"/>
            <w:noWrap/>
            <w:vAlign w:val="center"/>
            <w:hideMark/>
          </w:tcPr>
          <w:p w14:paraId="198CC979" w14:textId="77777777" w:rsidR="00087B9D" w:rsidRPr="0034645D" w:rsidRDefault="00087B9D" w:rsidP="00FC1F06">
            <w:pPr>
              <w:spacing w:after="0" w:line="240" w:lineRule="auto"/>
              <w:jc w:val="right"/>
              <w:rPr>
                <w:rFonts w:ascii="Times" w:eastAsia="Times New Roman" w:hAnsi="Times" w:cs="Times"/>
                <w:color w:val="000000"/>
                <w:lang w:val="en-IE" w:eastAsia="en-IE"/>
              </w:rPr>
            </w:pPr>
            <w:r w:rsidRPr="0034645D">
              <w:rPr>
                <w:rFonts w:ascii="Times" w:eastAsia="Times New Roman" w:hAnsi="Times" w:cs="Times"/>
                <w:color w:val="000000"/>
                <w:lang w:val="en-IE" w:eastAsia="en-IE"/>
              </w:rPr>
              <w:t>91,668</w:t>
            </w:r>
          </w:p>
        </w:tc>
        <w:tc>
          <w:tcPr>
            <w:tcW w:w="895" w:type="dxa"/>
            <w:tcBorders>
              <w:top w:val="nil"/>
              <w:left w:val="nil"/>
              <w:bottom w:val="nil"/>
              <w:right w:val="single" w:sz="4" w:space="0" w:color="auto"/>
            </w:tcBorders>
            <w:shd w:val="clear" w:color="auto" w:fill="auto"/>
            <w:noWrap/>
            <w:vAlign w:val="center"/>
            <w:hideMark/>
          </w:tcPr>
          <w:p w14:paraId="4919D350" w14:textId="77777777" w:rsidR="00087B9D" w:rsidRPr="0034645D" w:rsidRDefault="00087B9D" w:rsidP="00FC1F06">
            <w:pPr>
              <w:spacing w:after="0" w:line="240" w:lineRule="auto"/>
              <w:jc w:val="center"/>
              <w:rPr>
                <w:rFonts w:ascii="Times" w:eastAsia="Times New Roman" w:hAnsi="Times" w:cs="Times"/>
                <w:color w:val="000000"/>
                <w:lang w:val="en-IE" w:eastAsia="en-IE"/>
              </w:rPr>
            </w:pPr>
            <w:r w:rsidRPr="0034645D">
              <w:rPr>
                <w:rFonts w:ascii="Times" w:eastAsia="Times New Roman" w:hAnsi="Times" w:cs="Times"/>
                <w:color w:val="000000"/>
                <w:lang w:val="en-IE" w:eastAsia="en-IE"/>
              </w:rPr>
              <w:t>34.65%</w:t>
            </w:r>
          </w:p>
        </w:tc>
      </w:tr>
      <w:tr w:rsidR="00087B9D" w:rsidRPr="0034645D" w14:paraId="261DABA9" w14:textId="77777777" w:rsidTr="00FC1F06">
        <w:trPr>
          <w:trHeight w:val="300"/>
        </w:trPr>
        <w:tc>
          <w:tcPr>
            <w:tcW w:w="2835" w:type="dxa"/>
            <w:tcBorders>
              <w:top w:val="nil"/>
              <w:left w:val="single" w:sz="4" w:space="0" w:color="auto"/>
              <w:bottom w:val="nil"/>
              <w:right w:val="nil"/>
            </w:tcBorders>
            <w:shd w:val="clear" w:color="auto" w:fill="auto"/>
            <w:noWrap/>
            <w:vAlign w:val="center"/>
            <w:hideMark/>
          </w:tcPr>
          <w:p w14:paraId="0914B56B" w14:textId="77777777" w:rsidR="00087B9D" w:rsidRPr="0034645D" w:rsidRDefault="00087B9D" w:rsidP="00FC1F06">
            <w:pPr>
              <w:spacing w:after="0" w:line="240" w:lineRule="auto"/>
              <w:rPr>
                <w:rFonts w:ascii="Times" w:eastAsia="Times New Roman" w:hAnsi="Times" w:cs="Times"/>
                <w:color w:val="000000"/>
                <w:lang w:val="en-IE" w:eastAsia="en-IE"/>
              </w:rPr>
            </w:pPr>
            <w:r w:rsidRPr="0034645D">
              <w:rPr>
                <w:rFonts w:ascii="Times" w:eastAsia="Times New Roman" w:hAnsi="Times" w:cs="Times"/>
                <w:color w:val="000000"/>
                <w:lang w:val="en-IE" w:eastAsia="en-IE"/>
              </w:rPr>
              <w:t>Leitrim</w:t>
            </w:r>
          </w:p>
        </w:tc>
        <w:tc>
          <w:tcPr>
            <w:tcW w:w="821" w:type="dxa"/>
            <w:tcBorders>
              <w:top w:val="nil"/>
              <w:left w:val="nil"/>
              <w:bottom w:val="nil"/>
              <w:right w:val="nil"/>
            </w:tcBorders>
            <w:shd w:val="clear" w:color="auto" w:fill="auto"/>
            <w:noWrap/>
            <w:vAlign w:val="center"/>
            <w:hideMark/>
          </w:tcPr>
          <w:p w14:paraId="7A8074A7" w14:textId="77777777" w:rsidR="00087B9D" w:rsidRPr="0034645D" w:rsidRDefault="00087B9D" w:rsidP="00FC1F06">
            <w:pPr>
              <w:spacing w:after="0" w:line="240" w:lineRule="auto"/>
              <w:jc w:val="right"/>
              <w:rPr>
                <w:rFonts w:ascii="Times" w:eastAsia="Times New Roman" w:hAnsi="Times" w:cs="Times"/>
                <w:color w:val="000000"/>
                <w:lang w:val="en-IE" w:eastAsia="en-IE"/>
              </w:rPr>
            </w:pPr>
            <w:r w:rsidRPr="0034645D">
              <w:rPr>
                <w:rFonts w:ascii="Times" w:eastAsia="Times New Roman" w:hAnsi="Times" w:cs="Times"/>
                <w:color w:val="000000"/>
                <w:lang w:val="en-IE" w:eastAsia="en-IE"/>
              </w:rPr>
              <w:t>2,343</w:t>
            </w:r>
          </w:p>
        </w:tc>
        <w:tc>
          <w:tcPr>
            <w:tcW w:w="895" w:type="dxa"/>
            <w:tcBorders>
              <w:top w:val="nil"/>
              <w:left w:val="nil"/>
              <w:bottom w:val="nil"/>
              <w:right w:val="single" w:sz="12" w:space="0" w:color="auto"/>
            </w:tcBorders>
            <w:shd w:val="clear" w:color="auto" w:fill="auto"/>
            <w:noWrap/>
            <w:vAlign w:val="center"/>
            <w:hideMark/>
          </w:tcPr>
          <w:p w14:paraId="2D082002" w14:textId="77777777" w:rsidR="00087B9D" w:rsidRPr="0034645D" w:rsidRDefault="00087B9D" w:rsidP="00FC1F06">
            <w:pPr>
              <w:spacing w:after="0" w:line="240" w:lineRule="auto"/>
              <w:jc w:val="center"/>
              <w:rPr>
                <w:rFonts w:ascii="Times" w:eastAsia="Times New Roman" w:hAnsi="Times" w:cs="Times"/>
                <w:color w:val="000000"/>
                <w:lang w:val="en-IE" w:eastAsia="en-IE"/>
              </w:rPr>
            </w:pPr>
            <w:r w:rsidRPr="0034645D">
              <w:rPr>
                <w:rFonts w:ascii="Times" w:eastAsia="Times New Roman" w:hAnsi="Times" w:cs="Times"/>
                <w:color w:val="000000"/>
                <w:lang w:val="en-IE" w:eastAsia="en-IE"/>
              </w:rPr>
              <w:t>0.89%</w:t>
            </w:r>
          </w:p>
        </w:tc>
        <w:tc>
          <w:tcPr>
            <w:tcW w:w="2748" w:type="dxa"/>
            <w:tcBorders>
              <w:top w:val="nil"/>
              <w:left w:val="single" w:sz="12" w:space="0" w:color="auto"/>
              <w:bottom w:val="nil"/>
              <w:right w:val="nil"/>
            </w:tcBorders>
            <w:shd w:val="clear" w:color="auto" w:fill="auto"/>
            <w:noWrap/>
            <w:vAlign w:val="center"/>
            <w:hideMark/>
          </w:tcPr>
          <w:p w14:paraId="2BC0B196" w14:textId="77777777" w:rsidR="00087B9D" w:rsidRPr="0034645D" w:rsidRDefault="00087B9D" w:rsidP="00FC1F06">
            <w:pPr>
              <w:spacing w:after="0" w:line="240" w:lineRule="auto"/>
              <w:rPr>
                <w:rFonts w:ascii="Times" w:eastAsia="Times New Roman" w:hAnsi="Times" w:cs="Times"/>
                <w:color w:val="000000"/>
                <w:lang w:val="en-IE" w:eastAsia="en-IE"/>
              </w:rPr>
            </w:pPr>
            <w:r w:rsidRPr="0034645D">
              <w:rPr>
                <w:rFonts w:ascii="Times" w:eastAsia="Times New Roman" w:hAnsi="Times" w:cs="Times"/>
                <w:color w:val="000000"/>
                <w:lang w:val="en-IE" w:eastAsia="en-IE"/>
              </w:rPr>
              <w:t>Kildare</w:t>
            </w:r>
          </w:p>
        </w:tc>
        <w:tc>
          <w:tcPr>
            <w:tcW w:w="821" w:type="dxa"/>
            <w:tcBorders>
              <w:top w:val="nil"/>
              <w:left w:val="nil"/>
              <w:bottom w:val="nil"/>
              <w:right w:val="nil"/>
            </w:tcBorders>
            <w:shd w:val="clear" w:color="auto" w:fill="auto"/>
            <w:noWrap/>
            <w:vAlign w:val="center"/>
            <w:hideMark/>
          </w:tcPr>
          <w:p w14:paraId="1A699E90" w14:textId="77777777" w:rsidR="00087B9D" w:rsidRPr="0034645D" w:rsidRDefault="00087B9D" w:rsidP="00FC1F06">
            <w:pPr>
              <w:spacing w:after="0" w:line="240" w:lineRule="auto"/>
              <w:jc w:val="right"/>
              <w:rPr>
                <w:rFonts w:ascii="Times" w:eastAsia="Times New Roman" w:hAnsi="Times" w:cs="Times"/>
                <w:color w:val="000000"/>
                <w:lang w:val="en-IE" w:eastAsia="en-IE"/>
              </w:rPr>
            </w:pPr>
            <w:r w:rsidRPr="0034645D">
              <w:rPr>
                <w:rFonts w:ascii="Times" w:eastAsia="Times New Roman" w:hAnsi="Times" w:cs="Times"/>
                <w:color w:val="000000"/>
                <w:lang w:val="en-IE" w:eastAsia="en-IE"/>
              </w:rPr>
              <w:t>10,918</w:t>
            </w:r>
          </w:p>
        </w:tc>
        <w:tc>
          <w:tcPr>
            <w:tcW w:w="895" w:type="dxa"/>
            <w:tcBorders>
              <w:top w:val="nil"/>
              <w:left w:val="nil"/>
              <w:bottom w:val="nil"/>
              <w:right w:val="single" w:sz="4" w:space="0" w:color="auto"/>
            </w:tcBorders>
            <w:shd w:val="clear" w:color="auto" w:fill="auto"/>
            <w:noWrap/>
            <w:vAlign w:val="center"/>
            <w:hideMark/>
          </w:tcPr>
          <w:p w14:paraId="60F4B056" w14:textId="77777777" w:rsidR="00087B9D" w:rsidRPr="0034645D" w:rsidRDefault="00087B9D" w:rsidP="00FC1F06">
            <w:pPr>
              <w:spacing w:after="0" w:line="240" w:lineRule="auto"/>
              <w:jc w:val="center"/>
              <w:rPr>
                <w:rFonts w:ascii="Times" w:eastAsia="Times New Roman" w:hAnsi="Times" w:cs="Times"/>
                <w:color w:val="000000"/>
                <w:lang w:val="en-IE" w:eastAsia="en-IE"/>
              </w:rPr>
            </w:pPr>
            <w:r w:rsidRPr="0034645D">
              <w:rPr>
                <w:rFonts w:ascii="Times" w:eastAsia="Times New Roman" w:hAnsi="Times" w:cs="Times"/>
                <w:color w:val="000000"/>
                <w:lang w:val="en-IE" w:eastAsia="en-IE"/>
              </w:rPr>
              <w:t>4.13%</w:t>
            </w:r>
          </w:p>
        </w:tc>
      </w:tr>
      <w:tr w:rsidR="00087B9D" w:rsidRPr="0034645D" w14:paraId="781F0596" w14:textId="77777777" w:rsidTr="00FC1F06">
        <w:trPr>
          <w:trHeight w:val="300"/>
        </w:trPr>
        <w:tc>
          <w:tcPr>
            <w:tcW w:w="2835" w:type="dxa"/>
            <w:tcBorders>
              <w:top w:val="nil"/>
              <w:left w:val="single" w:sz="4" w:space="0" w:color="auto"/>
              <w:bottom w:val="nil"/>
              <w:right w:val="nil"/>
            </w:tcBorders>
            <w:shd w:val="clear" w:color="auto" w:fill="auto"/>
            <w:noWrap/>
            <w:vAlign w:val="center"/>
            <w:hideMark/>
          </w:tcPr>
          <w:p w14:paraId="5B4F32C2" w14:textId="77777777" w:rsidR="00087B9D" w:rsidRPr="0034645D" w:rsidRDefault="00087B9D" w:rsidP="00FC1F06">
            <w:pPr>
              <w:spacing w:after="0" w:line="240" w:lineRule="auto"/>
              <w:rPr>
                <w:rFonts w:ascii="Times" w:eastAsia="Times New Roman" w:hAnsi="Times" w:cs="Times"/>
                <w:color w:val="000000"/>
                <w:lang w:val="en-IE" w:eastAsia="en-IE"/>
              </w:rPr>
            </w:pPr>
            <w:r w:rsidRPr="0034645D">
              <w:rPr>
                <w:rFonts w:ascii="Times" w:eastAsia="Times New Roman" w:hAnsi="Times" w:cs="Times"/>
                <w:color w:val="000000"/>
                <w:lang w:val="en-IE" w:eastAsia="en-IE"/>
              </w:rPr>
              <w:t>Limerick</w:t>
            </w:r>
          </w:p>
        </w:tc>
        <w:tc>
          <w:tcPr>
            <w:tcW w:w="821" w:type="dxa"/>
            <w:tcBorders>
              <w:top w:val="nil"/>
              <w:left w:val="nil"/>
              <w:bottom w:val="nil"/>
              <w:right w:val="nil"/>
            </w:tcBorders>
            <w:shd w:val="clear" w:color="auto" w:fill="auto"/>
            <w:noWrap/>
            <w:vAlign w:val="center"/>
            <w:hideMark/>
          </w:tcPr>
          <w:p w14:paraId="085B1771" w14:textId="77777777" w:rsidR="00087B9D" w:rsidRPr="0034645D" w:rsidRDefault="00087B9D" w:rsidP="00FC1F06">
            <w:pPr>
              <w:spacing w:after="0" w:line="240" w:lineRule="auto"/>
              <w:jc w:val="right"/>
              <w:rPr>
                <w:rFonts w:ascii="Times" w:eastAsia="Times New Roman" w:hAnsi="Times" w:cs="Times"/>
                <w:color w:val="000000"/>
                <w:lang w:val="en-IE" w:eastAsia="en-IE"/>
              </w:rPr>
            </w:pPr>
            <w:r w:rsidRPr="0034645D">
              <w:rPr>
                <w:rFonts w:ascii="Times" w:eastAsia="Times New Roman" w:hAnsi="Times" w:cs="Times"/>
                <w:color w:val="000000"/>
                <w:lang w:val="en-IE" w:eastAsia="en-IE"/>
              </w:rPr>
              <w:t>10,034</w:t>
            </w:r>
          </w:p>
        </w:tc>
        <w:tc>
          <w:tcPr>
            <w:tcW w:w="895" w:type="dxa"/>
            <w:tcBorders>
              <w:top w:val="nil"/>
              <w:left w:val="nil"/>
              <w:bottom w:val="nil"/>
              <w:right w:val="single" w:sz="12" w:space="0" w:color="auto"/>
            </w:tcBorders>
            <w:shd w:val="clear" w:color="auto" w:fill="auto"/>
            <w:noWrap/>
            <w:vAlign w:val="center"/>
            <w:hideMark/>
          </w:tcPr>
          <w:p w14:paraId="299F1129" w14:textId="77777777" w:rsidR="00087B9D" w:rsidRPr="0034645D" w:rsidRDefault="00087B9D" w:rsidP="00FC1F06">
            <w:pPr>
              <w:spacing w:after="0" w:line="240" w:lineRule="auto"/>
              <w:jc w:val="center"/>
              <w:rPr>
                <w:rFonts w:ascii="Times" w:eastAsia="Times New Roman" w:hAnsi="Times" w:cs="Times"/>
                <w:color w:val="000000"/>
                <w:lang w:val="en-IE" w:eastAsia="en-IE"/>
              </w:rPr>
            </w:pPr>
            <w:r w:rsidRPr="0034645D">
              <w:rPr>
                <w:rFonts w:ascii="Times" w:eastAsia="Times New Roman" w:hAnsi="Times" w:cs="Times"/>
                <w:color w:val="000000"/>
                <w:lang w:val="en-IE" w:eastAsia="en-IE"/>
              </w:rPr>
              <w:t>3.79%</w:t>
            </w:r>
          </w:p>
        </w:tc>
        <w:tc>
          <w:tcPr>
            <w:tcW w:w="2748" w:type="dxa"/>
            <w:tcBorders>
              <w:top w:val="nil"/>
              <w:left w:val="single" w:sz="12" w:space="0" w:color="auto"/>
              <w:bottom w:val="nil"/>
              <w:right w:val="nil"/>
            </w:tcBorders>
            <w:shd w:val="clear" w:color="auto" w:fill="auto"/>
            <w:noWrap/>
            <w:vAlign w:val="center"/>
            <w:hideMark/>
          </w:tcPr>
          <w:p w14:paraId="566213D5" w14:textId="77777777" w:rsidR="00087B9D" w:rsidRPr="0034645D" w:rsidRDefault="00087B9D" w:rsidP="00FC1F06">
            <w:pPr>
              <w:spacing w:after="0" w:line="240" w:lineRule="auto"/>
              <w:rPr>
                <w:rFonts w:ascii="Times" w:eastAsia="Times New Roman" w:hAnsi="Times" w:cs="Times"/>
                <w:color w:val="000000"/>
                <w:lang w:val="en-IE" w:eastAsia="en-IE"/>
              </w:rPr>
            </w:pPr>
            <w:r w:rsidRPr="0034645D">
              <w:rPr>
                <w:rFonts w:ascii="Times" w:eastAsia="Times New Roman" w:hAnsi="Times" w:cs="Times"/>
                <w:color w:val="000000"/>
                <w:lang w:val="en-IE" w:eastAsia="en-IE"/>
              </w:rPr>
              <w:t>Louth</w:t>
            </w:r>
          </w:p>
        </w:tc>
        <w:tc>
          <w:tcPr>
            <w:tcW w:w="821" w:type="dxa"/>
            <w:tcBorders>
              <w:top w:val="nil"/>
              <w:left w:val="nil"/>
              <w:bottom w:val="nil"/>
              <w:right w:val="nil"/>
            </w:tcBorders>
            <w:shd w:val="clear" w:color="auto" w:fill="auto"/>
            <w:noWrap/>
            <w:vAlign w:val="center"/>
            <w:hideMark/>
          </w:tcPr>
          <w:p w14:paraId="0B9FA63A" w14:textId="77777777" w:rsidR="00087B9D" w:rsidRPr="0034645D" w:rsidRDefault="00087B9D" w:rsidP="00FC1F06">
            <w:pPr>
              <w:spacing w:after="0" w:line="240" w:lineRule="auto"/>
              <w:jc w:val="right"/>
              <w:rPr>
                <w:rFonts w:ascii="Times" w:eastAsia="Times New Roman" w:hAnsi="Times" w:cs="Times"/>
                <w:color w:val="000000"/>
                <w:lang w:val="en-IE" w:eastAsia="en-IE"/>
              </w:rPr>
            </w:pPr>
            <w:r w:rsidRPr="0034645D">
              <w:rPr>
                <w:rFonts w:ascii="Times" w:eastAsia="Times New Roman" w:hAnsi="Times" w:cs="Times"/>
                <w:color w:val="000000"/>
                <w:lang w:val="en-IE" w:eastAsia="en-IE"/>
              </w:rPr>
              <w:t>7,262</w:t>
            </w:r>
          </w:p>
        </w:tc>
        <w:tc>
          <w:tcPr>
            <w:tcW w:w="895" w:type="dxa"/>
            <w:tcBorders>
              <w:top w:val="nil"/>
              <w:left w:val="nil"/>
              <w:bottom w:val="nil"/>
              <w:right w:val="single" w:sz="4" w:space="0" w:color="auto"/>
            </w:tcBorders>
            <w:shd w:val="clear" w:color="auto" w:fill="auto"/>
            <w:noWrap/>
            <w:vAlign w:val="center"/>
            <w:hideMark/>
          </w:tcPr>
          <w:p w14:paraId="06B8BC5E" w14:textId="77777777" w:rsidR="00087B9D" w:rsidRPr="0034645D" w:rsidRDefault="00087B9D" w:rsidP="00FC1F06">
            <w:pPr>
              <w:spacing w:after="0" w:line="240" w:lineRule="auto"/>
              <w:jc w:val="center"/>
              <w:rPr>
                <w:rFonts w:ascii="Times" w:eastAsia="Times New Roman" w:hAnsi="Times" w:cs="Times"/>
                <w:color w:val="000000"/>
                <w:lang w:val="en-IE" w:eastAsia="en-IE"/>
              </w:rPr>
            </w:pPr>
            <w:r w:rsidRPr="0034645D">
              <w:rPr>
                <w:rFonts w:ascii="Times" w:eastAsia="Times New Roman" w:hAnsi="Times" w:cs="Times"/>
                <w:color w:val="000000"/>
                <w:lang w:val="en-IE" w:eastAsia="en-IE"/>
              </w:rPr>
              <w:t>2.74%</w:t>
            </w:r>
          </w:p>
        </w:tc>
      </w:tr>
      <w:tr w:rsidR="00087B9D" w:rsidRPr="0034645D" w14:paraId="7D0EC5FC" w14:textId="77777777" w:rsidTr="00FC1F06">
        <w:trPr>
          <w:trHeight w:val="300"/>
        </w:trPr>
        <w:tc>
          <w:tcPr>
            <w:tcW w:w="2835" w:type="dxa"/>
            <w:tcBorders>
              <w:top w:val="nil"/>
              <w:left w:val="single" w:sz="4" w:space="0" w:color="auto"/>
              <w:bottom w:val="nil"/>
              <w:right w:val="nil"/>
            </w:tcBorders>
            <w:shd w:val="clear" w:color="auto" w:fill="auto"/>
            <w:noWrap/>
            <w:vAlign w:val="center"/>
            <w:hideMark/>
          </w:tcPr>
          <w:p w14:paraId="59264879" w14:textId="77777777" w:rsidR="00087B9D" w:rsidRPr="0034645D" w:rsidRDefault="00087B9D" w:rsidP="00FC1F06">
            <w:pPr>
              <w:spacing w:after="0" w:line="240" w:lineRule="auto"/>
              <w:rPr>
                <w:rFonts w:ascii="Times" w:eastAsia="Times New Roman" w:hAnsi="Times" w:cs="Times"/>
                <w:color w:val="000000"/>
                <w:lang w:val="en-IE" w:eastAsia="en-IE"/>
              </w:rPr>
            </w:pPr>
            <w:r w:rsidRPr="0034645D">
              <w:rPr>
                <w:rFonts w:ascii="Times" w:eastAsia="Times New Roman" w:hAnsi="Times" w:cs="Times"/>
                <w:color w:val="000000"/>
                <w:lang w:val="en-IE" w:eastAsia="en-IE"/>
              </w:rPr>
              <w:t>Longford</w:t>
            </w:r>
          </w:p>
        </w:tc>
        <w:tc>
          <w:tcPr>
            <w:tcW w:w="821" w:type="dxa"/>
            <w:tcBorders>
              <w:top w:val="nil"/>
              <w:left w:val="nil"/>
              <w:bottom w:val="nil"/>
              <w:right w:val="nil"/>
            </w:tcBorders>
            <w:shd w:val="clear" w:color="auto" w:fill="auto"/>
            <w:noWrap/>
            <w:vAlign w:val="center"/>
            <w:hideMark/>
          </w:tcPr>
          <w:p w14:paraId="2CB722E6" w14:textId="77777777" w:rsidR="00087B9D" w:rsidRPr="0034645D" w:rsidRDefault="00087B9D" w:rsidP="00FC1F06">
            <w:pPr>
              <w:spacing w:after="0" w:line="240" w:lineRule="auto"/>
              <w:jc w:val="right"/>
              <w:rPr>
                <w:rFonts w:ascii="Times" w:eastAsia="Times New Roman" w:hAnsi="Times" w:cs="Times"/>
                <w:color w:val="000000"/>
                <w:lang w:val="en-IE" w:eastAsia="en-IE"/>
              </w:rPr>
            </w:pPr>
            <w:r w:rsidRPr="0034645D">
              <w:rPr>
                <w:rFonts w:ascii="Times" w:eastAsia="Times New Roman" w:hAnsi="Times" w:cs="Times"/>
                <w:color w:val="000000"/>
                <w:lang w:val="en-IE" w:eastAsia="en-IE"/>
              </w:rPr>
              <w:t>2,458</w:t>
            </w:r>
          </w:p>
        </w:tc>
        <w:tc>
          <w:tcPr>
            <w:tcW w:w="895" w:type="dxa"/>
            <w:tcBorders>
              <w:top w:val="nil"/>
              <w:left w:val="nil"/>
              <w:bottom w:val="nil"/>
              <w:right w:val="single" w:sz="12" w:space="0" w:color="auto"/>
            </w:tcBorders>
            <w:shd w:val="clear" w:color="auto" w:fill="auto"/>
            <w:noWrap/>
            <w:vAlign w:val="center"/>
            <w:hideMark/>
          </w:tcPr>
          <w:p w14:paraId="08C29C56" w14:textId="77777777" w:rsidR="00087B9D" w:rsidRPr="0034645D" w:rsidRDefault="00087B9D" w:rsidP="00FC1F06">
            <w:pPr>
              <w:spacing w:after="0" w:line="240" w:lineRule="auto"/>
              <w:jc w:val="center"/>
              <w:rPr>
                <w:rFonts w:ascii="Times" w:eastAsia="Times New Roman" w:hAnsi="Times" w:cs="Times"/>
                <w:color w:val="000000"/>
                <w:lang w:val="en-IE" w:eastAsia="en-IE"/>
              </w:rPr>
            </w:pPr>
            <w:r w:rsidRPr="0034645D">
              <w:rPr>
                <w:rFonts w:ascii="Times" w:eastAsia="Times New Roman" w:hAnsi="Times" w:cs="Times"/>
                <w:color w:val="000000"/>
                <w:lang w:val="en-IE" w:eastAsia="en-IE"/>
              </w:rPr>
              <w:t>0.93%</w:t>
            </w:r>
          </w:p>
        </w:tc>
        <w:tc>
          <w:tcPr>
            <w:tcW w:w="2748" w:type="dxa"/>
            <w:tcBorders>
              <w:top w:val="nil"/>
              <w:left w:val="single" w:sz="12" w:space="0" w:color="auto"/>
              <w:bottom w:val="nil"/>
              <w:right w:val="nil"/>
            </w:tcBorders>
            <w:shd w:val="clear" w:color="auto" w:fill="auto"/>
            <w:noWrap/>
            <w:vAlign w:val="center"/>
            <w:hideMark/>
          </w:tcPr>
          <w:p w14:paraId="2CF44D5C" w14:textId="77777777" w:rsidR="00087B9D" w:rsidRPr="0034645D" w:rsidRDefault="00087B9D" w:rsidP="00FC1F06">
            <w:pPr>
              <w:spacing w:after="0" w:line="240" w:lineRule="auto"/>
              <w:rPr>
                <w:rFonts w:ascii="Times" w:eastAsia="Times New Roman" w:hAnsi="Times" w:cs="Times"/>
                <w:color w:val="000000"/>
                <w:lang w:val="en-IE" w:eastAsia="en-IE"/>
              </w:rPr>
            </w:pPr>
            <w:r w:rsidRPr="0034645D">
              <w:rPr>
                <w:rFonts w:ascii="Times" w:eastAsia="Times New Roman" w:hAnsi="Times" w:cs="Times"/>
                <w:color w:val="000000"/>
                <w:lang w:val="en-IE" w:eastAsia="en-IE"/>
              </w:rPr>
              <w:t>Mayo</w:t>
            </w:r>
          </w:p>
        </w:tc>
        <w:tc>
          <w:tcPr>
            <w:tcW w:w="821" w:type="dxa"/>
            <w:tcBorders>
              <w:top w:val="nil"/>
              <w:left w:val="nil"/>
              <w:bottom w:val="nil"/>
              <w:right w:val="nil"/>
            </w:tcBorders>
            <w:shd w:val="clear" w:color="auto" w:fill="auto"/>
            <w:noWrap/>
            <w:vAlign w:val="center"/>
            <w:hideMark/>
          </w:tcPr>
          <w:p w14:paraId="33488C27" w14:textId="77777777" w:rsidR="00087B9D" w:rsidRPr="0034645D" w:rsidRDefault="00087B9D" w:rsidP="00FC1F06">
            <w:pPr>
              <w:spacing w:after="0" w:line="240" w:lineRule="auto"/>
              <w:jc w:val="right"/>
              <w:rPr>
                <w:rFonts w:ascii="Times" w:eastAsia="Times New Roman" w:hAnsi="Times" w:cs="Times"/>
                <w:color w:val="000000"/>
                <w:lang w:val="en-IE" w:eastAsia="en-IE"/>
              </w:rPr>
            </w:pPr>
            <w:r w:rsidRPr="0034645D">
              <w:rPr>
                <w:rFonts w:ascii="Times" w:eastAsia="Times New Roman" w:hAnsi="Times" w:cs="Times"/>
                <w:color w:val="000000"/>
                <w:lang w:val="en-IE" w:eastAsia="en-IE"/>
              </w:rPr>
              <w:t>7,422</w:t>
            </w:r>
          </w:p>
        </w:tc>
        <w:tc>
          <w:tcPr>
            <w:tcW w:w="895" w:type="dxa"/>
            <w:tcBorders>
              <w:top w:val="nil"/>
              <w:left w:val="nil"/>
              <w:bottom w:val="nil"/>
              <w:right w:val="single" w:sz="4" w:space="0" w:color="auto"/>
            </w:tcBorders>
            <w:shd w:val="clear" w:color="auto" w:fill="auto"/>
            <w:noWrap/>
            <w:vAlign w:val="center"/>
            <w:hideMark/>
          </w:tcPr>
          <w:p w14:paraId="013583D2" w14:textId="77777777" w:rsidR="00087B9D" w:rsidRPr="0034645D" w:rsidRDefault="00087B9D" w:rsidP="00FC1F06">
            <w:pPr>
              <w:spacing w:after="0" w:line="240" w:lineRule="auto"/>
              <w:jc w:val="center"/>
              <w:rPr>
                <w:rFonts w:ascii="Times" w:eastAsia="Times New Roman" w:hAnsi="Times" w:cs="Times"/>
                <w:color w:val="000000"/>
                <w:lang w:val="en-IE" w:eastAsia="en-IE"/>
              </w:rPr>
            </w:pPr>
            <w:r w:rsidRPr="0034645D">
              <w:rPr>
                <w:rFonts w:ascii="Times" w:eastAsia="Times New Roman" w:hAnsi="Times" w:cs="Times"/>
                <w:color w:val="000000"/>
                <w:lang w:val="en-IE" w:eastAsia="en-IE"/>
              </w:rPr>
              <w:t>2.81%</w:t>
            </w:r>
          </w:p>
        </w:tc>
      </w:tr>
      <w:tr w:rsidR="00087B9D" w:rsidRPr="0034645D" w14:paraId="61CD31AD" w14:textId="77777777" w:rsidTr="00FC1F06">
        <w:trPr>
          <w:trHeight w:val="300"/>
        </w:trPr>
        <w:tc>
          <w:tcPr>
            <w:tcW w:w="2835" w:type="dxa"/>
            <w:tcBorders>
              <w:top w:val="nil"/>
              <w:left w:val="single" w:sz="4" w:space="0" w:color="auto"/>
              <w:bottom w:val="nil"/>
              <w:right w:val="nil"/>
            </w:tcBorders>
            <w:shd w:val="clear" w:color="auto" w:fill="auto"/>
            <w:noWrap/>
            <w:vAlign w:val="center"/>
            <w:hideMark/>
          </w:tcPr>
          <w:p w14:paraId="3ACE4551" w14:textId="77777777" w:rsidR="00087B9D" w:rsidRPr="0034645D" w:rsidRDefault="00087B9D" w:rsidP="00FC1F06">
            <w:pPr>
              <w:spacing w:after="0" w:line="240" w:lineRule="auto"/>
              <w:rPr>
                <w:rFonts w:ascii="Times" w:eastAsia="Times New Roman" w:hAnsi="Times" w:cs="Times"/>
                <w:color w:val="000000"/>
                <w:lang w:val="en-IE" w:eastAsia="en-IE"/>
              </w:rPr>
            </w:pPr>
            <w:r w:rsidRPr="0034645D">
              <w:rPr>
                <w:rFonts w:ascii="Times" w:eastAsia="Times New Roman" w:hAnsi="Times" w:cs="Times"/>
                <w:color w:val="000000"/>
                <w:lang w:val="en-IE" w:eastAsia="en-IE"/>
              </w:rPr>
              <w:t>Roscommon</w:t>
            </w:r>
          </w:p>
        </w:tc>
        <w:tc>
          <w:tcPr>
            <w:tcW w:w="821" w:type="dxa"/>
            <w:tcBorders>
              <w:top w:val="nil"/>
              <w:left w:val="nil"/>
              <w:bottom w:val="nil"/>
              <w:right w:val="nil"/>
            </w:tcBorders>
            <w:shd w:val="clear" w:color="auto" w:fill="auto"/>
            <w:noWrap/>
            <w:vAlign w:val="center"/>
            <w:hideMark/>
          </w:tcPr>
          <w:p w14:paraId="164601AE" w14:textId="77777777" w:rsidR="00087B9D" w:rsidRPr="0034645D" w:rsidRDefault="00087B9D" w:rsidP="00FC1F06">
            <w:pPr>
              <w:spacing w:after="0" w:line="240" w:lineRule="auto"/>
              <w:jc w:val="right"/>
              <w:rPr>
                <w:rFonts w:ascii="Times" w:eastAsia="Times New Roman" w:hAnsi="Times" w:cs="Times"/>
                <w:color w:val="000000"/>
                <w:lang w:val="en-IE" w:eastAsia="en-IE"/>
              </w:rPr>
            </w:pPr>
            <w:r w:rsidRPr="0034645D">
              <w:rPr>
                <w:rFonts w:ascii="Times" w:eastAsia="Times New Roman" w:hAnsi="Times" w:cs="Times"/>
                <w:color w:val="000000"/>
                <w:lang w:val="en-IE" w:eastAsia="en-IE"/>
              </w:rPr>
              <w:t>3,708</w:t>
            </w:r>
          </w:p>
        </w:tc>
        <w:tc>
          <w:tcPr>
            <w:tcW w:w="895" w:type="dxa"/>
            <w:tcBorders>
              <w:top w:val="nil"/>
              <w:left w:val="nil"/>
              <w:bottom w:val="nil"/>
              <w:right w:val="single" w:sz="12" w:space="0" w:color="auto"/>
            </w:tcBorders>
            <w:shd w:val="clear" w:color="auto" w:fill="auto"/>
            <w:noWrap/>
            <w:vAlign w:val="center"/>
            <w:hideMark/>
          </w:tcPr>
          <w:p w14:paraId="16BB2E1B" w14:textId="77777777" w:rsidR="00087B9D" w:rsidRPr="0034645D" w:rsidRDefault="00087B9D" w:rsidP="00FC1F06">
            <w:pPr>
              <w:spacing w:after="0" w:line="240" w:lineRule="auto"/>
              <w:jc w:val="center"/>
              <w:rPr>
                <w:rFonts w:ascii="Times" w:eastAsia="Times New Roman" w:hAnsi="Times" w:cs="Times"/>
                <w:color w:val="000000"/>
                <w:lang w:val="en-IE" w:eastAsia="en-IE"/>
              </w:rPr>
            </w:pPr>
            <w:r w:rsidRPr="0034645D">
              <w:rPr>
                <w:rFonts w:ascii="Times" w:eastAsia="Times New Roman" w:hAnsi="Times" w:cs="Times"/>
                <w:color w:val="000000"/>
                <w:lang w:val="en-IE" w:eastAsia="en-IE"/>
              </w:rPr>
              <w:t>1.40%</w:t>
            </w:r>
          </w:p>
        </w:tc>
        <w:tc>
          <w:tcPr>
            <w:tcW w:w="2748" w:type="dxa"/>
            <w:tcBorders>
              <w:top w:val="nil"/>
              <w:left w:val="single" w:sz="12" w:space="0" w:color="auto"/>
              <w:bottom w:val="nil"/>
              <w:right w:val="nil"/>
            </w:tcBorders>
            <w:shd w:val="clear" w:color="auto" w:fill="auto"/>
            <w:noWrap/>
            <w:vAlign w:val="center"/>
            <w:hideMark/>
          </w:tcPr>
          <w:p w14:paraId="25E476A3" w14:textId="77777777" w:rsidR="00087B9D" w:rsidRPr="0034645D" w:rsidRDefault="00087B9D" w:rsidP="00FC1F06">
            <w:pPr>
              <w:spacing w:after="0" w:line="240" w:lineRule="auto"/>
              <w:rPr>
                <w:rFonts w:ascii="Times" w:eastAsia="Times New Roman" w:hAnsi="Times" w:cs="Times"/>
                <w:color w:val="000000"/>
                <w:lang w:val="en-IE" w:eastAsia="en-IE"/>
              </w:rPr>
            </w:pPr>
            <w:r w:rsidRPr="0034645D">
              <w:rPr>
                <w:rFonts w:ascii="Times" w:eastAsia="Times New Roman" w:hAnsi="Times" w:cs="Times"/>
                <w:color w:val="000000"/>
                <w:lang w:val="en-IE" w:eastAsia="en-IE"/>
              </w:rPr>
              <w:t>Meath</w:t>
            </w:r>
          </w:p>
        </w:tc>
        <w:tc>
          <w:tcPr>
            <w:tcW w:w="821" w:type="dxa"/>
            <w:tcBorders>
              <w:top w:val="nil"/>
              <w:left w:val="nil"/>
              <w:bottom w:val="nil"/>
              <w:right w:val="nil"/>
            </w:tcBorders>
            <w:shd w:val="clear" w:color="auto" w:fill="auto"/>
            <w:noWrap/>
            <w:vAlign w:val="center"/>
            <w:hideMark/>
          </w:tcPr>
          <w:p w14:paraId="48A800DD" w14:textId="77777777" w:rsidR="00087B9D" w:rsidRPr="0034645D" w:rsidRDefault="00087B9D" w:rsidP="00FC1F06">
            <w:pPr>
              <w:spacing w:after="0" w:line="240" w:lineRule="auto"/>
              <w:jc w:val="right"/>
              <w:rPr>
                <w:rFonts w:ascii="Times" w:eastAsia="Times New Roman" w:hAnsi="Times" w:cs="Times"/>
                <w:color w:val="000000"/>
                <w:lang w:val="en-IE" w:eastAsia="en-IE"/>
              </w:rPr>
            </w:pPr>
            <w:r w:rsidRPr="0034645D">
              <w:rPr>
                <w:rFonts w:ascii="Times" w:eastAsia="Times New Roman" w:hAnsi="Times" w:cs="Times"/>
                <w:color w:val="000000"/>
                <w:lang w:val="en-IE" w:eastAsia="en-IE"/>
              </w:rPr>
              <w:t>8,366</w:t>
            </w:r>
          </w:p>
        </w:tc>
        <w:tc>
          <w:tcPr>
            <w:tcW w:w="895" w:type="dxa"/>
            <w:tcBorders>
              <w:top w:val="nil"/>
              <w:left w:val="nil"/>
              <w:bottom w:val="nil"/>
              <w:right w:val="single" w:sz="4" w:space="0" w:color="auto"/>
            </w:tcBorders>
            <w:shd w:val="clear" w:color="auto" w:fill="auto"/>
            <w:noWrap/>
            <w:vAlign w:val="center"/>
            <w:hideMark/>
          </w:tcPr>
          <w:p w14:paraId="7035FA38" w14:textId="77777777" w:rsidR="00087B9D" w:rsidRPr="0034645D" w:rsidRDefault="00087B9D" w:rsidP="00FC1F06">
            <w:pPr>
              <w:spacing w:after="0" w:line="240" w:lineRule="auto"/>
              <w:jc w:val="center"/>
              <w:rPr>
                <w:rFonts w:ascii="Times" w:eastAsia="Times New Roman" w:hAnsi="Times" w:cs="Times"/>
                <w:color w:val="000000"/>
                <w:lang w:val="en-IE" w:eastAsia="en-IE"/>
              </w:rPr>
            </w:pPr>
            <w:r w:rsidRPr="0034645D">
              <w:rPr>
                <w:rFonts w:ascii="Times" w:eastAsia="Times New Roman" w:hAnsi="Times" w:cs="Times"/>
                <w:color w:val="000000"/>
                <w:lang w:val="en-IE" w:eastAsia="en-IE"/>
              </w:rPr>
              <w:t>3.16%</w:t>
            </w:r>
          </w:p>
        </w:tc>
      </w:tr>
      <w:tr w:rsidR="00087B9D" w:rsidRPr="0034645D" w14:paraId="4CC97332" w14:textId="77777777" w:rsidTr="00FC1F06">
        <w:trPr>
          <w:trHeight w:val="300"/>
        </w:trPr>
        <w:tc>
          <w:tcPr>
            <w:tcW w:w="2835" w:type="dxa"/>
            <w:tcBorders>
              <w:top w:val="nil"/>
              <w:left w:val="single" w:sz="4" w:space="0" w:color="auto"/>
              <w:bottom w:val="nil"/>
              <w:right w:val="nil"/>
            </w:tcBorders>
            <w:shd w:val="clear" w:color="auto" w:fill="auto"/>
            <w:noWrap/>
            <w:vAlign w:val="center"/>
            <w:hideMark/>
          </w:tcPr>
          <w:p w14:paraId="17F79317" w14:textId="77777777" w:rsidR="00087B9D" w:rsidRPr="0034645D" w:rsidRDefault="00087B9D" w:rsidP="00FC1F06">
            <w:pPr>
              <w:spacing w:after="0" w:line="240" w:lineRule="auto"/>
              <w:rPr>
                <w:rFonts w:ascii="Times" w:eastAsia="Times New Roman" w:hAnsi="Times" w:cs="Times"/>
                <w:color w:val="000000"/>
                <w:lang w:val="en-IE" w:eastAsia="en-IE"/>
              </w:rPr>
            </w:pPr>
            <w:r w:rsidRPr="0034645D">
              <w:rPr>
                <w:rFonts w:ascii="Times" w:eastAsia="Times New Roman" w:hAnsi="Times" w:cs="Times"/>
                <w:color w:val="000000"/>
                <w:lang w:val="en-IE" w:eastAsia="en-IE"/>
              </w:rPr>
              <w:t>Tipperary</w:t>
            </w:r>
          </w:p>
        </w:tc>
        <w:tc>
          <w:tcPr>
            <w:tcW w:w="821" w:type="dxa"/>
            <w:tcBorders>
              <w:top w:val="nil"/>
              <w:left w:val="nil"/>
              <w:bottom w:val="nil"/>
              <w:right w:val="nil"/>
            </w:tcBorders>
            <w:shd w:val="clear" w:color="auto" w:fill="auto"/>
            <w:noWrap/>
            <w:vAlign w:val="center"/>
            <w:hideMark/>
          </w:tcPr>
          <w:p w14:paraId="0FD299A6" w14:textId="77777777" w:rsidR="00087B9D" w:rsidRPr="0034645D" w:rsidRDefault="00087B9D" w:rsidP="00FC1F06">
            <w:pPr>
              <w:spacing w:after="0" w:line="240" w:lineRule="auto"/>
              <w:jc w:val="right"/>
              <w:rPr>
                <w:rFonts w:ascii="Times" w:eastAsia="Times New Roman" w:hAnsi="Times" w:cs="Times"/>
                <w:color w:val="000000"/>
                <w:lang w:val="en-IE" w:eastAsia="en-IE"/>
              </w:rPr>
            </w:pPr>
            <w:r w:rsidRPr="0034645D">
              <w:rPr>
                <w:rFonts w:ascii="Times" w:eastAsia="Times New Roman" w:hAnsi="Times" w:cs="Times"/>
                <w:color w:val="000000"/>
                <w:lang w:val="en-IE" w:eastAsia="en-IE"/>
              </w:rPr>
              <w:t>6,231</w:t>
            </w:r>
          </w:p>
        </w:tc>
        <w:tc>
          <w:tcPr>
            <w:tcW w:w="895" w:type="dxa"/>
            <w:tcBorders>
              <w:top w:val="nil"/>
              <w:left w:val="nil"/>
              <w:bottom w:val="nil"/>
              <w:right w:val="single" w:sz="12" w:space="0" w:color="auto"/>
            </w:tcBorders>
            <w:shd w:val="clear" w:color="auto" w:fill="auto"/>
            <w:noWrap/>
            <w:vAlign w:val="center"/>
            <w:hideMark/>
          </w:tcPr>
          <w:p w14:paraId="1D5D22F0" w14:textId="77777777" w:rsidR="00087B9D" w:rsidRPr="0034645D" w:rsidRDefault="00087B9D" w:rsidP="00FC1F06">
            <w:pPr>
              <w:spacing w:after="0" w:line="240" w:lineRule="auto"/>
              <w:jc w:val="center"/>
              <w:rPr>
                <w:rFonts w:ascii="Times" w:eastAsia="Times New Roman" w:hAnsi="Times" w:cs="Times"/>
                <w:color w:val="000000"/>
                <w:lang w:val="en-IE" w:eastAsia="en-IE"/>
              </w:rPr>
            </w:pPr>
            <w:r w:rsidRPr="0034645D">
              <w:rPr>
                <w:rFonts w:ascii="Times" w:eastAsia="Times New Roman" w:hAnsi="Times" w:cs="Times"/>
                <w:color w:val="000000"/>
                <w:lang w:val="en-IE" w:eastAsia="en-IE"/>
              </w:rPr>
              <w:t>2.35%</w:t>
            </w:r>
          </w:p>
        </w:tc>
        <w:tc>
          <w:tcPr>
            <w:tcW w:w="2748" w:type="dxa"/>
            <w:tcBorders>
              <w:top w:val="nil"/>
              <w:left w:val="single" w:sz="12" w:space="0" w:color="auto"/>
              <w:bottom w:val="nil"/>
              <w:right w:val="nil"/>
            </w:tcBorders>
            <w:shd w:val="clear" w:color="auto" w:fill="auto"/>
            <w:noWrap/>
            <w:vAlign w:val="center"/>
            <w:hideMark/>
          </w:tcPr>
          <w:p w14:paraId="19121C6B" w14:textId="77777777" w:rsidR="00087B9D" w:rsidRPr="0034645D" w:rsidRDefault="00087B9D" w:rsidP="00FC1F06">
            <w:pPr>
              <w:spacing w:after="0" w:line="240" w:lineRule="auto"/>
              <w:rPr>
                <w:rFonts w:ascii="Times" w:eastAsia="Times New Roman" w:hAnsi="Times" w:cs="Times"/>
                <w:color w:val="000000"/>
                <w:lang w:val="en-IE" w:eastAsia="en-IE"/>
              </w:rPr>
            </w:pPr>
            <w:r w:rsidRPr="0034645D">
              <w:rPr>
                <w:rFonts w:ascii="Times" w:eastAsia="Times New Roman" w:hAnsi="Times" w:cs="Times"/>
                <w:color w:val="000000"/>
                <w:lang w:val="en-IE" w:eastAsia="en-IE"/>
              </w:rPr>
              <w:t>Monaghan</w:t>
            </w:r>
          </w:p>
        </w:tc>
        <w:tc>
          <w:tcPr>
            <w:tcW w:w="821" w:type="dxa"/>
            <w:tcBorders>
              <w:top w:val="nil"/>
              <w:left w:val="nil"/>
              <w:bottom w:val="nil"/>
              <w:right w:val="nil"/>
            </w:tcBorders>
            <w:shd w:val="clear" w:color="auto" w:fill="auto"/>
            <w:noWrap/>
            <w:vAlign w:val="center"/>
            <w:hideMark/>
          </w:tcPr>
          <w:p w14:paraId="66D8F66E" w14:textId="77777777" w:rsidR="00087B9D" w:rsidRPr="0034645D" w:rsidRDefault="00087B9D" w:rsidP="00FC1F06">
            <w:pPr>
              <w:spacing w:after="0" w:line="240" w:lineRule="auto"/>
              <w:jc w:val="right"/>
              <w:rPr>
                <w:rFonts w:ascii="Times" w:eastAsia="Times New Roman" w:hAnsi="Times" w:cs="Times"/>
                <w:color w:val="000000"/>
                <w:lang w:val="en-IE" w:eastAsia="en-IE"/>
              </w:rPr>
            </w:pPr>
            <w:r w:rsidRPr="0034645D">
              <w:rPr>
                <w:rFonts w:ascii="Times" w:eastAsia="Times New Roman" w:hAnsi="Times" w:cs="Times"/>
                <w:color w:val="000000"/>
                <w:lang w:val="en-IE" w:eastAsia="en-IE"/>
              </w:rPr>
              <w:t>1,555</w:t>
            </w:r>
          </w:p>
        </w:tc>
        <w:tc>
          <w:tcPr>
            <w:tcW w:w="895" w:type="dxa"/>
            <w:tcBorders>
              <w:top w:val="nil"/>
              <w:left w:val="nil"/>
              <w:bottom w:val="nil"/>
              <w:right w:val="single" w:sz="4" w:space="0" w:color="auto"/>
            </w:tcBorders>
            <w:shd w:val="clear" w:color="auto" w:fill="auto"/>
            <w:noWrap/>
            <w:vAlign w:val="center"/>
            <w:hideMark/>
          </w:tcPr>
          <w:p w14:paraId="2C72D7B1" w14:textId="77777777" w:rsidR="00087B9D" w:rsidRPr="0034645D" w:rsidRDefault="00087B9D" w:rsidP="00FC1F06">
            <w:pPr>
              <w:spacing w:after="0" w:line="240" w:lineRule="auto"/>
              <w:jc w:val="center"/>
              <w:rPr>
                <w:rFonts w:ascii="Times" w:eastAsia="Times New Roman" w:hAnsi="Times" w:cs="Times"/>
                <w:color w:val="000000"/>
                <w:lang w:val="en-IE" w:eastAsia="en-IE"/>
              </w:rPr>
            </w:pPr>
            <w:r w:rsidRPr="0034645D">
              <w:rPr>
                <w:rFonts w:ascii="Times" w:eastAsia="Times New Roman" w:hAnsi="Times" w:cs="Times"/>
                <w:color w:val="000000"/>
                <w:lang w:val="en-IE" w:eastAsia="en-IE"/>
              </w:rPr>
              <w:t>0.59%</w:t>
            </w:r>
          </w:p>
        </w:tc>
      </w:tr>
      <w:tr w:rsidR="00087B9D" w:rsidRPr="0034645D" w14:paraId="14F9C983" w14:textId="77777777" w:rsidTr="00FC1F06">
        <w:trPr>
          <w:trHeight w:val="300"/>
        </w:trPr>
        <w:tc>
          <w:tcPr>
            <w:tcW w:w="2835" w:type="dxa"/>
            <w:tcBorders>
              <w:top w:val="nil"/>
              <w:left w:val="single" w:sz="4" w:space="0" w:color="auto"/>
              <w:bottom w:val="nil"/>
              <w:right w:val="nil"/>
            </w:tcBorders>
            <w:shd w:val="clear" w:color="auto" w:fill="auto"/>
            <w:noWrap/>
            <w:vAlign w:val="center"/>
            <w:hideMark/>
          </w:tcPr>
          <w:p w14:paraId="67553375" w14:textId="77777777" w:rsidR="00087B9D" w:rsidRPr="0034645D" w:rsidRDefault="00087B9D" w:rsidP="00FC1F06">
            <w:pPr>
              <w:spacing w:after="0" w:line="240" w:lineRule="auto"/>
              <w:rPr>
                <w:rFonts w:ascii="Times" w:eastAsia="Times New Roman" w:hAnsi="Times" w:cs="Times"/>
                <w:color w:val="000000"/>
                <w:lang w:val="en-IE" w:eastAsia="en-IE"/>
              </w:rPr>
            </w:pPr>
            <w:r w:rsidRPr="0034645D">
              <w:rPr>
                <w:rFonts w:ascii="Times" w:eastAsia="Times New Roman" w:hAnsi="Times" w:cs="Times"/>
                <w:color w:val="000000"/>
                <w:lang w:val="en-IE" w:eastAsia="en-IE"/>
              </w:rPr>
              <w:t>Westmeath</w:t>
            </w:r>
          </w:p>
        </w:tc>
        <w:tc>
          <w:tcPr>
            <w:tcW w:w="821" w:type="dxa"/>
            <w:tcBorders>
              <w:top w:val="nil"/>
              <w:left w:val="nil"/>
              <w:bottom w:val="nil"/>
              <w:right w:val="nil"/>
            </w:tcBorders>
            <w:shd w:val="clear" w:color="auto" w:fill="auto"/>
            <w:noWrap/>
            <w:vAlign w:val="center"/>
            <w:hideMark/>
          </w:tcPr>
          <w:p w14:paraId="4AA3F7BB" w14:textId="77777777" w:rsidR="00087B9D" w:rsidRPr="0034645D" w:rsidRDefault="00087B9D" w:rsidP="00FC1F06">
            <w:pPr>
              <w:spacing w:after="0" w:line="240" w:lineRule="auto"/>
              <w:jc w:val="right"/>
              <w:rPr>
                <w:rFonts w:ascii="Times" w:eastAsia="Times New Roman" w:hAnsi="Times" w:cs="Times"/>
                <w:color w:val="000000"/>
                <w:lang w:val="en-IE" w:eastAsia="en-IE"/>
              </w:rPr>
            </w:pPr>
            <w:r w:rsidRPr="0034645D">
              <w:rPr>
                <w:rFonts w:ascii="Times" w:eastAsia="Times New Roman" w:hAnsi="Times" w:cs="Times"/>
                <w:color w:val="000000"/>
                <w:lang w:val="en-IE" w:eastAsia="en-IE"/>
              </w:rPr>
              <w:t>5,559</w:t>
            </w:r>
          </w:p>
        </w:tc>
        <w:tc>
          <w:tcPr>
            <w:tcW w:w="895" w:type="dxa"/>
            <w:tcBorders>
              <w:top w:val="nil"/>
              <w:left w:val="nil"/>
              <w:bottom w:val="nil"/>
              <w:right w:val="single" w:sz="12" w:space="0" w:color="auto"/>
            </w:tcBorders>
            <w:shd w:val="clear" w:color="auto" w:fill="auto"/>
            <w:noWrap/>
            <w:vAlign w:val="center"/>
            <w:hideMark/>
          </w:tcPr>
          <w:p w14:paraId="0F638DD0" w14:textId="77777777" w:rsidR="00087B9D" w:rsidRPr="0034645D" w:rsidRDefault="00087B9D" w:rsidP="00FC1F06">
            <w:pPr>
              <w:spacing w:after="0" w:line="240" w:lineRule="auto"/>
              <w:jc w:val="center"/>
              <w:rPr>
                <w:rFonts w:ascii="Times" w:eastAsia="Times New Roman" w:hAnsi="Times" w:cs="Times"/>
                <w:color w:val="000000"/>
                <w:lang w:val="en-IE" w:eastAsia="en-IE"/>
              </w:rPr>
            </w:pPr>
            <w:r w:rsidRPr="0034645D">
              <w:rPr>
                <w:rFonts w:ascii="Times" w:eastAsia="Times New Roman" w:hAnsi="Times" w:cs="Times"/>
                <w:color w:val="000000"/>
                <w:lang w:val="en-IE" w:eastAsia="en-IE"/>
              </w:rPr>
              <w:t>2.10%</w:t>
            </w:r>
          </w:p>
        </w:tc>
        <w:tc>
          <w:tcPr>
            <w:tcW w:w="2748" w:type="dxa"/>
            <w:tcBorders>
              <w:top w:val="nil"/>
              <w:left w:val="single" w:sz="12" w:space="0" w:color="auto"/>
              <w:bottom w:val="nil"/>
              <w:right w:val="nil"/>
            </w:tcBorders>
            <w:shd w:val="clear" w:color="auto" w:fill="auto"/>
            <w:noWrap/>
            <w:vAlign w:val="center"/>
            <w:hideMark/>
          </w:tcPr>
          <w:p w14:paraId="794425F9" w14:textId="77777777" w:rsidR="00087B9D" w:rsidRPr="0034645D" w:rsidRDefault="00087B9D" w:rsidP="00FC1F06">
            <w:pPr>
              <w:spacing w:after="0" w:line="240" w:lineRule="auto"/>
              <w:rPr>
                <w:rFonts w:ascii="Times" w:eastAsia="Times New Roman" w:hAnsi="Times" w:cs="Times"/>
                <w:color w:val="000000"/>
                <w:lang w:val="en-IE" w:eastAsia="en-IE"/>
              </w:rPr>
            </w:pPr>
            <w:r w:rsidRPr="0034645D">
              <w:rPr>
                <w:rFonts w:ascii="Times" w:eastAsia="Times New Roman" w:hAnsi="Times" w:cs="Times"/>
                <w:color w:val="000000"/>
                <w:lang w:val="en-IE" w:eastAsia="en-IE"/>
              </w:rPr>
              <w:t>Offaly</w:t>
            </w:r>
          </w:p>
        </w:tc>
        <w:tc>
          <w:tcPr>
            <w:tcW w:w="821" w:type="dxa"/>
            <w:tcBorders>
              <w:top w:val="nil"/>
              <w:left w:val="nil"/>
              <w:bottom w:val="nil"/>
              <w:right w:val="nil"/>
            </w:tcBorders>
            <w:shd w:val="clear" w:color="auto" w:fill="auto"/>
            <w:noWrap/>
            <w:vAlign w:val="center"/>
            <w:hideMark/>
          </w:tcPr>
          <w:p w14:paraId="4671B140" w14:textId="77777777" w:rsidR="00087B9D" w:rsidRPr="0034645D" w:rsidRDefault="00087B9D" w:rsidP="00FC1F06">
            <w:pPr>
              <w:spacing w:after="0" w:line="240" w:lineRule="auto"/>
              <w:jc w:val="right"/>
              <w:rPr>
                <w:rFonts w:ascii="Times" w:eastAsia="Times New Roman" w:hAnsi="Times" w:cs="Times"/>
                <w:color w:val="000000"/>
                <w:lang w:val="en-IE" w:eastAsia="en-IE"/>
              </w:rPr>
            </w:pPr>
            <w:r w:rsidRPr="0034645D">
              <w:rPr>
                <w:rFonts w:ascii="Times" w:eastAsia="Times New Roman" w:hAnsi="Times" w:cs="Times"/>
                <w:color w:val="000000"/>
                <w:lang w:val="en-IE" w:eastAsia="en-IE"/>
              </w:rPr>
              <w:t>2,805</w:t>
            </w:r>
          </w:p>
        </w:tc>
        <w:tc>
          <w:tcPr>
            <w:tcW w:w="895" w:type="dxa"/>
            <w:tcBorders>
              <w:top w:val="nil"/>
              <w:left w:val="nil"/>
              <w:bottom w:val="nil"/>
              <w:right w:val="single" w:sz="4" w:space="0" w:color="auto"/>
            </w:tcBorders>
            <w:shd w:val="clear" w:color="auto" w:fill="auto"/>
            <w:noWrap/>
            <w:vAlign w:val="center"/>
            <w:hideMark/>
          </w:tcPr>
          <w:p w14:paraId="12A9BE64" w14:textId="77777777" w:rsidR="00087B9D" w:rsidRPr="0034645D" w:rsidRDefault="00087B9D" w:rsidP="00FC1F06">
            <w:pPr>
              <w:spacing w:after="0" w:line="240" w:lineRule="auto"/>
              <w:jc w:val="center"/>
              <w:rPr>
                <w:rFonts w:ascii="Times" w:eastAsia="Times New Roman" w:hAnsi="Times" w:cs="Times"/>
                <w:color w:val="000000"/>
                <w:lang w:val="en-IE" w:eastAsia="en-IE"/>
              </w:rPr>
            </w:pPr>
            <w:r w:rsidRPr="0034645D">
              <w:rPr>
                <w:rFonts w:ascii="Times" w:eastAsia="Times New Roman" w:hAnsi="Times" w:cs="Times"/>
                <w:color w:val="000000"/>
                <w:lang w:val="en-IE" w:eastAsia="en-IE"/>
              </w:rPr>
              <w:t>1.06%</w:t>
            </w:r>
          </w:p>
        </w:tc>
      </w:tr>
      <w:tr w:rsidR="00087B9D" w:rsidRPr="0034645D" w14:paraId="23A43007" w14:textId="77777777" w:rsidTr="00FC1F06">
        <w:trPr>
          <w:trHeight w:val="300"/>
        </w:trPr>
        <w:tc>
          <w:tcPr>
            <w:tcW w:w="2835" w:type="dxa"/>
            <w:tcBorders>
              <w:top w:val="nil"/>
              <w:left w:val="single" w:sz="4" w:space="0" w:color="auto"/>
              <w:bottom w:val="nil"/>
              <w:right w:val="nil"/>
            </w:tcBorders>
            <w:shd w:val="clear" w:color="auto" w:fill="auto"/>
            <w:noWrap/>
            <w:vAlign w:val="center"/>
            <w:hideMark/>
          </w:tcPr>
          <w:p w14:paraId="4DB46F7F" w14:textId="77777777" w:rsidR="00087B9D" w:rsidRPr="0034645D" w:rsidRDefault="00087B9D" w:rsidP="00FC1F06">
            <w:pPr>
              <w:spacing w:after="0" w:line="240" w:lineRule="auto"/>
              <w:rPr>
                <w:rFonts w:ascii="Times" w:eastAsia="Times New Roman" w:hAnsi="Times" w:cs="Times"/>
                <w:color w:val="000000"/>
                <w:lang w:val="en-IE" w:eastAsia="en-IE"/>
              </w:rPr>
            </w:pPr>
            <w:r w:rsidRPr="0034645D">
              <w:rPr>
                <w:rFonts w:ascii="Times" w:eastAsia="Times New Roman" w:hAnsi="Times" w:cs="Times"/>
                <w:color w:val="000000"/>
                <w:lang w:val="en-IE" w:eastAsia="en-IE"/>
              </w:rPr>
              <w:t>Wexford</w:t>
            </w:r>
          </w:p>
        </w:tc>
        <w:tc>
          <w:tcPr>
            <w:tcW w:w="821" w:type="dxa"/>
            <w:tcBorders>
              <w:top w:val="nil"/>
              <w:left w:val="nil"/>
              <w:bottom w:val="nil"/>
              <w:right w:val="nil"/>
            </w:tcBorders>
            <w:shd w:val="clear" w:color="auto" w:fill="auto"/>
            <w:noWrap/>
            <w:vAlign w:val="center"/>
            <w:hideMark/>
          </w:tcPr>
          <w:p w14:paraId="1E262ADD" w14:textId="77777777" w:rsidR="00087B9D" w:rsidRPr="0034645D" w:rsidRDefault="00087B9D" w:rsidP="00FC1F06">
            <w:pPr>
              <w:spacing w:after="0" w:line="240" w:lineRule="auto"/>
              <w:jc w:val="right"/>
              <w:rPr>
                <w:rFonts w:ascii="Times" w:eastAsia="Times New Roman" w:hAnsi="Times" w:cs="Times"/>
                <w:color w:val="000000"/>
                <w:lang w:val="en-IE" w:eastAsia="en-IE"/>
              </w:rPr>
            </w:pPr>
            <w:r w:rsidRPr="0034645D">
              <w:rPr>
                <w:rFonts w:ascii="Times" w:eastAsia="Times New Roman" w:hAnsi="Times" w:cs="Times"/>
                <w:color w:val="000000"/>
                <w:lang w:val="en-IE" w:eastAsia="en-IE"/>
              </w:rPr>
              <w:t>8,551</w:t>
            </w:r>
          </w:p>
        </w:tc>
        <w:tc>
          <w:tcPr>
            <w:tcW w:w="895" w:type="dxa"/>
            <w:tcBorders>
              <w:top w:val="nil"/>
              <w:left w:val="nil"/>
              <w:bottom w:val="nil"/>
              <w:right w:val="single" w:sz="12" w:space="0" w:color="auto"/>
            </w:tcBorders>
            <w:shd w:val="clear" w:color="auto" w:fill="auto"/>
            <w:noWrap/>
            <w:vAlign w:val="center"/>
            <w:hideMark/>
          </w:tcPr>
          <w:p w14:paraId="39471DF4" w14:textId="77777777" w:rsidR="00087B9D" w:rsidRPr="0034645D" w:rsidRDefault="00087B9D" w:rsidP="00FC1F06">
            <w:pPr>
              <w:spacing w:after="0" w:line="240" w:lineRule="auto"/>
              <w:jc w:val="center"/>
              <w:rPr>
                <w:rFonts w:ascii="Times" w:eastAsia="Times New Roman" w:hAnsi="Times" w:cs="Times"/>
                <w:color w:val="000000"/>
                <w:lang w:val="en-IE" w:eastAsia="en-IE"/>
              </w:rPr>
            </w:pPr>
            <w:r w:rsidRPr="0034645D">
              <w:rPr>
                <w:rFonts w:ascii="Times" w:eastAsia="Times New Roman" w:hAnsi="Times" w:cs="Times"/>
                <w:color w:val="000000"/>
                <w:lang w:val="en-IE" w:eastAsia="en-IE"/>
              </w:rPr>
              <w:t>3.23%</w:t>
            </w:r>
          </w:p>
        </w:tc>
        <w:tc>
          <w:tcPr>
            <w:tcW w:w="2748" w:type="dxa"/>
            <w:tcBorders>
              <w:top w:val="nil"/>
              <w:left w:val="single" w:sz="12" w:space="0" w:color="auto"/>
              <w:bottom w:val="nil"/>
              <w:right w:val="nil"/>
            </w:tcBorders>
            <w:shd w:val="clear" w:color="auto" w:fill="auto"/>
            <w:noWrap/>
            <w:vAlign w:val="center"/>
            <w:hideMark/>
          </w:tcPr>
          <w:p w14:paraId="7854DFEC" w14:textId="77777777" w:rsidR="00087B9D" w:rsidRPr="0034645D" w:rsidRDefault="00087B9D" w:rsidP="00FC1F06">
            <w:pPr>
              <w:spacing w:after="0" w:line="240" w:lineRule="auto"/>
              <w:rPr>
                <w:rFonts w:ascii="Times" w:eastAsia="Times New Roman" w:hAnsi="Times" w:cs="Times"/>
                <w:color w:val="000000"/>
                <w:lang w:val="en-IE" w:eastAsia="en-IE"/>
              </w:rPr>
            </w:pPr>
            <w:r w:rsidRPr="0034645D">
              <w:rPr>
                <w:rFonts w:ascii="Times" w:eastAsia="Times New Roman" w:hAnsi="Times" w:cs="Times"/>
                <w:color w:val="000000"/>
                <w:lang w:val="en-IE" w:eastAsia="en-IE"/>
              </w:rPr>
              <w:t>Sligo</w:t>
            </w:r>
          </w:p>
        </w:tc>
        <w:tc>
          <w:tcPr>
            <w:tcW w:w="821" w:type="dxa"/>
            <w:tcBorders>
              <w:top w:val="nil"/>
              <w:left w:val="nil"/>
              <w:bottom w:val="nil"/>
              <w:right w:val="nil"/>
            </w:tcBorders>
            <w:shd w:val="clear" w:color="auto" w:fill="auto"/>
            <w:noWrap/>
            <w:vAlign w:val="center"/>
            <w:hideMark/>
          </w:tcPr>
          <w:p w14:paraId="6B1F491B" w14:textId="77777777" w:rsidR="00087B9D" w:rsidRPr="0034645D" w:rsidRDefault="00087B9D" w:rsidP="00FC1F06">
            <w:pPr>
              <w:spacing w:after="0" w:line="240" w:lineRule="auto"/>
              <w:jc w:val="right"/>
              <w:rPr>
                <w:rFonts w:ascii="Times" w:eastAsia="Times New Roman" w:hAnsi="Times" w:cs="Times"/>
                <w:color w:val="000000"/>
                <w:lang w:val="en-IE" w:eastAsia="en-IE"/>
              </w:rPr>
            </w:pPr>
            <w:r w:rsidRPr="0034645D">
              <w:rPr>
                <w:rFonts w:ascii="Times" w:eastAsia="Times New Roman" w:hAnsi="Times" w:cs="Times"/>
                <w:color w:val="000000"/>
                <w:lang w:val="en-IE" w:eastAsia="en-IE"/>
              </w:rPr>
              <w:t>3,780</w:t>
            </w:r>
          </w:p>
        </w:tc>
        <w:tc>
          <w:tcPr>
            <w:tcW w:w="895" w:type="dxa"/>
            <w:tcBorders>
              <w:top w:val="nil"/>
              <w:left w:val="nil"/>
              <w:bottom w:val="nil"/>
              <w:right w:val="single" w:sz="4" w:space="0" w:color="auto"/>
            </w:tcBorders>
            <w:shd w:val="clear" w:color="auto" w:fill="auto"/>
            <w:noWrap/>
            <w:vAlign w:val="center"/>
            <w:hideMark/>
          </w:tcPr>
          <w:p w14:paraId="2A449210" w14:textId="77777777" w:rsidR="00087B9D" w:rsidRPr="0034645D" w:rsidRDefault="00087B9D" w:rsidP="00FC1F06">
            <w:pPr>
              <w:spacing w:after="0" w:line="240" w:lineRule="auto"/>
              <w:jc w:val="center"/>
              <w:rPr>
                <w:rFonts w:ascii="Times" w:eastAsia="Times New Roman" w:hAnsi="Times" w:cs="Times"/>
                <w:color w:val="000000"/>
                <w:lang w:val="en-IE" w:eastAsia="en-IE"/>
              </w:rPr>
            </w:pPr>
            <w:r w:rsidRPr="0034645D">
              <w:rPr>
                <w:rFonts w:ascii="Times" w:eastAsia="Times New Roman" w:hAnsi="Times" w:cs="Times"/>
                <w:color w:val="000000"/>
                <w:lang w:val="en-IE" w:eastAsia="en-IE"/>
              </w:rPr>
              <w:t>1.43%</w:t>
            </w:r>
          </w:p>
        </w:tc>
      </w:tr>
      <w:tr w:rsidR="00087B9D" w:rsidRPr="0034645D" w14:paraId="671A9AB1" w14:textId="77777777" w:rsidTr="00FC1F06">
        <w:trPr>
          <w:trHeight w:val="300"/>
        </w:trPr>
        <w:tc>
          <w:tcPr>
            <w:tcW w:w="2835" w:type="dxa"/>
            <w:tcBorders>
              <w:top w:val="nil"/>
              <w:left w:val="single" w:sz="4" w:space="0" w:color="auto"/>
              <w:bottom w:val="nil"/>
              <w:right w:val="nil"/>
            </w:tcBorders>
            <w:shd w:val="clear" w:color="auto" w:fill="auto"/>
            <w:noWrap/>
            <w:vAlign w:val="center"/>
            <w:hideMark/>
          </w:tcPr>
          <w:p w14:paraId="6CD34991" w14:textId="77777777" w:rsidR="00087B9D" w:rsidRPr="0034645D" w:rsidRDefault="00087B9D" w:rsidP="00FC1F06">
            <w:pPr>
              <w:spacing w:after="0" w:line="240" w:lineRule="auto"/>
              <w:jc w:val="center"/>
              <w:rPr>
                <w:rFonts w:ascii="Times" w:eastAsia="Times New Roman" w:hAnsi="Times" w:cs="Times"/>
                <w:color w:val="000000"/>
                <w:lang w:val="en-IE" w:eastAsia="en-IE"/>
              </w:rPr>
            </w:pPr>
          </w:p>
        </w:tc>
        <w:tc>
          <w:tcPr>
            <w:tcW w:w="821" w:type="dxa"/>
            <w:tcBorders>
              <w:top w:val="nil"/>
              <w:left w:val="nil"/>
              <w:bottom w:val="nil"/>
              <w:right w:val="nil"/>
            </w:tcBorders>
            <w:shd w:val="clear" w:color="auto" w:fill="auto"/>
            <w:noWrap/>
            <w:vAlign w:val="center"/>
            <w:hideMark/>
          </w:tcPr>
          <w:p w14:paraId="00BA3564" w14:textId="77777777" w:rsidR="00087B9D" w:rsidRPr="0034645D" w:rsidRDefault="00087B9D" w:rsidP="00FC1F06">
            <w:pPr>
              <w:spacing w:after="0" w:line="240" w:lineRule="auto"/>
              <w:rPr>
                <w:rFonts w:eastAsia="Times New Roman"/>
                <w:sz w:val="20"/>
                <w:szCs w:val="20"/>
                <w:lang w:val="en-IE" w:eastAsia="en-IE"/>
              </w:rPr>
            </w:pPr>
          </w:p>
        </w:tc>
        <w:tc>
          <w:tcPr>
            <w:tcW w:w="895" w:type="dxa"/>
            <w:tcBorders>
              <w:top w:val="nil"/>
              <w:left w:val="nil"/>
              <w:bottom w:val="nil"/>
              <w:right w:val="single" w:sz="12" w:space="0" w:color="auto"/>
            </w:tcBorders>
            <w:shd w:val="clear" w:color="auto" w:fill="auto"/>
            <w:noWrap/>
            <w:vAlign w:val="center"/>
            <w:hideMark/>
          </w:tcPr>
          <w:p w14:paraId="029EFE98" w14:textId="77777777" w:rsidR="00087B9D" w:rsidRPr="0034645D" w:rsidRDefault="00087B9D" w:rsidP="00FC1F06">
            <w:pPr>
              <w:spacing w:after="0" w:line="240" w:lineRule="auto"/>
              <w:rPr>
                <w:rFonts w:ascii="Times" w:eastAsia="Times New Roman" w:hAnsi="Times" w:cs="Times"/>
                <w:color w:val="000000"/>
                <w:lang w:val="en-IE" w:eastAsia="en-IE"/>
              </w:rPr>
            </w:pPr>
            <w:r w:rsidRPr="0034645D">
              <w:rPr>
                <w:rFonts w:ascii="Times" w:eastAsia="Times New Roman" w:hAnsi="Times" w:cs="Times"/>
                <w:color w:val="000000"/>
                <w:lang w:val="en-IE" w:eastAsia="en-IE"/>
              </w:rPr>
              <w:t> </w:t>
            </w:r>
          </w:p>
        </w:tc>
        <w:tc>
          <w:tcPr>
            <w:tcW w:w="2748" w:type="dxa"/>
            <w:tcBorders>
              <w:top w:val="nil"/>
              <w:left w:val="single" w:sz="12" w:space="0" w:color="auto"/>
              <w:bottom w:val="nil"/>
              <w:right w:val="nil"/>
            </w:tcBorders>
            <w:shd w:val="clear" w:color="auto" w:fill="auto"/>
            <w:noWrap/>
            <w:vAlign w:val="center"/>
            <w:hideMark/>
          </w:tcPr>
          <w:p w14:paraId="2899C8B7" w14:textId="77777777" w:rsidR="00087B9D" w:rsidRPr="0034645D" w:rsidRDefault="00087B9D" w:rsidP="00FC1F06">
            <w:pPr>
              <w:spacing w:after="0" w:line="240" w:lineRule="auto"/>
              <w:rPr>
                <w:rFonts w:ascii="Times" w:eastAsia="Times New Roman" w:hAnsi="Times" w:cs="Times"/>
                <w:color w:val="000000"/>
                <w:lang w:val="en-IE" w:eastAsia="en-IE"/>
              </w:rPr>
            </w:pPr>
            <w:r w:rsidRPr="0034645D">
              <w:rPr>
                <w:rFonts w:ascii="Times" w:eastAsia="Times New Roman" w:hAnsi="Times" w:cs="Times"/>
                <w:color w:val="000000"/>
                <w:lang w:val="en-IE" w:eastAsia="en-IE"/>
              </w:rPr>
              <w:t>Waterford</w:t>
            </w:r>
          </w:p>
        </w:tc>
        <w:tc>
          <w:tcPr>
            <w:tcW w:w="821" w:type="dxa"/>
            <w:tcBorders>
              <w:top w:val="nil"/>
              <w:left w:val="nil"/>
              <w:bottom w:val="nil"/>
              <w:right w:val="nil"/>
            </w:tcBorders>
            <w:shd w:val="clear" w:color="auto" w:fill="auto"/>
            <w:noWrap/>
            <w:vAlign w:val="center"/>
            <w:hideMark/>
          </w:tcPr>
          <w:p w14:paraId="2EB5DC00" w14:textId="77777777" w:rsidR="00087B9D" w:rsidRPr="0034645D" w:rsidRDefault="00087B9D" w:rsidP="00FC1F06">
            <w:pPr>
              <w:spacing w:after="0" w:line="240" w:lineRule="auto"/>
              <w:jc w:val="right"/>
              <w:rPr>
                <w:rFonts w:ascii="Times" w:eastAsia="Times New Roman" w:hAnsi="Times" w:cs="Times"/>
                <w:color w:val="000000"/>
                <w:lang w:val="en-IE" w:eastAsia="en-IE"/>
              </w:rPr>
            </w:pPr>
            <w:r w:rsidRPr="0034645D">
              <w:rPr>
                <w:rFonts w:ascii="Times" w:eastAsia="Times New Roman" w:hAnsi="Times" w:cs="Times"/>
                <w:color w:val="000000"/>
                <w:lang w:val="en-IE" w:eastAsia="en-IE"/>
              </w:rPr>
              <w:t>8,217</w:t>
            </w:r>
          </w:p>
        </w:tc>
        <w:tc>
          <w:tcPr>
            <w:tcW w:w="895" w:type="dxa"/>
            <w:tcBorders>
              <w:top w:val="nil"/>
              <w:left w:val="nil"/>
              <w:bottom w:val="nil"/>
              <w:right w:val="single" w:sz="4" w:space="0" w:color="auto"/>
            </w:tcBorders>
            <w:shd w:val="clear" w:color="auto" w:fill="auto"/>
            <w:noWrap/>
            <w:vAlign w:val="center"/>
            <w:hideMark/>
          </w:tcPr>
          <w:p w14:paraId="11C5AA15" w14:textId="77777777" w:rsidR="00087B9D" w:rsidRPr="0034645D" w:rsidRDefault="00087B9D" w:rsidP="00FC1F06">
            <w:pPr>
              <w:spacing w:after="0" w:line="240" w:lineRule="auto"/>
              <w:jc w:val="center"/>
              <w:rPr>
                <w:rFonts w:ascii="Times" w:eastAsia="Times New Roman" w:hAnsi="Times" w:cs="Times"/>
                <w:color w:val="000000"/>
                <w:lang w:val="en-IE" w:eastAsia="en-IE"/>
              </w:rPr>
            </w:pPr>
            <w:r w:rsidRPr="0034645D">
              <w:rPr>
                <w:rFonts w:ascii="Times" w:eastAsia="Times New Roman" w:hAnsi="Times" w:cs="Times"/>
                <w:color w:val="000000"/>
                <w:lang w:val="en-IE" w:eastAsia="en-IE"/>
              </w:rPr>
              <w:t>3.11%</w:t>
            </w:r>
          </w:p>
        </w:tc>
      </w:tr>
      <w:tr w:rsidR="00087B9D" w:rsidRPr="0034645D" w14:paraId="0FA3BE24" w14:textId="77777777" w:rsidTr="00FC1F06">
        <w:trPr>
          <w:trHeight w:val="300"/>
        </w:trPr>
        <w:tc>
          <w:tcPr>
            <w:tcW w:w="2835" w:type="dxa"/>
            <w:tcBorders>
              <w:top w:val="nil"/>
              <w:left w:val="single" w:sz="4" w:space="0" w:color="auto"/>
              <w:bottom w:val="single" w:sz="4" w:space="0" w:color="auto"/>
              <w:right w:val="nil"/>
            </w:tcBorders>
            <w:shd w:val="clear" w:color="auto" w:fill="auto"/>
            <w:noWrap/>
            <w:vAlign w:val="center"/>
            <w:hideMark/>
          </w:tcPr>
          <w:p w14:paraId="02AD5D32" w14:textId="77777777" w:rsidR="00087B9D" w:rsidRPr="0034645D" w:rsidRDefault="00087B9D" w:rsidP="00FC1F06">
            <w:pPr>
              <w:spacing w:after="0" w:line="240" w:lineRule="auto"/>
              <w:jc w:val="center"/>
              <w:rPr>
                <w:rFonts w:ascii="Times" w:eastAsia="Times New Roman" w:hAnsi="Times" w:cs="Times"/>
                <w:color w:val="000000"/>
                <w:lang w:val="en-IE" w:eastAsia="en-IE"/>
              </w:rPr>
            </w:pPr>
          </w:p>
        </w:tc>
        <w:tc>
          <w:tcPr>
            <w:tcW w:w="821" w:type="dxa"/>
            <w:tcBorders>
              <w:top w:val="nil"/>
              <w:left w:val="nil"/>
              <w:bottom w:val="single" w:sz="4" w:space="0" w:color="auto"/>
              <w:right w:val="nil"/>
            </w:tcBorders>
            <w:shd w:val="clear" w:color="auto" w:fill="auto"/>
            <w:noWrap/>
            <w:vAlign w:val="center"/>
            <w:hideMark/>
          </w:tcPr>
          <w:p w14:paraId="4FDCFDB6" w14:textId="77777777" w:rsidR="00087B9D" w:rsidRPr="0034645D" w:rsidRDefault="00087B9D" w:rsidP="00FC1F06">
            <w:pPr>
              <w:spacing w:after="0" w:line="240" w:lineRule="auto"/>
              <w:rPr>
                <w:rFonts w:eastAsia="Times New Roman"/>
                <w:sz w:val="20"/>
                <w:szCs w:val="20"/>
                <w:lang w:val="en-IE" w:eastAsia="en-IE"/>
              </w:rPr>
            </w:pPr>
          </w:p>
        </w:tc>
        <w:tc>
          <w:tcPr>
            <w:tcW w:w="895" w:type="dxa"/>
            <w:tcBorders>
              <w:top w:val="nil"/>
              <w:left w:val="nil"/>
              <w:bottom w:val="single" w:sz="4" w:space="0" w:color="auto"/>
              <w:right w:val="single" w:sz="12" w:space="0" w:color="auto"/>
            </w:tcBorders>
            <w:shd w:val="clear" w:color="auto" w:fill="auto"/>
            <w:noWrap/>
            <w:vAlign w:val="center"/>
            <w:hideMark/>
          </w:tcPr>
          <w:p w14:paraId="6BFE11F3" w14:textId="77777777" w:rsidR="00087B9D" w:rsidRPr="0034645D" w:rsidRDefault="00087B9D" w:rsidP="00FC1F06">
            <w:pPr>
              <w:spacing w:after="0" w:line="240" w:lineRule="auto"/>
              <w:rPr>
                <w:rFonts w:ascii="Times" w:eastAsia="Times New Roman" w:hAnsi="Times" w:cs="Times"/>
                <w:color w:val="000000"/>
                <w:lang w:val="en-IE" w:eastAsia="en-IE"/>
              </w:rPr>
            </w:pPr>
            <w:r w:rsidRPr="0034645D">
              <w:rPr>
                <w:rFonts w:ascii="Times" w:eastAsia="Times New Roman" w:hAnsi="Times" w:cs="Times"/>
                <w:color w:val="000000"/>
                <w:lang w:val="en-IE" w:eastAsia="en-IE"/>
              </w:rPr>
              <w:t> </w:t>
            </w:r>
          </w:p>
        </w:tc>
        <w:tc>
          <w:tcPr>
            <w:tcW w:w="2748" w:type="dxa"/>
            <w:tcBorders>
              <w:top w:val="nil"/>
              <w:left w:val="single" w:sz="12" w:space="0" w:color="auto"/>
              <w:bottom w:val="single" w:sz="4" w:space="0" w:color="auto"/>
              <w:right w:val="nil"/>
            </w:tcBorders>
            <w:shd w:val="clear" w:color="auto" w:fill="auto"/>
            <w:noWrap/>
            <w:vAlign w:val="center"/>
            <w:hideMark/>
          </w:tcPr>
          <w:p w14:paraId="0D03782A" w14:textId="77777777" w:rsidR="00087B9D" w:rsidRPr="0034645D" w:rsidRDefault="00087B9D" w:rsidP="00FC1F06">
            <w:pPr>
              <w:spacing w:after="0" w:line="240" w:lineRule="auto"/>
              <w:rPr>
                <w:rFonts w:ascii="Times" w:eastAsia="Times New Roman" w:hAnsi="Times" w:cs="Times"/>
                <w:color w:val="000000"/>
                <w:lang w:val="en-IE" w:eastAsia="en-IE"/>
              </w:rPr>
            </w:pPr>
            <w:r w:rsidRPr="0034645D">
              <w:rPr>
                <w:rFonts w:ascii="Times" w:eastAsia="Times New Roman" w:hAnsi="Times" w:cs="Times"/>
                <w:color w:val="000000"/>
                <w:lang w:val="en-IE" w:eastAsia="en-IE"/>
              </w:rPr>
              <w:t>Wicklow</w:t>
            </w:r>
          </w:p>
        </w:tc>
        <w:tc>
          <w:tcPr>
            <w:tcW w:w="821" w:type="dxa"/>
            <w:tcBorders>
              <w:top w:val="nil"/>
              <w:left w:val="nil"/>
              <w:bottom w:val="single" w:sz="4" w:space="0" w:color="auto"/>
              <w:right w:val="nil"/>
            </w:tcBorders>
            <w:shd w:val="clear" w:color="auto" w:fill="auto"/>
            <w:noWrap/>
            <w:vAlign w:val="center"/>
            <w:hideMark/>
          </w:tcPr>
          <w:p w14:paraId="5925917D" w14:textId="77777777" w:rsidR="00087B9D" w:rsidRPr="0034645D" w:rsidRDefault="00087B9D" w:rsidP="00FC1F06">
            <w:pPr>
              <w:spacing w:after="0" w:line="240" w:lineRule="auto"/>
              <w:jc w:val="right"/>
              <w:rPr>
                <w:rFonts w:ascii="Times" w:eastAsia="Times New Roman" w:hAnsi="Times" w:cs="Times"/>
                <w:color w:val="000000"/>
                <w:lang w:val="en-IE" w:eastAsia="en-IE"/>
              </w:rPr>
            </w:pPr>
            <w:r w:rsidRPr="0034645D">
              <w:rPr>
                <w:rFonts w:ascii="Times" w:eastAsia="Times New Roman" w:hAnsi="Times" w:cs="Times"/>
                <w:color w:val="000000"/>
                <w:lang w:val="en-IE" w:eastAsia="en-IE"/>
              </w:rPr>
              <w:t>6,148</w:t>
            </w:r>
          </w:p>
        </w:tc>
        <w:tc>
          <w:tcPr>
            <w:tcW w:w="895" w:type="dxa"/>
            <w:tcBorders>
              <w:top w:val="nil"/>
              <w:left w:val="nil"/>
              <w:bottom w:val="single" w:sz="4" w:space="0" w:color="auto"/>
              <w:right w:val="single" w:sz="4" w:space="0" w:color="auto"/>
            </w:tcBorders>
            <w:shd w:val="clear" w:color="auto" w:fill="auto"/>
            <w:noWrap/>
            <w:vAlign w:val="center"/>
            <w:hideMark/>
          </w:tcPr>
          <w:p w14:paraId="114B4506" w14:textId="77777777" w:rsidR="00087B9D" w:rsidRPr="0034645D" w:rsidRDefault="00087B9D" w:rsidP="00FC1F06">
            <w:pPr>
              <w:spacing w:after="0" w:line="240" w:lineRule="auto"/>
              <w:jc w:val="center"/>
              <w:rPr>
                <w:rFonts w:ascii="Times" w:eastAsia="Times New Roman" w:hAnsi="Times" w:cs="Times"/>
                <w:color w:val="000000"/>
                <w:lang w:val="en-IE" w:eastAsia="en-IE"/>
              </w:rPr>
            </w:pPr>
            <w:r w:rsidRPr="0034645D">
              <w:rPr>
                <w:rFonts w:ascii="Times" w:eastAsia="Times New Roman" w:hAnsi="Times" w:cs="Times"/>
                <w:color w:val="000000"/>
                <w:lang w:val="en-IE" w:eastAsia="en-IE"/>
              </w:rPr>
              <w:t>2.32%</w:t>
            </w:r>
          </w:p>
        </w:tc>
      </w:tr>
      <w:tr w:rsidR="00087B9D" w:rsidRPr="0034645D" w14:paraId="62F6F5CB" w14:textId="77777777" w:rsidTr="00FC1F06">
        <w:trPr>
          <w:trHeight w:val="300"/>
        </w:trPr>
        <w:tc>
          <w:tcPr>
            <w:tcW w:w="7299" w:type="dxa"/>
            <w:gridSpan w:val="4"/>
            <w:tcBorders>
              <w:top w:val="single" w:sz="4" w:space="0" w:color="auto"/>
              <w:left w:val="nil"/>
              <w:bottom w:val="nil"/>
              <w:right w:val="nil"/>
            </w:tcBorders>
            <w:shd w:val="clear" w:color="auto" w:fill="auto"/>
            <w:noWrap/>
            <w:vAlign w:val="center"/>
            <w:hideMark/>
          </w:tcPr>
          <w:p w14:paraId="17C21F15" w14:textId="77777777" w:rsidR="00087B9D" w:rsidRPr="0034645D" w:rsidRDefault="00087B9D" w:rsidP="00FC1F06">
            <w:pPr>
              <w:spacing w:after="0" w:line="240" w:lineRule="auto"/>
              <w:rPr>
                <w:rFonts w:eastAsia="Times New Roman"/>
                <w:i/>
                <w:iCs/>
                <w:color w:val="000000"/>
                <w:sz w:val="18"/>
                <w:szCs w:val="18"/>
                <w:lang w:val="en-IE" w:eastAsia="en-IE"/>
              </w:rPr>
            </w:pPr>
            <w:r w:rsidRPr="0034645D">
              <w:rPr>
                <w:rFonts w:eastAsia="Times New Roman"/>
                <w:i/>
                <w:iCs/>
                <w:color w:val="000000"/>
                <w:sz w:val="18"/>
                <w:szCs w:val="18"/>
                <w:lang w:val="en-IE" w:eastAsia="en-IE"/>
              </w:rPr>
              <w:t xml:space="preserve">Source: own calculations based on </w:t>
            </w:r>
            <w:r>
              <w:rPr>
                <w:rFonts w:eastAsia="Times New Roman"/>
                <w:i/>
                <w:iCs/>
                <w:color w:val="000000"/>
                <w:sz w:val="18"/>
                <w:szCs w:val="18"/>
                <w:lang w:val="en-IE" w:eastAsia="en-IE"/>
              </w:rPr>
              <w:t>d</w:t>
            </w:r>
            <w:r w:rsidRPr="0034645D">
              <w:rPr>
                <w:rFonts w:eastAsia="Times New Roman"/>
                <w:i/>
                <w:iCs/>
                <w:color w:val="000000"/>
                <w:sz w:val="18"/>
                <w:szCs w:val="18"/>
                <w:lang w:val="en-IE" w:eastAsia="en-IE"/>
              </w:rPr>
              <w:t>aft.ie dataset</w:t>
            </w:r>
          </w:p>
        </w:tc>
        <w:tc>
          <w:tcPr>
            <w:tcW w:w="821" w:type="dxa"/>
            <w:tcBorders>
              <w:top w:val="single" w:sz="4" w:space="0" w:color="auto"/>
              <w:left w:val="nil"/>
              <w:bottom w:val="nil"/>
              <w:right w:val="nil"/>
            </w:tcBorders>
            <w:shd w:val="clear" w:color="auto" w:fill="auto"/>
            <w:noWrap/>
            <w:vAlign w:val="bottom"/>
            <w:hideMark/>
          </w:tcPr>
          <w:p w14:paraId="0D2F1E5B" w14:textId="77777777" w:rsidR="00087B9D" w:rsidRPr="0034645D" w:rsidRDefault="00087B9D" w:rsidP="00FC1F06">
            <w:pPr>
              <w:spacing w:after="0" w:line="240" w:lineRule="auto"/>
              <w:rPr>
                <w:rFonts w:eastAsia="Times New Roman"/>
                <w:i/>
                <w:iCs/>
                <w:color w:val="000000"/>
                <w:sz w:val="18"/>
                <w:szCs w:val="18"/>
                <w:lang w:val="en-IE" w:eastAsia="en-IE"/>
              </w:rPr>
            </w:pPr>
          </w:p>
        </w:tc>
        <w:tc>
          <w:tcPr>
            <w:tcW w:w="895" w:type="dxa"/>
            <w:tcBorders>
              <w:top w:val="single" w:sz="4" w:space="0" w:color="auto"/>
              <w:left w:val="nil"/>
              <w:bottom w:val="nil"/>
              <w:right w:val="nil"/>
            </w:tcBorders>
            <w:shd w:val="clear" w:color="auto" w:fill="auto"/>
            <w:noWrap/>
            <w:vAlign w:val="bottom"/>
            <w:hideMark/>
          </w:tcPr>
          <w:p w14:paraId="63AC4599" w14:textId="77777777" w:rsidR="00087B9D" w:rsidRPr="0034645D" w:rsidRDefault="00087B9D" w:rsidP="00FC1F06">
            <w:pPr>
              <w:spacing w:after="0" w:line="240" w:lineRule="auto"/>
              <w:rPr>
                <w:rFonts w:eastAsia="Times New Roman"/>
                <w:sz w:val="20"/>
                <w:szCs w:val="20"/>
                <w:lang w:val="en-IE" w:eastAsia="en-IE"/>
              </w:rPr>
            </w:pPr>
          </w:p>
        </w:tc>
      </w:tr>
      <w:tr w:rsidR="00087B9D" w:rsidRPr="0034645D" w14:paraId="37D25AD0" w14:textId="77777777" w:rsidTr="00FC1F06">
        <w:trPr>
          <w:trHeight w:val="300"/>
        </w:trPr>
        <w:tc>
          <w:tcPr>
            <w:tcW w:w="9015" w:type="dxa"/>
            <w:gridSpan w:val="6"/>
            <w:tcBorders>
              <w:top w:val="nil"/>
              <w:left w:val="nil"/>
              <w:bottom w:val="nil"/>
              <w:right w:val="nil"/>
            </w:tcBorders>
            <w:shd w:val="clear" w:color="auto" w:fill="auto"/>
            <w:noWrap/>
            <w:vAlign w:val="center"/>
            <w:hideMark/>
          </w:tcPr>
          <w:p w14:paraId="37404636" w14:textId="77777777" w:rsidR="00087B9D" w:rsidRPr="0034645D" w:rsidRDefault="00087B9D" w:rsidP="00FC1F06">
            <w:pPr>
              <w:spacing w:after="0" w:line="240" w:lineRule="auto"/>
              <w:rPr>
                <w:rFonts w:eastAsia="Times New Roman"/>
                <w:i/>
                <w:iCs/>
                <w:color w:val="000000"/>
                <w:sz w:val="18"/>
                <w:szCs w:val="18"/>
                <w:lang w:val="en-IE" w:eastAsia="en-IE"/>
              </w:rPr>
            </w:pPr>
            <w:r w:rsidRPr="0034645D">
              <w:rPr>
                <w:rFonts w:eastAsia="Times New Roman"/>
                <w:i/>
                <w:iCs/>
                <w:color w:val="000000"/>
                <w:sz w:val="18"/>
                <w:szCs w:val="18"/>
                <w:lang w:val="en-IE" w:eastAsia="en-IE"/>
              </w:rPr>
              <w:t xml:space="preserve">Notes: data are from </w:t>
            </w:r>
            <w:r>
              <w:rPr>
                <w:rFonts w:eastAsia="Times New Roman"/>
                <w:i/>
                <w:iCs/>
                <w:color w:val="000000"/>
                <w:sz w:val="18"/>
                <w:szCs w:val="18"/>
                <w:lang w:val="en-IE" w:eastAsia="en-IE"/>
              </w:rPr>
              <w:t>January 1st 2017 to January 3rd 2019</w:t>
            </w:r>
            <w:r w:rsidRPr="0034645D">
              <w:rPr>
                <w:rFonts w:eastAsia="Times New Roman"/>
                <w:i/>
                <w:iCs/>
                <w:color w:val="000000"/>
                <w:sz w:val="18"/>
                <w:szCs w:val="18"/>
                <w:lang w:val="en-IE" w:eastAsia="en-IE"/>
              </w:rPr>
              <w:t xml:space="preserve"> which include rental and sales.</w:t>
            </w:r>
            <w:r>
              <w:rPr>
                <w:rFonts w:eastAsia="Times New Roman"/>
                <w:i/>
                <w:iCs/>
                <w:color w:val="000000"/>
                <w:sz w:val="18"/>
                <w:szCs w:val="18"/>
                <w:lang w:val="en-IE" w:eastAsia="en-IE"/>
              </w:rPr>
              <w:t xml:space="preserve"> There are no data exclusions in this table.</w:t>
            </w:r>
            <w:r w:rsidRPr="0034645D">
              <w:rPr>
                <w:rFonts w:eastAsia="Times New Roman"/>
                <w:i/>
                <w:iCs/>
                <w:color w:val="000000"/>
                <w:sz w:val="18"/>
                <w:szCs w:val="18"/>
                <w:lang w:val="en-IE" w:eastAsia="en-IE"/>
              </w:rPr>
              <w:t xml:space="preserve"> </w:t>
            </w:r>
          </w:p>
        </w:tc>
      </w:tr>
    </w:tbl>
    <w:p w14:paraId="560A26B5" w14:textId="413D3950" w:rsidR="008E62D6" w:rsidRPr="00087B9D" w:rsidRDefault="008E62D6" w:rsidP="00087B9D"/>
    <w:sectPr w:rsidR="008E62D6" w:rsidRPr="00087B9D" w:rsidSect="00087B9D">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8B9E20" w14:textId="77777777" w:rsidR="000B1CA4" w:rsidRDefault="000B1CA4" w:rsidP="007D1A66">
      <w:pPr>
        <w:spacing w:after="0" w:line="240" w:lineRule="auto"/>
      </w:pPr>
      <w:r>
        <w:separator/>
      </w:r>
    </w:p>
  </w:endnote>
  <w:endnote w:type="continuationSeparator" w:id="0">
    <w:p w14:paraId="32541F11" w14:textId="77777777" w:rsidR="000B1CA4" w:rsidRDefault="000B1CA4" w:rsidP="007D1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FC869B" w14:textId="77777777" w:rsidR="000B1CA4" w:rsidRDefault="000B1CA4" w:rsidP="007D1A66">
      <w:pPr>
        <w:spacing w:after="0" w:line="240" w:lineRule="auto"/>
      </w:pPr>
      <w:r>
        <w:separator/>
      </w:r>
    </w:p>
  </w:footnote>
  <w:footnote w:type="continuationSeparator" w:id="0">
    <w:p w14:paraId="52528FB2" w14:textId="77777777" w:rsidR="000B1CA4" w:rsidRDefault="000B1CA4" w:rsidP="007D1A66">
      <w:pPr>
        <w:spacing w:after="0" w:line="240" w:lineRule="auto"/>
      </w:pPr>
      <w:r>
        <w:continuationSeparator/>
      </w:r>
    </w:p>
  </w:footnote>
  <w:footnote w:id="1">
    <w:p w14:paraId="680FE354" w14:textId="77777777" w:rsidR="00087B9D" w:rsidRPr="00372226" w:rsidRDefault="00087B9D" w:rsidP="00087B9D">
      <w:pPr>
        <w:pStyle w:val="FootnoteText"/>
        <w:rPr>
          <w:lang w:val="en-IE"/>
        </w:rPr>
      </w:pPr>
      <w:r>
        <w:rPr>
          <w:rStyle w:val="FootnoteReference"/>
        </w:rPr>
        <w:footnoteRef/>
      </w:r>
      <w:r>
        <w:t xml:space="preserve"> </w:t>
      </w:r>
      <w:r>
        <w:rPr>
          <w:lang w:val="en-IE"/>
        </w:rPr>
        <w:t xml:space="preserve">The </w:t>
      </w:r>
      <w:r>
        <w:rPr>
          <w:i/>
          <w:lang w:val="en-IE"/>
        </w:rPr>
        <w:t xml:space="preserve">Dwelling Energy Assessment Procedure </w:t>
      </w:r>
      <w:r>
        <w:rPr>
          <w:lang w:val="en-IE"/>
        </w:rPr>
        <w:t>(</w:t>
      </w:r>
      <w:proofErr w:type="spellStart"/>
      <w:r>
        <w:rPr>
          <w:lang w:val="en-IE"/>
        </w:rPr>
        <w:t>DEAP</w:t>
      </w:r>
      <w:proofErr w:type="spellEnd"/>
      <w:r>
        <w:rPr>
          <w:lang w:val="en-IE"/>
        </w:rPr>
        <w:t xml:space="preserve">). </w:t>
      </w:r>
    </w:p>
  </w:footnote>
  <w:footnote w:id="2">
    <w:p w14:paraId="4490F272" w14:textId="77777777" w:rsidR="00087B9D" w:rsidRPr="00372226" w:rsidRDefault="00087B9D" w:rsidP="00087B9D">
      <w:pPr>
        <w:pStyle w:val="FootnoteText"/>
        <w:rPr>
          <w:lang w:val="en-IE"/>
        </w:rPr>
      </w:pPr>
      <w:r>
        <w:rPr>
          <w:rStyle w:val="FootnoteReference"/>
        </w:rPr>
        <w:footnoteRef/>
      </w:r>
      <w:r>
        <w:t xml:space="preserve"> </w:t>
      </w:r>
      <w:r>
        <w:rPr>
          <w:lang w:val="en-IE"/>
        </w:rPr>
        <w:t>Rebound effects refer to an increase in consumption due to the lower price of energy services resulting from energy efficiency upgrades.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04A6"/>
    <w:multiLevelType w:val="hybridMultilevel"/>
    <w:tmpl w:val="1564F1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2DC5822"/>
    <w:multiLevelType w:val="hybridMultilevel"/>
    <w:tmpl w:val="8F78580E"/>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5E30D69"/>
    <w:multiLevelType w:val="hybridMultilevel"/>
    <w:tmpl w:val="5378B1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65E6F64"/>
    <w:multiLevelType w:val="hybridMultilevel"/>
    <w:tmpl w:val="2EF25C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88D4CCA"/>
    <w:multiLevelType w:val="hybridMultilevel"/>
    <w:tmpl w:val="B70CCE3E"/>
    <w:lvl w:ilvl="0" w:tplc="C932FBEC">
      <w:start w:val="1"/>
      <w:numFmt w:val="bullet"/>
      <w:lvlText w:val=""/>
      <w:lvlJc w:val="left"/>
      <w:pPr>
        <w:ind w:left="720" w:hanging="360"/>
      </w:pPr>
      <w:rPr>
        <w:rFonts w:ascii="Symbol" w:hAnsi="Symbol" w:hint="default"/>
        <w:lang w:val="en-GB"/>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0E5198A"/>
    <w:multiLevelType w:val="hybridMultilevel"/>
    <w:tmpl w:val="E13C46DA"/>
    <w:lvl w:ilvl="0" w:tplc="04140001">
      <w:start w:val="1"/>
      <w:numFmt w:val="bullet"/>
      <w:lvlText w:val=""/>
      <w:lvlJc w:val="left"/>
      <w:pPr>
        <w:ind w:left="1800" w:hanging="360"/>
      </w:pPr>
      <w:rPr>
        <w:rFonts w:ascii="Symbol" w:hAnsi="Symbol"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6" w15:restartNumberingAfterBreak="0">
    <w:nsid w:val="220A071E"/>
    <w:multiLevelType w:val="hybridMultilevel"/>
    <w:tmpl w:val="63483F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2FF49C8"/>
    <w:multiLevelType w:val="multilevel"/>
    <w:tmpl w:val="305828C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2D7F26BE"/>
    <w:multiLevelType w:val="hybridMultilevel"/>
    <w:tmpl w:val="E5E663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14C6BE4"/>
    <w:multiLevelType w:val="hybridMultilevel"/>
    <w:tmpl w:val="A93E2A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4096B71"/>
    <w:multiLevelType w:val="hybridMultilevel"/>
    <w:tmpl w:val="7218969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3838703E"/>
    <w:multiLevelType w:val="hybridMultilevel"/>
    <w:tmpl w:val="B7EC49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8722D64"/>
    <w:multiLevelType w:val="hybridMultilevel"/>
    <w:tmpl w:val="0DE2F4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EEF08B5"/>
    <w:multiLevelType w:val="hybridMultilevel"/>
    <w:tmpl w:val="A510EE8E"/>
    <w:lvl w:ilvl="0" w:tplc="0C0A000F">
      <w:start w:val="4"/>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7637344"/>
    <w:multiLevelType w:val="hybridMultilevel"/>
    <w:tmpl w:val="72C8F0B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99E0686"/>
    <w:multiLevelType w:val="hybridMultilevel"/>
    <w:tmpl w:val="D99022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59613D"/>
    <w:multiLevelType w:val="hybridMultilevel"/>
    <w:tmpl w:val="5D0037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82B3841"/>
    <w:multiLevelType w:val="hybridMultilevel"/>
    <w:tmpl w:val="B276CA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B1173CF"/>
    <w:multiLevelType w:val="hybridMultilevel"/>
    <w:tmpl w:val="9836E574"/>
    <w:lvl w:ilvl="0" w:tplc="51A46C36">
      <w:start w:val="1"/>
      <w:numFmt w:val="bullet"/>
      <w:lvlText w:val=""/>
      <w:lvlJc w:val="left"/>
      <w:pPr>
        <w:ind w:left="720" w:hanging="360"/>
      </w:pPr>
      <w:rPr>
        <w:rFonts w:ascii="Symbol" w:hAnsi="Symbol" w:hint="default"/>
        <w:lang w:val="en-GB"/>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DEF53C4"/>
    <w:multiLevelType w:val="hybridMultilevel"/>
    <w:tmpl w:val="B456D4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6BD7568D"/>
    <w:multiLevelType w:val="hybridMultilevel"/>
    <w:tmpl w:val="691278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18"/>
  </w:num>
  <w:num w:numId="4">
    <w:abstractNumId w:val="6"/>
  </w:num>
  <w:num w:numId="5">
    <w:abstractNumId w:val="4"/>
  </w:num>
  <w:num w:numId="6">
    <w:abstractNumId w:val="10"/>
  </w:num>
  <w:num w:numId="7">
    <w:abstractNumId w:val="2"/>
  </w:num>
  <w:num w:numId="8">
    <w:abstractNumId w:val="16"/>
  </w:num>
  <w:num w:numId="9">
    <w:abstractNumId w:val="0"/>
  </w:num>
  <w:num w:numId="10">
    <w:abstractNumId w:val="8"/>
  </w:num>
  <w:num w:numId="11">
    <w:abstractNumId w:val="12"/>
  </w:num>
  <w:num w:numId="12">
    <w:abstractNumId w:val="17"/>
  </w:num>
  <w:num w:numId="13">
    <w:abstractNumId w:val="13"/>
  </w:num>
  <w:num w:numId="14">
    <w:abstractNumId w:val="11"/>
  </w:num>
  <w:num w:numId="15">
    <w:abstractNumId w:val="9"/>
  </w:num>
  <w:num w:numId="16">
    <w:abstractNumId w:val="1"/>
  </w:num>
  <w:num w:numId="17">
    <w:abstractNumId w:val="19"/>
  </w:num>
  <w:num w:numId="18">
    <w:abstractNumId w:val="3"/>
  </w:num>
  <w:num w:numId="19">
    <w:abstractNumId w:val="14"/>
  </w:num>
  <w:num w:numId="20">
    <w:abstractNumId w:val="15"/>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pxd0w0fpsvzele99v55sxpgtxz0peptdvfr&quot;&gt;My EndNote Library&lt;record-ids&gt;&lt;item&gt;34&lt;/item&gt;&lt;item&gt;48&lt;/item&gt;&lt;item&gt;55&lt;/item&gt;&lt;item&gt;60&lt;/item&gt;&lt;item&gt;61&lt;/item&gt;&lt;item&gt;121&lt;/item&gt;&lt;item&gt;167&lt;/item&gt;&lt;item&gt;169&lt;/item&gt;&lt;item&gt;171&lt;/item&gt;&lt;item&gt;186&lt;/item&gt;&lt;item&gt;217&lt;/item&gt;&lt;item&gt;245&lt;/item&gt;&lt;item&gt;246&lt;/item&gt;&lt;item&gt;250&lt;/item&gt;&lt;item&gt;251&lt;/item&gt;&lt;item&gt;253&lt;/item&gt;&lt;item&gt;254&lt;/item&gt;&lt;item&gt;255&lt;/item&gt;&lt;item&gt;256&lt;/item&gt;&lt;item&gt;260&lt;/item&gt;&lt;item&gt;329&lt;/item&gt;&lt;item&gt;332&lt;/item&gt;&lt;item&gt;333&lt;/item&gt;&lt;item&gt;334&lt;/item&gt;&lt;/record-ids&gt;&lt;/item&gt;&lt;/Libraries&gt;"/>
  </w:docVars>
  <w:rsids>
    <w:rsidRoot w:val="007D1A66"/>
    <w:rsid w:val="00026E90"/>
    <w:rsid w:val="00073C98"/>
    <w:rsid w:val="00087B9D"/>
    <w:rsid w:val="000A2851"/>
    <w:rsid w:val="000B1CA4"/>
    <w:rsid w:val="000E19A9"/>
    <w:rsid w:val="001116BC"/>
    <w:rsid w:val="00125EFD"/>
    <w:rsid w:val="00185D80"/>
    <w:rsid w:val="001E222F"/>
    <w:rsid w:val="002077BD"/>
    <w:rsid w:val="00211E95"/>
    <w:rsid w:val="002216D8"/>
    <w:rsid w:val="00273E64"/>
    <w:rsid w:val="00274511"/>
    <w:rsid w:val="002C6D8A"/>
    <w:rsid w:val="002E4625"/>
    <w:rsid w:val="002E5140"/>
    <w:rsid w:val="002E7631"/>
    <w:rsid w:val="00312695"/>
    <w:rsid w:val="003155BF"/>
    <w:rsid w:val="00317A5A"/>
    <w:rsid w:val="00317B30"/>
    <w:rsid w:val="00344BC3"/>
    <w:rsid w:val="0034645D"/>
    <w:rsid w:val="00385CF4"/>
    <w:rsid w:val="003F5817"/>
    <w:rsid w:val="004320B6"/>
    <w:rsid w:val="004354F1"/>
    <w:rsid w:val="004A04D4"/>
    <w:rsid w:val="004C5AAE"/>
    <w:rsid w:val="004F3D96"/>
    <w:rsid w:val="00517730"/>
    <w:rsid w:val="00541DAD"/>
    <w:rsid w:val="00584B2F"/>
    <w:rsid w:val="005C7385"/>
    <w:rsid w:val="006059D8"/>
    <w:rsid w:val="00674AAE"/>
    <w:rsid w:val="00687BF7"/>
    <w:rsid w:val="006E1AAC"/>
    <w:rsid w:val="00724A20"/>
    <w:rsid w:val="0072675D"/>
    <w:rsid w:val="00726E91"/>
    <w:rsid w:val="00736081"/>
    <w:rsid w:val="0073667D"/>
    <w:rsid w:val="007A2ACA"/>
    <w:rsid w:val="007B32E8"/>
    <w:rsid w:val="007D1A66"/>
    <w:rsid w:val="00855ADC"/>
    <w:rsid w:val="008622FC"/>
    <w:rsid w:val="00862C8D"/>
    <w:rsid w:val="00876D9D"/>
    <w:rsid w:val="008A36F8"/>
    <w:rsid w:val="008B3D34"/>
    <w:rsid w:val="008B7FC7"/>
    <w:rsid w:val="008E5B55"/>
    <w:rsid w:val="008E62D6"/>
    <w:rsid w:val="008F0D47"/>
    <w:rsid w:val="00900CC6"/>
    <w:rsid w:val="00902871"/>
    <w:rsid w:val="00926FD2"/>
    <w:rsid w:val="009522D5"/>
    <w:rsid w:val="00972550"/>
    <w:rsid w:val="009860DA"/>
    <w:rsid w:val="009C5A40"/>
    <w:rsid w:val="009C7D31"/>
    <w:rsid w:val="00A561D1"/>
    <w:rsid w:val="00A81A9B"/>
    <w:rsid w:val="00A945D6"/>
    <w:rsid w:val="00AA2D3E"/>
    <w:rsid w:val="00B53856"/>
    <w:rsid w:val="00B86E5D"/>
    <w:rsid w:val="00B8771C"/>
    <w:rsid w:val="00BB688E"/>
    <w:rsid w:val="00BC1384"/>
    <w:rsid w:val="00C110B5"/>
    <w:rsid w:val="00C36D19"/>
    <w:rsid w:val="00C50576"/>
    <w:rsid w:val="00CC2859"/>
    <w:rsid w:val="00CE3C50"/>
    <w:rsid w:val="00CE5FD1"/>
    <w:rsid w:val="00D01FC6"/>
    <w:rsid w:val="00D02F35"/>
    <w:rsid w:val="00D346CF"/>
    <w:rsid w:val="00D63B7D"/>
    <w:rsid w:val="00DD075D"/>
    <w:rsid w:val="00DE375D"/>
    <w:rsid w:val="00EB2AA7"/>
    <w:rsid w:val="00F017ED"/>
    <w:rsid w:val="00F21801"/>
    <w:rsid w:val="00F507E1"/>
    <w:rsid w:val="00F90CA0"/>
    <w:rsid w:val="00F90DAA"/>
    <w:rsid w:val="00F93FBF"/>
    <w:rsid w:val="00FC069F"/>
    <w:rsid w:val="00FD65C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A2154"/>
  <w15:docId w15:val="{90B2D779-3057-4DA7-B27A-C8349D799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A66"/>
    <w:rPr>
      <w:rFonts w:ascii="Times New Roman" w:eastAsia="SimSun" w:hAnsi="Times New Roman" w:cs="Times New Roman"/>
      <w:lang w:val="en-GB" w:eastAsia="zh-CN"/>
    </w:rPr>
  </w:style>
  <w:style w:type="paragraph" w:styleId="Heading1">
    <w:name w:val="heading 1"/>
    <w:basedOn w:val="Normal"/>
    <w:next w:val="Normal"/>
    <w:link w:val="Heading1Char"/>
    <w:uiPriority w:val="9"/>
    <w:qFormat/>
    <w:rsid w:val="007D1A66"/>
    <w:pPr>
      <w:keepNext/>
      <w:keepLines/>
      <w:numPr>
        <w:numId w:val="1"/>
      </w:numPr>
      <w:spacing w:before="240" w:after="240"/>
      <w:outlineLvl w:val="0"/>
    </w:pPr>
    <w:rPr>
      <w:sz w:val="28"/>
      <w:szCs w:val="28"/>
      <w:lang w:eastAsia="x-none"/>
    </w:rPr>
  </w:style>
  <w:style w:type="paragraph" w:styleId="Heading2">
    <w:name w:val="heading 2"/>
    <w:basedOn w:val="Normal"/>
    <w:next w:val="Normal"/>
    <w:link w:val="Heading2Char"/>
    <w:uiPriority w:val="9"/>
    <w:unhideWhenUsed/>
    <w:qFormat/>
    <w:rsid w:val="007D1A66"/>
    <w:pPr>
      <w:keepNext/>
      <w:keepLines/>
      <w:numPr>
        <w:ilvl w:val="1"/>
        <w:numId w:val="1"/>
      </w:numPr>
      <w:spacing w:before="40" w:after="0"/>
      <w:outlineLvl w:val="1"/>
    </w:pPr>
    <w:rPr>
      <w:rFonts w:ascii="Arial" w:hAnsi="Arial"/>
      <w:sz w:val="26"/>
      <w:szCs w:val="26"/>
      <w:lang w:val="x-none" w:eastAsia="x-none"/>
    </w:rPr>
  </w:style>
  <w:style w:type="paragraph" w:styleId="Heading3">
    <w:name w:val="heading 3"/>
    <w:basedOn w:val="Normal"/>
    <w:next w:val="Normal"/>
    <w:link w:val="Heading3Char"/>
    <w:uiPriority w:val="9"/>
    <w:unhideWhenUsed/>
    <w:qFormat/>
    <w:rsid w:val="007D1A66"/>
    <w:pPr>
      <w:keepNext/>
      <w:keepLines/>
      <w:numPr>
        <w:ilvl w:val="2"/>
        <w:numId w:val="1"/>
      </w:numPr>
      <w:spacing w:before="160" w:after="120"/>
      <w:outlineLvl w:val="2"/>
    </w:pPr>
    <w:rPr>
      <w:color w:val="000000"/>
      <w:sz w:val="24"/>
      <w:szCs w:val="24"/>
      <w:lang w:val="x-none" w:eastAsia="x-none"/>
    </w:rPr>
  </w:style>
  <w:style w:type="paragraph" w:styleId="Heading4">
    <w:name w:val="heading 4"/>
    <w:basedOn w:val="Normal"/>
    <w:next w:val="Normal"/>
    <w:link w:val="Heading4Char"/>
    <w:uiPriority w:val="9"/>
    <w:semiHidden/>
    <w:unhideWhenUsed/>
    <w:qFormat/>
    <w:rsid w:val="007D1A66"/>
    <w:pPr>
      <w:keepNext/>
      <w:numPr>
        <w:ilvl w:val="3"/>
        <w:numId w:val="1"/>
      </w:numPr>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semiHidden/>
    <w:unhideWhenUsed/>
    <w:qFormat/>
    <w:rsid w:val="007D1A66"/>
    <w:pPr>
      <w:numPr>
        <w:ilvl w:val="4"/>
        <w:numId w:val="1"/>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7D1A66"/>
    <w:pPr>
      <w:numPr>
        <w:ilvl w:val="5"/>
        <w:numId w:val="1"/>
      </w:numPr>
      <w:spacing w:before="240" w:after="60"/>
      <w:outlineLvl w:val="5"/>
    </w:pPr>
    <w:rPr>
      <w:rFonts w:ascii="Calibri" w:eastAsia="Times New Roman" w:hAnsi="Calibri"/>
      <w:b/>
      <w:bCs/>
    </w:rPr>
  </w:style>
  <w:style w:type="paragraph" w:styleId="Heading7">
    <w:name w:val="heading 7"/>
    <w:basedOn w:val="Normal"/>
    <w:next w:val="Normal"/>
    <w:link w:val="Heading7Char"/>
    <w:uiPriority w:val="9"/>
    <w:semiHidden/>
    <w:unhideWhenUsed/>
    <w:qFormat/>
    <w:rsid w:val="007D1A66"/>
    <w:pPr>
      <w:numPr>
        <w:ilvl w:val="6"/>
        <w:numId w:val="1"/>
      </w:numPr>
      <w:spacing w:before="240" w:after="60"/>
      <w:outlineLvl w:val="6"/>
    </w:pPr>
    <w:rPr>
      <w:rFonts w:ascii="Calibri" w:eastAsia="Times New Roman" w:hAnsi="Calibri"/>
      <w:sz w:val="24"/>
      <w:szCs w:val="24"/>
    </w:rPr>
  </w:style>
  <w:style w:type="paragraph" w:styleId="Heading8">
    <w:name w:val="heading 8"/>
    <w:basedOn w:val="Normal"/>
    <w:next w:val="Normal"/>
    <w:link w:val="Heading8Char"/>
    <w:uiPriority w:val="9"/>
    <w:semiHidden/>
    <w:unhideWhenUsed/>
    <w:qFormat/>
    <w:rsid w:val="007D1A66"/>
    <w:pPr>
      <w:numPr>
        <w:ilvl w:val="7"/>
        <w:numId w:val="1"/>
      </w:num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iPriority w:val="9"/>
    <w:semiHidden/>
    <w:unhideWhenUsed/>
    <w:qFormat/>
    <w:rsid w:val="007D1A66"/>
    <w:pPr>
      <w:numPr>
        <w:ilvl w:val="8"/>
        <w:numId w:val="1"/>
      </w:numPr>
      <w:spacing w:before="240" w:after="60"/>
      <w:outlineLvl w:val="8"/>
    </w:pPr>
    <w:rPr>
      <w:rFonts w:ascii="Calibri Light" w:eastAsia="Times New Roman"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1A66"/>
    <w:rPr>
      <w:rFonts w:ascii="Times New Roman" w:eastAsia="SimSun" w:hAnsi="Times New Roman" w:cs="Times New Roman"/>
      <w:sz w:val="28"/>
      <w:szCs w:val="28"/>
      <w:lang w:val="en-GB" w:eastAsia="x-none"/>
    </w:rPr>
  </w:style>
  <w:style w:type="character" w:customStyle="1" w:styleId="Heading2Char">
    <w:name w:val="Heading 2 Char"/>
    <w:basedOn w:val="DefaultParagraphFont"/>
    <w:link w:val="Heading2"/>
    <w:uiPriority w:val="9"/>
    <w:rsid w:val="007D1A66"/>
    <w:rPr>
      <w:rFonts w:ascii="Arial" w:eastAsia="SimSun" w:hAnsi="Arial" w:cs="Times New Roman"/>
      <w:sz w:val="26"/>
      <w:szCs w:val="26"/>
      <w:lang w:val="x-none" w:eastAsia="x-none"/>
    </w:rPr>
  </w:style>
  <w:style w:type="character" w:customStyle="1" w:styleId="Heading3Char">
    <w:name w:val="Heading 3 Char"/>
    <w:basedOn w:val="DefaultParagraphFont"/>
    <w:link w:val="Heading3"/>
    <w:uiPriority w:val="9"/>
    <w:rsid w:val="007D1A66"/>
    <w:rPr>
      <w:rFonts w:ascii="Times New Roman" w:eastAsia="SimSun" w:hAnsi="Times New Roman" w:cs="Times New Roman"/>
      <w:color w:val="000000"/>
      <w:sz w:val="24"/>
      <w:szCs w:val="24"/>
      <w:lang w:val="x-none" w:eastAsia="x-none"/>
    </w:rPr>
  </w:style>
  <w:style w:type="character" w:customStyle="1" w:styleId="Heading4Char">
    <w:name w:val="Heading 4 Char"/>
    <w:basedOn w:val="DefaultParagraphFont"/>
    <w:link w:val="Heading4"/>
    <w:uiPriority w:val="9"/>
    <w:semiHidden/>
    <w:rsid w:val="007D1A66"/>
    <w:rPr>
      <w:rFonts w:ascii="Calibri" w:eastAsia="Times New Roman" w:hAnsi="Calibri" w:cs="Times New Roman"/>
      <w:b/>
      <w:bCs/>
      <w:sz w:val="28"/>
      <w:szCs w:val="28"/>
      <w:lang w:val="en-GB" w:eastAsia="zh-CN"/>
    </w:rPr>
  </w:style>
  <w:style w:type="character" w:customStyle="1" w:styleId="Heading5Char">
    <w:name w:val="Heading 5 Char"/>
    <w:basedOn w:val="DefaultParagraphFont"/>
    <w:link w:val="Heading5"/>
    <w:uiPriority w:val="9"/>
    <w:semiHidden/>
    <w:rsid w:val="007D1A66"/>
    <w:rPr>
      <w:rFonts w:ascii="Calibri" w:eastAsia="Times New Roman" w:hAnsi="Calibri" w:cs="Times New Roman"/>
      <w:b/>
      <w:bCs/>
      <w:i/>
      <w:iCs/>
      <w:sz w:val="26"/>
      <w:szCs w:val="26"/>
      <w:lang w:val="en-GB" w:eastAsia="zh-CN"/>
    </w:rPr>
  </w:style>
  <w:style w:type="character" w:customStyle="1" w:styleId="Heading6Char">
    <w:name w:val="Heading 6 Char"/>
    <w:basedOn w:val="DefaultParagraphFont"/>
    <w:link w:val="Heading6"/>
    <w:uiPriority w:val="9"/>
    <w:semiHidden/>
    <w:rsid w:val="007D1A66"/>
    <w:rPr>
      <w:rFonts w:ascii="Calibri" w:eastAsia="Times New Roman" w:hAnsi="Calibri" w:cs="Times New Roman"/>
      <w:b/>
      <w:bCs/>
      <w:lang w:val="en-GB" w:eastAsia="zh-CN"/>
    </w:rPr>
  </w:style>
  <w:style w:type="character" w:customStyle="1" w:styleId="Heading7Char">
    <w:name w:val="Heading 7 Char"/>
    <w:basedOn w:val="DefaultParagraphFont"/>
    <w:link w:val="Heading7"/>
    <w:uiPriority w:val="9"/>
    <w:semiHidden/>
    <w:rsid w:val="007D1A66"/>
    <w:rPr>
      <w:rFonts w:ascii="Calibri" w:eastAsia="Times New Roman" w:hAnsi="Calibri" w:cs="Times New Roman"/>
      <w:sz w:val="24"/>
      <w:szCs w:val="24"/>
      <w:lang w:val="en-GB" w:eastAsia="zh-CN"/>
    </w:rPr>
  </w:style>
  <w:style w:type="character" w:customStyle="1" w:styleId="Heading8Char">
    <w:name w:val="Heading 8 Char"/>
    <w:basedOn w:val="DefaultParagraphFont"/>
    <w:link w:val="Heading8"/>
    <w:uiPriority w:val="9"/>
    <w:semiHidden/>
    <w:rsid w:val="007D1A66"/>
    <w:rPr>
      <w:rFonts w:ascii="Calibri" w:eastAsia="Times New Roman" w:hAnsi="Calibri" w:cs="Times New Roman"/>
      <w:i/>
      <w:iCs/>
      <w:sz w:val="24"/>
      <w:szCs w:val="24"/>
      <w:lang w:val="en-GB" w:eastAsia="zh-CN"/>
    </w:rPr>
  </w:style>
  <w:style w:type="character" w:customStyle="1" w:styleId="Heading9Char">
    <w:name w:val="Heading 9 Char"/>
    <w:basedOn w:val="DefaultParagraphFont"/>
    <w:link w:val="Heading9"/>
    <w:uiPriority w:val="9"/>
    <w:semiHidden/>
    <w:rsid w:val="007D1A66"/>
    <w:rPr>
      <w:rFonts w:ascii="Calibri Light" w:eastAsia="Times New Roman" w:hAnsi="Calibri Light" w:cs="Times New Roman"/>
      <w:lang w:val="en-GB" w:eastAsia="zh-CN"/>
    </w:rPr>
  </w:style>
  <w:style w:type="character" w:styleId="FootnoteReference">
    <w:name w:val="footnote reference"/>
    <w:aliases w:val="Footnote symbol,Times 10 Point,Exposant 3 Point"/>
    <w:uiPriority w:val="99"/>
    <w:rsid w:val="007D1A66"/>
    <w:rPr>
      <w:rFonts w:cs="Times New Roman"/>
      <w:vertAlign w:val="superscript"/>
    </w:rPr>
  </w:style>
  <w:style w:type="character" w:styleId="Hyperlink">
    <w:name w:val="Hyperlink"/>
    <w:uiPriority w:val="99"/>
    <w:rsid w:val="007D1A66"/>
    <w:rPr>
      <w:rFonts w:cs="Times New Roman"/>
      <w:color w:val="0000FF"/>
      <w:u w:val="single"/>
    </w:rPr>
  </w:style>
  <w:style w:type="character" w:styleId="CommentReference">
    <w:name w:val="annotation reference"/>
    <w:uiPriority w:val="99"/>
    <w:rsid w:val="007D1A66"/>
    <w:rPr>
      <w:rFonts w:cs="Times New Roman"/>
      <w:sz w:val="16"/>
    </w:rPr>
  </w:style>
  <w:style w:type="paragraph" w:styleId="CommentText">
    <w:name w:val="annotation text"/>
    <w:basedOn w:val="Normal"/>
    <w:link w:val="CommentTextChar"/>
    <w:uiPriority w:val="99"/>
    <w:rsid w:val="007D1A66"/>
    <w:pPr>
      <w:spacing w:after="240" w:line="240" w:lineRule="auto"/>
      <w:jc w:val="both"/>
    </w:pPr>
    <w:rPr>
      <w:rFonts w:ascii="Calibri" w:eastAsia="Times New Roman" w:hAnsi="Calibri"/>
      <w:sz w:val="20"/>
      <w:szCs w:val="20"/>
      <w:lang w:val="en-IE" w:eastAsia="en-GB"/>
    </w:rPr>
  </w:style>
  <w:style w:type="character" w:customStyle="1" w:styleId="CommentTextChar">
    <w:name w:val="Comment Text Char"/>
    <w:basedOn w:val="DefaultParagraphFont"/>
    <w:link w:val="CommentText"/>
    <w:uiPriority w:val="99"/>
    <w:rsid w:val="007D1A66"/>
    <w:rPr>
      <w:rFonts w:ascii="Calibri" w:eastAsia="Times New Roman" w:hAnsi="Calibri" w:cs="Times New Roman"/>
      <w:sz w:val="20"/>
      <w:szCs w:val="20"/>
      <w:lang w:eastAsia="en-GB"/>
    </w:rPr>
  </w:style>
  <w:style w:type="paragraph" w:styleId="ListParagraph">
    <w:name w:val="List Paragraph"/>
    <w:basedOn w:val="Normal"/>
    <w:uiPriority w:val="34"/>
    <w:qFormat/>
    <w:rsid w:val="007D1A66"/>
    <w:pPr>
      <w:spacing w:after="240" w:line="240" w:lineRule="auto"/>
      <w:ind w:left="720"/>
      <w:contextualSpacing/>
      <w:jc w:val="both"/>
    </w:pPr>
    <w:rPr>
      <w:rFonts w:eastAsia="Times New Roman"/>
      <w:szCs w:val="24"/>
      <w:lang w:val="en-IE" w:eastAsia="en-GB"/>
    </w:rPr>
  </w:style>
  <w:style w:type="character" w:customStyle="1" w:styleId="BalloonTextChar">
    <w:name w:val="Balloon Text Char"/>
    <w:basedOn w:val="DefaultParagraphFont"/>
    <w:link w:val="BalloonText"/>
    <w:uiPriority w:val="99"/>
    <w:semiHidden/>
    <w:rsid w:val="007D1A66"/>
    <w:rPr>
      <w:rFonts w:ascii="Segoe UI" w:eastAsia="SimSun" w:hAnsi="Segoe UI" w:cs="Times New Roman"/>
      <w:sz w:val="18"/>
      <w:szCs w:val="18"/>
      <w:lang w:val="x-none" w:eastAsia="x-none"/>
    </w:rPr>
  </w:style>
  <w:style w:type="paragraph" w:styleId="BalloonText">
    <w:name w:val="Balloon Text"/>
    <w:basedOn w:val="Normal"/>
    <w:link w:val="BalloonTextChar"/>
    <w:uiPriority w:val="99"/>
    <w:semiHidden/>
    <w:unhideWhenUsed/>
    <w:rsid w:val="007D1A66"/>
    <w:pPr>
      <w:spacing w:after="0" w:line="240" w:lineRule="auto"/>
    </w:pPr>
    <w:rPr>
      <w:rFonts w:ascii="Segoe UI" w:hAnsi="Segoe UI"/>
      <w:sz w:val="18"/>
      <w:szCs w:val="18"/>
      <w:lang w:val="x-none" w:eastAsia="x-none"/>
    </w:rPr>
  </w:style>
  <w:style w:type="paragraph" w:styleId="Header">
    <w:name w:val="header"/>
    <w:basedOn w:val="Normal"/>
    <w:link w:val="HeaderChar"/>
    <w:uiPriority w:val="99"/>
    <w:unhideWhenUsed/>
    <w:rsid w:val="007D1A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1A66"/>
    <w:rPr>
      <w:rFonts w:ascii="Times New Roman" w:eastAsia="SimSun" w:hAnsi="Times New Roman" w:cs="Times New Roman"/>
      <w:lang w:val="en-GB" w:eastAsia="zh-CN"/>
    </w:rPr>
  </w:style>
  <w:style w:type="paragraph" w:styleId="Footer">
    <w:name w:val="footer"/>
    <w:basedOn w:val="Normal"/>
    <w:link w:val="FooterChar"/>
    <w:uiPriority w:val="99"/>
    <w:unhideWhenUsed/>
    <w:rsid w:val="007D1A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A66"/>
    <w:rPr>
      <w:rFonts w:ascii="Times New Roman" w:eastAsia="SimSun" w:hAnsi="Times New Roman" w:cs="Times New Roman"/>
      <w:lang w:val="en-GB" w:eastAsia="zh-CN"/>
    </w:rPr>
  </w:style>
  <w:style w:type="paragraph" w:styleId="Caption">
    <w:name w:val="caption"/>
    <w:aliases w:val="Figure1"/>
    <w:basedOn w:val="Normal"/>
    <w:next w:val="Normal"/>
    <w:unhideWhenUsed/>
    <w:qFormat/>
    <w:rsid w:val="007D1A66"/>
    <w:pPr>
      <w:spacing w:after="200" w:line="240" w:lineRule="auto"/>
    </w:pPr>
    <w:rPr>
      <w:i/>
      <w:iCs/>
      <w:color w:val="44546A"/>
      <w:sz w:val="18"/>
      <w:szCs w:val="18"/>
    </w:rPr>
  </w:style>
  <w:style w:type="paragraph" w:styleId="TOCHeading">
    <w:name w:val="TOC Heading"/>
    <w:basedOn w:val="Heading1"/>
    <w:next w:val="Normal"/>
    <w:uiPriority w:val="39"/>
    <w:unhideWhenUsed/>
    <w:qFormat/>
    <w:rsid w:val="007D1A66"/>
    <w:pPr>
      <w:spacing w:after="0"/>
      <w:outlineLvl w:val="9"/>
    </w:pPr>
    <w:rPr>
      <w:rFonts w:ascii="Calibri Light" w:hAnsi="Calibri Light"/>
      <w:color w:val="2E74B5"/>
      <w:sz w:val="32"/>
      <w:szCs w:val="32"/>
      <w:lang w:eastAsia="en-US"/>
    </w:rPr>
  </w:style>
  <w:style w:type="paragraph" w:styleId="TOC1">
    <w:name w:val="toc 1"/>
    <w:basedOn w:val="Normal"/>
    <w:next w:val="Normal"/>
    <w:autoRedefine/>
    <w:uiPriority w:val="39"/>
    <w:unhideWhenUsed/>
    <w:rsid w:val="007D1A66"/>
    <w:pPr>
      <w:spacing w:after="100"/>
      <w:jc w:val="center"/>
    </w:pPr>
    <w:rPr>
      <w:i/>
    </w:rPr>
  </w:style>
  <w:style w:type="paragraph" w:customStyle="1" w:styleId="paragraph">
    <w:name w:val="paragraph"/>
    <w:basedOn w:val="Normal"/>
    <w:rsid w:val="007D1A66"/>
    <w:pPr>
      <w:spacing w:after="0" w:line="240" w:lineRule="auto"/>
    </w:pPr>
    <w:rPr>
      <w:rFonts w:eastAsia="Times New Roman"/>
      <w:sz w:val="24"/>
      <w:szCs w:val="24"/>
    </w:rPr>
  </w:style>
  <w:style w:type="character" w:customStyle="1" w:styleId="normaltextrun">
    <w:name w:val="normaltextrun"/>
    <w:basedOn w:val="DefaultParagraphFont"/>
    <w:rsid w:val="007D1A66"/>
  </w:style>
  <w:style w:type="paragraph" w:styleId="NormalWeb">
    <w:name w:val="Normal (Web)"/>
    <w:basedOn w:val="Normal"/>
    <w:uiPriority w:val="99"/>
    <w:unhideWhenUsed/>
    <w:rsid w:val="007D1A66"/>
    <w:pPr>
      <w:spacing w:before="100" w:beforeAutospacing="1" w:after="100" w:afterAutospacing="1" w:line="240" w:lineRule="auto"/>
    </w:pPr>
    <w:rPr>
      <w:rFonts w:eastAsia="Times New Roman"/>
      <w:sz w:val="24"/>
      <w:szCs w:val="24"/>
    </w:rPr>
  </w:style>
  <w:style w:type="paragraph" w:styleId="TOC2">
    <w:name w:val="toc 2"/>
    <w:basedOn w:val="Normal"/>
    <w:next w:val="Normal"/>
    <w:autoRedefine/>
    <w:uiPriority w:val="39"/>
    <w:unhideWhenUsed/>
    <w:rsid w:val="007D1A66"/>
    <w:pPr>
      <w:spacing w:after="100"/>
      <w:ind w:left="220"/>
    </w:pPr>
  </w:style>
  <w:style w:type="paragraph" w:styleId="FootnoteText">
    <w:name w:val="footnote text"/>
    <w:basedOn w:val="Normal"/>
    <w:link w:val="FootnoteTextChar"/>
    <w:uiPriority w:val="99"/>
    <w:unhideWhenUsed/>
    <w:rsid w:val="007D1A66"/>
    <w:pPr>
      <w:spacing w:after="0" w:line="240" w:lineRule="auto"/>
    </w:pPr>
    <w:rPr>
      <w:sz w:val="20"/>
      <w:szCs w:val="20"/>
      <w:lang w:val="x-none" w:eastAsia="x-none"/>
    </w:rPr>
  </w:style>
  <w:style w:type="character" w:customStyle="1" w:styleId="FootnoteTextChar">
    <w:name w:val="Footnote Text Char"/>
    <w:basedOn w:val="DefaultParagraphFont"/>
    <w:link w:val="FootnoteText"/>
    <w:uiPriority w:val="99"/>
    <w:rsid w:val="007D1A66"/>
    <w:rPr>
      <w:rFonts w:ascii="Times New Roman" w:eastAsia="SimSun" w:hAnsi="Times New Roman" w:cs="Times New Roman"/>
      <w:sz w:val="20"/>
      <w:szCs w:val="20"/>
      <w:lang w:val="x-none" w:eastAsia="x-none"/>
    </w:rPr>
  </w:style>
  <w:style w:type="paragraph" w:customStyle="1" w:styleId="Default">
    <w:name w:val="Default"/>
    <w:rsid w:val="007D1A66"/>
    <w:pPr>
      <w:autoSpaceDE w:val="0"/>
      <w:autoSpaceDN w:val="0"/>
      <w:adjustRightInd w:val="0"/>
      <w:spacing w:after="0" w:line="240" w:lineRule="auto"/>
    </w:pPr>
    <w:rPr>
      <w:rFonts w:ascii="Times New Roman" w:eastAsia="SimSun" w:hAnsi="Times New Roman" w:cs="Times New Roman"/>
      <w:color w:val="000000"/>
      <w:sz w:val="24"/>
      <w:szCs w:val="24"/>
      <w:lang w:val="es-ES" w:eastAsia="zh-CN"/>
    </w:rPr>
  </w:style>
  <w:style w:type="paragraph" w:customStyle="1" w:styleId="NormalBodyText">
    <w:name w:val="Normal Body Text"/>
    <w:basedOn w:val="Normal"/>
    <w:rsid w:val="007D1A66"/>
    <w:pPr>
      <w:spacing w:after="120" w:line="240" w:lineRule="auto"/>
    </w:pPr>
    <w:rPr>
      <w:rFonts w:ascii="Arial" w:eastAsia="Times New Roman" w:hAnsi="Arial"/>
      <w:szCs w:val="24"/>
      <w:lang w:eastAsia="da-DK"/>
    </w:rPr>
  </w:style>
  <w:style w:type="character" w:customStyle="1" w:styleId="xbe">
    <w:name w:val="_xbe"/>
    <w:basedOn w:val="DefaultParagraphFont"/>
    <w:rsid w:val="007D1A66"/>
  </w:style>
  <w:style w:type="character" w:customStyle="1" w:styleId="CommentSubjectChar">
    <w:name w:val="Comment Subject Char"/>
    <w:basedOn w:val="CommentTextChar"/>
    <w:link w:val="CommentSubject"/>
    <w:uiPriority w:val="99"/>
    <w:semiHidden/>
    <w:rsid w:val="007D1A66"/>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7D1A66"/>
    <w:pPr>
      <w:spacing w:after="160"/>
      <w:jc w:val="left"/>
    </w:pPr>
    <w:rPr>
      <w:rFonts w:ascii="Times New Roman" w:hAnsi="Times New Roman"/>
      <w:b/>
      <w:bCs/>
    </w:rPr>
  </w:style>
  <w:style w:type="paragraph" w:styleId="TOC3">
    <w:name w:val="toc 3"/>
    <w:basedOn w:val="Normal"/>
    <w:next w:val="Normal"/>
    <w:autoRedefine/>
    <w:uiPriority w:val="39"/>
    <w:unhideWhenUsed/>
    <w:rsid w:val="007D1A66"/>
    <w:pPr>
      <w:spacing w:after="100"/>
      <w:ind w:left="440"/>
    </w:pPr>
  </w:style>
  <w:style w:type="paragraph" w:styleId="Bibliography">
    <w:name w:val="Bibliography"/>
    <w:basedOn w:val="Normal"/>
    <w:next w:val="Normal"/>
    <w:uiPriority w:val="37"/>
    <w:unhideWhenUsed/>
    <w:rsid w:val="007D1A66"/>
    <w:pPr>
      <w:spacing w:after="0" w:line="240" w:lineRule="auto"/>
      <w:ind w:left="720" w:hanging="720"/>
    </w:pPr>
  </w:style>
  <w:style w:type="paragraph" w:styleId="NoSpacing">
    <w:name w:val="No Spacing"/>
    <w:uiPriority w:val="1"/>
    <w:qFormat/>
    <w:rsid w:val="007D1A66"/>
    <w:pPr>
      <w:spacing w:after="0" w:line="240" w:lineRule="auto"/>
    </w:pPr>
    <w:rPr>
      <w:rFonts w:ascii="Times New Roman" w:eastAsia="SimSun" w:hAnsi="Times New Roman" w:cs="Times New Roman"/>
      <w:lang w:val="en-US" w:eastAsia="zh-CN"/>
    </w:rPr>
  </w:style>
  <w:style w:type="character" w:customStyle="1" w:styleId="apple-converted-space">
    <w:name w:val="apple-converted-space"/>
    <w:basedOn w:val="DefaultParagraphFont"/>
    <w:rsid w:val="007D1A66"/>
  </w:style>
  <w:style w:type="paragraph" w:customStyle="1" w:styleId="p1">
    <w:name w:val="p1"/>
    <w:basedOn w:val="Normal"/>
    <w:rsid w:val="007D1A66"/>
    <w:pPr>
      <w:spacing w:after="0" w:line="240" w:lineRule="auto"/>
    </w:pPr>
    <w:rPr>
      <w:rFonts w:eastAsia="Calibri"/>
      <w:sz w:val="17"/>
      <w:szCs w:val="17"/>
      <w:lang w:eastAsia="en-US"/>
    </w:rPr>
  </w:style>
  <w:style w:type="character" w:customStyle="1" w:styleId="s1">
    <w:name w:val="s1"/>
    <w:rsid w:val="007D1A66"/>
    <w:rPr>
      <w:color w:val="5F95C8"/>
    </w:rPr>
  </w:style>
  <w:style w:type="character" w:customStyle="1" w:styleId="s2">
    <w:name w:val="s2"/>
    <w:rsid w:val="007D1A66"/>
    <w:rPr>
      <w:rFonts w:ascii="Times New Roman" w:hAnsi="Times New Roman" w:cs="Times New Roman" w:hint="default"/>
      <w:sz w:val="11"/>
      <w:szCs w:val="11"/>
    </w:rPr>
  </w:style>
  <w:style w:type="paragraph" w:customStyle="1" w:styleId="EndNoteBibliography">
    <w:name w:val="EndNote Bibliography"/>
    <w:basedOn w:val="Normal"/>
    <w:link w:val="EndNoteBibliographyChar"/>
    <w:rsid w:val="007D1A66"/>
    <w:pPr>
      <w:spacing w:line="240" w:lineRule="auto"/>
    </w:pPr>
    <w:rPr>
      <w:rFonts w:eastAsia="Calibri"/>
      <w:noProof/>
      <w:szCs w:val="20"/>
      <w:lang w:val="x-none" w:eastAsia="en-US"/>
    </w:rPr>
  </w:style>
  <w:style w:type="character" w:customStyle="1" w:styleId="EndNoteBibliographyChar">
    <w:name w:val="EndNote Bibliography Char"/>
    <w:link w:val="EndNoteBibliography"/>
    <w:rsid w:val="007D1A66"/>
    <w:rPr>
      <w:rFonts w:ascii="Times New Roman" w:eastAsia="Calibri" w:hAnsi="Times New Roman" w:cs="Times New Roman"/>
      <w:noProof/>
      <w:szCs w:val="20"/>
      <w:lang w:val="x-none"/>
    </w:rPr>
  </w:style>
  <w:style w:type="character" w:customStyle="1" w:styleId="EndnoteTextChar">
    <w:name w:val="Endnote Text Char"/>
    <w:basedOn w:val="DefaultParagraphFont"/>
    <w:link w:val="EndnoteText"/>
    <w:uiPriority w:val="99"/>
    <w:semiHidden/>
    <w:rsid w:val="007D1A66"/>
    <w:rPr>
      <w:rFonts w:ascii="Times New Roman" w:eastAsia="SimSun" w:hAnsi="Times New Roman" w:cs="Times New Roman"/>
      <w:sz w:val="20"/>
      <w:szCs w:val="20"/>
      <w:lang w:val="x-none" w:eastAsia="x-none"/>
    </w:rPr>
  </w:style>
  <w:style w:type="paragraph" w:styleId="EndnoteText">
    <w:name w:val="endnote text"/>
    <w:basedOn w:val="Normal"/>
    <w:link w:val="EndnoteTextChar"/>
    <w:uiPriority w:val="99"/>
    <w:semiHidden/>
    <w:unhideWhenUsed/>
    <w:rsid w:val="007D1A66"/>
    <w:pPr>
      <w:spacing w:after="0" w:line="240" w:lineRule="auto"/>
    </w:pPr>
    <w:rPr>
      <w:sz w:val="20"/>
      <w:szCs w:val="20"/>
      <w:lang w:val="x-none" w:eastAsia="x-none"/>
    </w:rPr>
  </w:style>
  <w:style w:type="character" w:styleId="Strong">
    <w:name w:val="Strong"/>
    <w:qFormat/>
    <w:rsid w:val="007D1A66"/>
    <w:rPr>
      <w:b/>
      <w:bCs/>
    </w:rPr>
  </w:style>
  <w:style w:type="character" w:customStyle="1" w:styleId="bold1">
    <w:name w:val="bold_1"/>
    <w:basedOn w:val="DefaultParagraphFont"/>
    <w:rsid w:val="007D1A66"/>
  </w:style>
  <w:style w:type="character" w:customStyle="1" w:styleId="shorttext">
    <w:name w:val="short_text"/>
    <w:basedOn w:val="DefaultParagraphFont"/>
    <w:rsid w:val="007D1A66"/>
  </w:style>
  <w:style w:type="character" w:customStyle="1" w:styleId="m-101159853574015557gmail-il">
    <w:name w:val="m_-101159853574015557gmail-il"/>
    <w:basedOn w:val="DefaultParagraphFont"/>
    <w:rsid w:val="007D1A66"/>
  </w:style>
  <w:style w:type="character" w:customStyle="1" w:styleId="HTMLPreformattedChar">
    <w:name w:val="HTML Preformatted Char"/>
    <w:basedOn w:val="DefaultParagraphFont"/>
    <w:link w:val="HTMLPreformatted"/>
    <w:uiPriority w:val="99"/>
    <w:semiHidden/>
    <w:rsid w:val="007D1A66"/>
    <w:rPr>
      <w:rFonts w:ascii="Courier New" w:eastAsia="Times New Roman" w:hAnsi="Courier New" w:cs="Courier New"/>
      <w:sz w:val="20"/>
      <w:szCs w:val="20"/>
      <w:lang w:val="es-ES" w:eastAsia="es-ES"/>
    </w:rPr>
  </w:style>
  <w:style w:type="paragraph" w:styleId="HTMLPreformatted">
    <w:name w:val="HTML Preformatted"/>
    <w:basedOn w:val="Normal"/>
    <w:link w:val="HTMLPreformattedChar"/>
    <w:uiPriority w:val="99"/>
    <w:semiHidden/>
    <w:unhideWhenUsed/>
    <w:rsid w:val="007D1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paragraph" w:styleId="Revision">
    <w:name w:val="Revision"/>
    <w:hidden/>
    <w:uiPriority w:val="99"/>
    <w:semiHidden/>
    <w:rsid w:val="00900CC6"/>
    <w:pPr>
      <w:spacing w:after="0" w:line="240" w:lineRule="auto"/>
    </w:pPr>
    <w:rPr>
      <w:rFonts w:ascii="Times New Roman" w:eastAsia="SimSun" w:hAnsi="Times New Roman" w:cs="Times New Roman"/>
      <w:lang w:val="en-GB" w:eastAsia="zh-CN"/>
    </w:rPr>
  </w:style>
  <w:style w:type="paragraph" w:customStyle="1" w:styleId="EndNoteBibliographyTitle">
    <w:name w:val="EndNote Bibliography Title"/>
    <w:basedOn w:val="Normal"/>
    <w:link w:val="EndNoteBibliographyTitleChar"/>
    <w:rsid w:val="00CE3C50"/>
    <w:pPr>
      <w:spacing w:after="0"/>
      <w:jc w:val="center"/>
    </w:pPr>
    <w:rPr>
      <w:noProof/>
    </w:rPr>
  </w:style>
  <w:style w:type="character" w:customStyle="1" w:styleId="EndNoteBibliographyTitleChar">
    <w:name w:val="EndNote Bibliography Title Char"/>
    <w:basedOn w:val="DefaultParagraphFont"/>
    <w:link w:val="EndNoteBibliographyTitle"/>
    <w:rsid w:val="00CE3C50"/>
    <w:rPr>
      <w:rFonts w:ascii="Times New Roman" w:eastAsia="SimSun" w:hAnsi="Times New Roman" w:cs="Times New Roman"/>
      <w:noProof/>
      <w:lang w:val="en-GB" w:eastAsia="zh-CN"/>
    </w:rPr>
  </w:style>
  <w:style w:type="paragraph" w:customStyle="1" w:styleId="Papertitle">
    <w:name w:val="Paper title"/>
    <w:basedOn w:val="BodyText"/>
    <w:rsid w:val="00BB688E"/>
    <w:pPr>
      <w:spacing w:after="0"/>
      <w:jc w:val="center"/>
    </w:pPr>
    <w:rPr>
      <w:sz w:val="50"/>
      <w:szCs w:val="20"/>
      <w:lang w:eastAsia="fr-FR"/>
    </w:rPr>
  </w:style>
  <w:style w:type="paragraph" w:customStyle="1" w:styleId="Affiliation">
    <w:name w:val="Affiliation"/>
    <w:basedOn w:val="Normal"/>
    <w:rsid w:val="00BB688E"/>
    <w:pPr>
      <w:spacing w:after="0" w:line="240" w:lineRule="auto"/>
      <w:jc w:val="center"/>
    </w:pPr>
    <w:rPr>
      <w:rFonts w:eastAsia="Times New Roman"/>
      <w:i/>
      <w:sz w:val="24"/>
      <w:szCs w:val="20"/>
      <w:lang w:val="en-US" w:eastAsia="en-US"/>
    </w:rPr>
  </w:style>
  <w:style w:type="paragraph" w:styleId="BodyText">
    <w:name w:val="Body Text"/>
    <w:basedOn w:val="Normal"/>
    <w:link w:val="BodyTextChar"/>
    <w:rsid w:val="00BB688E"/>
    <w:pPr>
      <w:spacing w:after="120" w:line="240" w:lineRule="auto"/>
      <w:jc w:val="both"/>
    </w:pPr>
    <w:rPr>
      <w:rFonts w:eastAsia="Times New Roman"/>
      <w:sz w:val="24"/>
      <w:szCs w:val="24"/>
      <w:lang w:val="en-US" w:eastAsia="pt-PT"/>
    </w:rPr>
  </w:style>
  <w:style w:type="character" w:customStyle="1" w:styleId="BodyTextChar">
    <w:name w:val="Body Text Char"/>
    <w:basedOn w:val="DefaultParagraphFont"/>
    <w:link w:val="BodyText"/>
    <w:rsid w:val="00BB688E"/>
    <w:rPr>
      <w:rFonts w:ascii="Times New Roman" w:eastAsia="Times New Roman" w:hAnsi="Times New Roman" w:cs="Times New Roman"/>
      <w:sz w:val="24"/>
      <w:szCs w:val="24"/>
      <w:lang w:val="en-US" w:eastAsia="pt-PT"/>
    </w:rPr>
  </w:style>
  <w:style w:type="paragraph" w:customStyle="1" w:styleId="yiv3601712747msonormal">
    <w:name w:val="yiv3601712747msonormal"/>
    <w:basedOn w:val="Normal"/>
    <w:rsid w:val="00BB688E"/>
    <w:pPr>
      <w:spacing w:before="100" w:beforeAutospacing="1" w:after="100" w:afterAutospacing="1" w:line="240" w:lineRule="auto"/>
    </w:pPr>
    <w:rPr>
      <w:rFonts w:eastAsia="Times New Roman"/>
      <w:sz w:val="24"/>
      <w:szCs w:val="24"/>
      <w:lang w:val="en-IE" w:eastAsia="en-IE"/>
    </w:rPr>
  </w:style>
  <w:style w:type="table" w:styleId="TableGrid">
    <w:name w:val="Table Grid"/>
    <w:basedOn w:val="TableNormal"/>
    <w:uiPriority w:val="39"/>
    <w:rsid w:val="00B877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429091">
      <w:bodyDiv w:val="1"/>
      <w:marLeft w:val="0"/>
      <w:marRight w:val="0"/>
      <w:marTop w:val="0"/>
      <w:marBottom w:val="0"/>
      <w:divBdr>
        <w:top w:val="none" w:sz="0" w:space="0" w:color="auto"/>
        <w:left w:val="none" w:sz="0" w:space="0" w:color="auto"/>
        <w:bottom w:val="none" w:sz="0" w:space="0" w:color="auto"/>
        <w:right w:val="none" w:sz="0" w:space="0" w:color="auto"/>
      </w:divBdr>
    </w:div>
    <w:div w:id="509219568">
      <w:bodyDiv w:val="1"/>
      <w:marLeft w:val="0"/>
      <w:marRight w:val="0"/>
      <w:marTop w:val="0"/>
      <w:marBottom w:val="0"/>
      <w:divBdr>
        <w:top w:val="none" w:sz="0" w:space="0" w:color="auto"/>
        <w:left w:val="none" w:sz="0" w:space="0" w:color="auto"/>
        <w:bottom w:val="none" w:sz="0" w:space="0" w:color="auto"/>
        <w:right w:val="none" w:sz="0" w:space="0" w:color="auto"/>
      </w:divBdr>
    </w:div>
    <w:div w:id="540942582">
      <w:bodyDiv w:val="1"/>
      <w:marLeft w:val="0"/>
      <w:marRight w:val="0"/>
      <w:marTop w:val="0"/>
      <w:marBottom w:val="0"/>
      <w:divBdr>
        <w:top w:val="none" w:sz="0" w:space="0" w:color="auto"/>
        <w:left w:val="none" w:sz="0" w:space="0" w:color="auto"/>
        <w:bottom w:val="none" w:sz="0" w:space="0" w:color="auto"/>
        <w:right w:val="none" w:sz="0" w:space="0" w:color="auto"/>
      </w:divBdr>
    </w:div>
    <w:div w:id="593704321">
      <w:bodyDiv w:val="1"/>
      <w:marLeft w:val="0"/>
      <w:marRight w:val="0"/>
      <w:marTop w:val="0"/>
      <w:marBottom w:val="0"/>
      <w:divBdr>
        <w:top w:val="none" w:sz="0" w:space="0" w:color="auto"/>
        <w:left w:val="none" w:sz="0" w:space="0" w:color="auto"/>
        <w:bottom w:val="none" w:sz="0" w:space="0" w:color="auto"/>
        <w:right w:val="none" w:sz="0" w:space="0" w:color="auto"/>
      </w:divBdr>
    </w:div>
    <w:div w:id="790633293">
      <w:bodyDiv w:val="1"/>
      <w:marLeft w:val="0"/>
      <w:marRight w:val="0"/>
      <w:marTop w:val="0"/>
      <w:marBottom w:val="0"/>
      <w:divBdr>
        <w:top w:val="none" w:sz="0" w:space="0" w:color="auto"/>
        <w:left w:val="none" w:sz="0" w:space="0" w:color="auto"/>
        <w:bottom w:val="none" w:sz="0" w:space="0" w:color="auto"/>
        <w:right w:val="none" w:sz="0" w:space="0" w:color="auto"/>
      </w:divBdr>
    </w:div>
    <w:div w:id="1309241880">
      <w:bodyDiv w:val="1"/>
      <w:marLeft w:val="0"/>
      <w:marRight w:val="0"/>
      <w:marTop w:val="0"/>
      <w:marBottom w:val="0"/>
      <w:divBdr>
        <w:top w:val="none" w:sz="0" w:space="0" w:color="auto"/>
        <w:left w:val="none" w:sz="0" w:space="0" w:color="auto"/>
        <w:bottom w:val="none" w:sz="0" w:space="0" w:color="auto"/>
        <w:right w:val="none" w:sz="0" w:space="0" w:color="auto"/>
      </w:divBdr>
    </w:div>
    <w:div w:id="1340279492">
      <w:bodyDiv w:val="1"/>
      <w:marLeft w:val="0"/>
      <w:marRight w:val="0"/>
      <w:marTop w:val="0"/>
      <w:marBottom w:val="0"/>
      <w:divBdr>
        <w:top w:val="none" w:sz="0" w:space="0" w:color="auto"/>
        <w:left w:val="none" w:sz="0" w:space="0" w:color="auto"/>
        <w:bottom w:val="none" w:sz="0" w:space="0" w:color="auto"/>
        <w:right w:val="none" w:sz="0" w:space="0" w:color="auto"/>
      </w:divBdr>
    </w:div>
    <w:div w:id="1998915304">
      <w:bodyDiv w:val="1"/>
      <w:marLeft w:val="0"/>
      <w:marRight w:val="0"/>
      <w:marTop w:val="0"/>
      <w:marBottom w:val="0"/>
      <w:divBdr>
        <w:top w:val="none" w:sz="0" w:space="0" w:color="auto"/>
        <w:left w:val="none" w:sz="0" w:space="0" w:color="auto"/>
        <w:bottom w:val="none" w:sz="0" w:space="0" w:color="auto"/>
        <w:right w:val="none" w:sz="0" w:space="0" w:color="auto"/>
      </w:divBdr>
    </w:div>
    <w:div w:id="201891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oleObject" Target="embeddings/oleObject5.bin"/><Relationship Id="rId26" Type="http://schemas.openxmlformats.org/officeDocument/2006/relationships/hyperlink" Target="http://www.seai.ie/energy-ratings/building-energy-rating-ber/" TargetMode="Externa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png"/><Relationship Id="rId25" Type="http://schemas.openxmlformats.org/officeDocument/2006/relationships/hyperlink" Target="http://www.seai.ie" TargetMode="Externa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www.seai.ie" TargetMode="External"/><Relationship Id="rId28" Type="http://schemas.openxmlformats.org/officeDocument/2006/relationships/image" Target="media/image10.png"/><Relationship Id="rId10" Type="http://schemas.openxmlformats.org/officeDocument/2006/relationships/oleObject" Target="embeddings/oleObject1.bin"/><Relationship Id="rId19" Type="http://schemas.openxmlformats.org/officeDocument/2006/relationships/image" Target="media/image7.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hyperlink" Target="http://www.seai.i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9BCE7-F2DA-4DDC-84B7-8D0DEBFD6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932</Words>
  <Characters>5317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Carroll</dc:creator>
  <cp:lastModifiedBy>James Carroll</cp:lastModifiedBy>
  <cp:revision>3</cp:revision>
  <cp:lastPrinted>2019-02-19T16:05:00Z</cp:lastPrinted>
  <dcterms:created xsi:type="dcterms:W3CDTF">2019-11-27T12:12:00Z</dcterms:created>
  <dcterms:modified xsi:type="dcterms:W3CDTF">2019-11-27T12:14:00Z</dcterms:modified>
</cp:coreProperties>
</file>