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5D8B" w:rsidRPr="00547970" w:rsidRDefault="00CE5D8B" w:rsidP="00CE5D8B">
      <w:pPr>
        <w:shd w:val="clear" w:color="auto" w:fill="FFFFFF"/>
        <w:spacing w:after="200" w:line="276" w:lineRule="auto"/>
        <w:jc w:val="both"/>
        <w:rPr>
          <w:rFonts w:ascii="Palatino Linotype" w:hAnsi="Palatino Linotype" w:cstheme="minorHAnsi"/>
          <w:sz w:val="24"/>
          <w:szCs w:val="24"/>
        </w:rPr>
      </w:pPr>
      <w:r w:rsidRPr="00547970">
        <w:rPr>
          <w:rFonts w:ascii="Palatino Linotype" w:hAnsi="Palatino Linotype" w:cstheme="minorHAnsi"/>
          <w:sz w:val="24"/>
          <w:szCs w:val="24"/>
        </w:rPr>
        <w:t>We estimate the following hedonic difference-in-differences regression using standard Ordinary Least Squares (ignoring subscripts, constant and error term):</w:t>
      </w:r>
    </w:p>
    <w:p w:rsidR="00CE5D8B" w:rsidRPr="00547970" w:rsidRDefault="00CE5D8B" w:rsidP="00CE5D8B">
      <w:pPr>
        <w:shd w:val="clear" w:color="auto" w:fill="FFFFFF"/>
        <w:spacing w:after="200" w:line="276" w:lineRule="auto"/>
        <w:rPr>
          <w:rFonts w:ascii="Palatino Linotype" w:hAnsi="Palatino Linotype" w:cstheme="minorHAnsi"/>
          <w:sz w:val="24"/>
          <w:szCs w:val="24"/>
        </w:rPr>
      </w:pPr>
      <m:oMathPara>
        <m:oMath>
          <m:r>
            <m:rPr>
              <m:sty m:val="p"/>
            </m:rPr>
            <w:rPr>
              <w:rFonts w:ascii="Cambria Math" w:hAnsi="Cambria Math" w:cstheme="minorHAnsi"/>
              <w:sz w:val="24"/>
              <w:szCs w:val="24"/>
            </w:rPr>
            <m:t>log⁡(</m:t>
          </m:r>
          <m:r>
            <w:rPr>
              <w:rFonts w:ascii="Cambria Math" w:hAnsi="Cambria Math" w:cstheme="minorHAnsi"/>
              <w:sz w:val="24"/>
              <w:szCs w:val="24"/>
            </w:rPr>
            <m:t>Y)=</m:t>
          </m:r>
          <m:sSub>
            <m:sSubPr>
              <m:ctrlPr>
                <w:rPr>
                  <w:rFonts w:ascii="Cambria Math" w:hAnsi="Cambria Math" w:cstheme="minorHAnsi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theme="minorHAnsi"/>
                  <w:sz w:val="24"/>
                  <w:szCs w:val="24"/>
                </w:rPr>
                <m:t>β</m:t>
              </m:r>
            </m:e>
            <m:sub>
              <m:r>
                <w:rPr>
                  <w:rFonts w:ascii="Cambria Math" w:hAnsi="Cambria Math" w:cstheme="minorHAnsi"/>
                  <w:sz w:val="24"/>
                  <w:szCs w:val="24"/>
                </w:rPr>
                <m:t>1</m:t>
              </m:r>
            </m:sub>
          </m:sSub>
          <m:r>
            <w:rPr>
              <w:rFonts w:ascii="Cambria Math" w:hAnsi="Cambria Math" w:cstheme="minorHAnsi"/>
              <w:sz w:val="24"/>
              <w:szCs w:val="24"/>
            </w:rPr>
            <m:t>E+</m:t>
          </m:r>
          <m:sSub>
            <m:sSubPr>
              <m:ctrlPr>
                <w:rPr>
                  <w:rFonts w:ascii="Cambria Math" w:hAnsi="Cambria Math" w:cstheme="minorHAnsi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theme="minorHAnsi"/>
                  <w:sz w:val="24"/>
                  <w:szCs w:val="24"/>
                </w:rPr>
                <m:t>β</m:t>
              </m:r>
            </m:e>
            <m:sub>
              <m:r>
                <w:rPr>
                  <w:rFonts w:ascii="Cambria Math" w:hAnsi="Cambria Math" w:cstheme="minorHAnsi"/>
                  <w:sz w:val="24"/>
                  <w:szCs w:val="24"/>
                </w:rPr>
                <m:t>2</m:t>
              </m:r>
            </m:sub>
          </m:sSub>
          <m:r>
            <w:rPr>
              <w:rFonts w:ascii="Cambria Math" w:hAnsi="Cambria Math" w:cstheme="minorHAnsi"/>
              <w:sz w:val="24"/>
              <w:szCs w:val="24"/>
            </w:rPr>
            <m:t>P+</m:t>
          </m:r>
          <m:sSub>
            <m:sSubPr>
              <m:ctrlPr>
                <w:rPr>
                  <w:rFonts w:ascii="Cambria Math" w:hAnsi="Cambria Math" w:cstheme="minorHAnsi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theme="minorHAnsi"/>
                  <w:sz w:val="24"/>
                  <w:szCs w:val="24"/>
                </w:rPr>
                <m:t>β</m:t>
              </m:r>
            </m:e>
            <m:sub>
              <m:r>
                <w:rPr>
                  <w:rFonts w:ascii="Cambria Math" w:hAnsi="Cambria Math" w:cstheme="minorHAnsi"/>
                  <w:sz w:val="24"/>
                  <w:szCs w:val="24"/>
                </w:rPr>
                <m:t>3</m:t>
              </m:r>
            </m:sub>
          </m:sSub>
          <m:r>
            <w:rPr>
              <w:rFonts w:ascii="Cambria Math" w:hAnsi="Cambria Math" w:cstheme="minorHAnsi"/>
              <w:sz w:val="24"/>
              <w:szCs w:val="24"/>
            </w:rPr>
            <m:t>T+</m:t>
          </m:r>
          <m:sSub>
            <m:sSubPr>
              <m:ctrlPr>
                <w:rPr>
                  <w:rFonts w:ascii="Cambria Math" w:hAnsi="Cambria Math" w:cstheme="minorHAnsi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theme="minorHAnsi"/>
                  <w:sz w:val="24"/>
                  <w:szCs w:val="24"/>
                </w:rPr>
                <m:t>β</m:t>
              </m:r>
            </m:e>
            <m:sub>
              <m:r>
                <w:rPr>
                  <w:rFonts w:ascii="Cambria Math" w:hAnsi="Cambria Math" w:cstheme="minorHAnsi"/>
                  <w:sz w:val="24"/>
                  <w:szCs w:val="24"/>
                </w:rPr>
                <m:t>4</m:t>
              </m:r>
            </m:sub>
          </m:sSub>
          <m:r>
            <w:rPr>
              <w:rFonts w:ascii="Cambria Math" w:hAnsi="Cambria Math" w:cstheme="minorHAnsi"/>
              <w:sz w:val="24"/>
              <w:szCs w:val="24"/>
            </w:rPr>
            <m:t>(E*P)+</m:t>
          </m:r>
          <m:sSub>
            <m:sSubPr>
              <m:ctrlPr>
                <w:rPr>
                  <w:rFonts w:ascii="Cambria Math" w:hAnsi="Cambria Math" w:cstheme="minorHAnsi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theme="minorHAnsi"/>
                  <w:sz w:val="24"/>
                  <w:szCs w:val="24"/>
                </w:rPr>
                <m:t>β</m:t>
              </m:r>
            </m:e>
            <m:sub>
              <m:r>
                <w:rPr>
                  <w:rFonts w:ascii="Cambria Math" w:hAnsi="Cambria Math" w:cstheme="minorHAnsi"/>
                  <w:sz w:val="24"/>
                  <w:szCs w:val="24"/>
                </w:rPr>
                <m:t>5</m:t>
              </m:r>
            </m:sub>
          </m:sSub>
          <m:r>
            <w:rPr>
              <w:rFonts w:ascii="Cambria Math" w:hAnsi="Cambria Math" w:cstheme="minorHAnsi"/>
              <w:sz w:val="24"/>
              <w:szCs w:val="24"/>
            </w:rPr>
            <m:t>(E*P*T)</m:t>
          </m:r>
        </m:oMath>
      </m:oMathPara>
    </w:p>
    <w:p w:rsidR="00CE5D8B" w:rsidRPr="00547970" w:rsidRDefault="00CE5D8B" w:rsidP="00CE5D8B">
      <w:pPr>
        <w:shd w:val="clear" w:color="auto" w:fill="FFFFFF"/>
        <w:spacing w:after="200" w:line="276" w:lineRule="auto"/>
        <w:jc w:val="both"/>
        <w:rPr>
          <w:rFonts w:ascii="Palatino Linotype" w:hAnsi="Palatino Linotype" w:cstheme="minorHAnsi"/>
          <w:sz w:val="24"/>
          <w:szCs w:val="24"/>
        </w:rPr>
      </w:pPr>
      <w:proofErr w:type="gramStart"/>
      <w:r w:rsidRPr="00547970">
        <w:rPr>
          <w:rFonts w:ascii="Palatino Linotype" w:hAnsi="Palatino Linotype" w:cstheme="minorHAnsi"/>
          <w:sz w:val="24"/>
          <w:szCs w:val="24"/>
        </w:rPr>
        <w:t>where</w:t>
      </w:r>
      <w:proofErr w:type="gramEnd"/>
      <w:r w:rsidRPr="00547970">
        <w:rPr>
          <w:rFonts w:ascii="Palatino Linotype" w:hAnsi="Palatino Linotype" w:cstheme="minorHAnsi"/>
          <w:sz w:val="24"/>
          <w:szCs w:val="24"/>
        </w:rPr>
        <w:t xml:space="preserve"> </w:t>
      </w:r>
      <m:oMath>
        <m:r>
          <w:rPr>
            <w:rFonts w:ascii="Cambria Math" w:hAnsi="Cambria Math" w:cstheme="minorHAnsi"/>
            <w:sz w:val="24"/>
            <w:szCs w:val="24"/>
          </w:rPr>
          <m:t>Y</m:t>
        </m:r>
      </m:oMath>
      <w:r w:rsidRPr="00547970">
        <w:rPr>
          <w:rFonts w:ascii="Palatino Linotype" w:hAnsi="Palatino Linotype" w:cstheme="minorHAnsi"/>
          <w:sz w:val="24"/>
          <w:szCs w:val="24"/>
        </w:rPr>
        <w:t xml:space="preserve"> is </w:t>
      </w:r>
      <w:r>
        <w:rPr>
          <w:rFonts w:ascii="Palatino Linotype" w:hAnsi="Palatino Linotype" w:cstheme="minorHAnsi"/>
          <w:sz w:val="24"/>
          <w:szCs w:val="24"/>
        </w:rPr>
        <w:t xml:space="preserve">the closing price </w:t>
      </w:r>
      <w:proofErr w:type="spellStart"/>
      <w:r w:rsidRPr="00547970">
        <w:rPr>
          <w:rFonts w:ascii="Palatino Linotype" w:hAnsi="Palatino Linotype" w:cstheme="minorHAnsi"/>
          <w:sz w:val="24"/>
          <w:szCs w:val="24"/>
        </w:rPr>
        <w:t>price</w:t>
      </w:r>
      <w:proofErr w:type="spellEnd"/>
      <w:r w:rsidRPr="00547970">
        <w:rPr>
          <w:rFonts w:ascii="Palatino Linotype" w:hAnsi="Palatino Linotype" w:cstheme="minorHAnsi"/>
          <w:sz w:val="24"/>
          <w:szCs w:val="24"/>
        </w:rPr>
        <w:t xml:space="preserve">, </w:t>
      </w:r>
      <m:oMath>
        <m:r>
          <w:rPr>
            <w:rFonts w:ascii="Cambria Math" w:hAnsi="Cambria Math" w:cstheme="minorHAnsi"/>
            <w:sz w:val="24"/>
            <w:szCs w:val="24"/>
          </w:rPr>
          <m:t>E</m:t>
        </m:r>
      </m:oMath>
      <w:r w:rsidRPr="00547970">
        <w:rPr>
          <w:rFonts w:ascii="Palatino Linotype" w:hAnsi="Palatino Linotype" w:cstheme="minorHAnsi"/>
          <w:sz w:val="24"/>
          <w:szCs w:val="24"/>
        </w:rPr>
        <w:t xml:space="preserve"> is energy efficiency, </w:t>
      </w:r>
      <m:oMath>
        <m:r>
          <w:rPr>
            <w:rFonts w:ascii="Cambria Math" w:hAnsi="Cambria Math" w:cstheme="minorHAnsi"/>
            <w:sz w:val="24"/>
            <w:szCs w:val="24"/>
          </w:rPr>
          <m:t>P</m:t>
        </m:r>
      </m:oMath>
      <w:r w:rsidRPr="00547970">
        <w:rPr>
          <w:rFonts w:ascii="Palatino Linotype" w:hAnsi="Palatino Linotype" w:cstheme="minorHAnsi"/>
          <w:sz w:val="24"/>
          <w:szCs w:val="24"/>
        </w:rPr>
        <w:t xml:space="preserve"> is the trial period dummy and </w:t>
      </w:r>
      <m:oMath>
        <m:r>
          <w:rPr>
            <w:rFonts w:ascii="Cambria Math" w:hAnsi="Cambria Math" w:cstheme="minorHAnsi"/>
            <w:sz w:val="24"/>
            <w:szCs w:val="24"/>
          </w:rPr>
          <m:t>T</m:t>
        </m:r>
      </m:oMath>
      <w:r w:rsidRPr="00547970">
        <w:rPr>
          <w:rFonts w:ascii="Palatino Linotype" w:hAnsi="Palatino Linotype" w:cstheme="minorHAnsi"/>
          <w:sz w:val="24"/>
          <w:szCs w:val="24"/>
        </w:rPr>
        <w:t xml:space="preserve"> is the treatment dummy. The key coefficients of interest are </w:t>
      </w:r>
      <m:oMath>
        <m:sSub>
          <m:sSub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theme="minorHAnsi"/>
                <w:sz w:val="24"/>
                <w:szCs w:val="24"/>
              </w:rPr>
              <m:t>β</m:t>
            </m:r>
          </m:e>
          <m:sub>
            <m:r>
              <w:rPr>
                <w:rFonts w:ascii="Cambria Math" w:hAnsi="Cambria Math" w:cstheme="minorHAnsi"/>
                <w:sz w:val="24"/>
                <w:szCs w:val="24"/>
              </w:rPr>
              <m:t>1</m:t>
            </m:r>
          </m:sub>
        </m:sSub>
      </m:oMath>
      <w:r w:rsidRPr="00547970">
        <w:rPr>
          <w:rFonts w:ascii="Palatino Linotype" w:hAnsi="Palatino Linotype" w:cstheme="minorHAnsi"/>
          <w:sz w:val="24"/>
          <w:szCs w:val="24"/>
        </w:rPr>
        <w:t xml:space="preserve"> (the pre-trial relationship between efficiency and price in the control group), </w:t>
      </w:r>
      <m:oMath>
        <m:sSub>
          <m:sSub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theme="minorHAnsi"/>
                <w:sz w:val="24"/>
                <w:szCs w:val="24"/>
              </w:rPr>
              <m:t>β</m:t>
            </m:r>
          </m:e>
          <m:sub>
            <m:r>
              <w:rPr>
                <w:rFonts w:ascii="Cambria Math" w:hAnsi="Cambria Math" w:cstheme="minorHAnsi"/>
                <w:sz w:val="24"/>
                <w:szCs w:val="24"/>
              </w:rPr>
              <m:t>4</m:t>
            </m:r>
          </m:sub>
        </m:sSub>
      </m:oMath>
      <w:r w:rsidRPr="00547970">
        <w:rPr>
          <w:rFonts w:ascii="Palatino Linotype" w:hAnsi="Palatino Linotype" w:cstheme="minorHAnsi"/>
          <w:sz w:val="24"/>
          <w:szCs w:val="24"/>
        </w:rPr>
        <w:t xml:space="preserve"> (the change in this relationship during the trial) and </w:t>
      </w:r>
      <m:oMath>
        <m:sSub>
          <m:sSub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theme="minorHAnsi"/>
                <w:sz w:val="24"/>
                <w:szCs w:val="24"/>
              </w:rPr>
              <m:t>β</m:t>
            </m:r>
          </m:e>
          <m:sub>
            <m:r>
              <w:rPr>
                <w:rFonts w:ascii="Cambria Math" w:hAnsi="Cambria Math" w:cstheme="minorHAnsi"/>
                <w:sz w:val="24"/>
                <w:szCs w:val="24"/>
              </w:rPr>
              <m:t>5</m:t>
            </m:r>
          </m:sub>
        </m:sSub>
      </m:oMath>
      <w:r w:rsidRPr="00547970">
        <w:rPr>
          <w:rFonts w:ascii="Palatino Linotype" w:hAnsi="Palatino Linotype" w:cstheme="minorHAnsi"/>
          <w:sz w:val="24"/>
          <w:szCs w:val="24"/>
        </w:rPr>
        <w:t xml:space="preserve"> (how this change differed for the treatment group).</w:t>
      </w:r>
      <w:r w:rsidR="005F394B">
        <w:rPr>
          <w:rStyle w:val="FootnoteReference"/>
          <w:rFonts w:ascii="Palatino Linotype" w:hAnsi="Palatino Linotype"/>
          <w:sz w:val="24"/>
          <w:szCs w:val="24"/>
        </w:rPr>
        <w:footnoteReference w:id="1"/>
      </w:r>
      <w:r w:rsidRPr="00547970">
        <w:rPr>
          <w:rFonts w:ascii="Palatino Linotype" w:hAnsi="Palatino Linotype" w:cstheme="minorHAnsi"/>
          <w:sz w:val="24"/>
          <w:szCs w:val="24"/>
        </w:rPr>
        <w:t xml:space="preserve"> This same approach is also used to explore the time-to-sell</w:t>
      </w:r>
      <w:r>
        <w:rPr>
          <w:rFonts w:ascii="Palatino Linotype" w:hAnsi="Palatino Linotype" w:cstheme="minorHAnsi"/>
          <w:sz w:val="24"/>
          <w:szCs w:val="24"/>
        </w:rPr>
        <w:t xml:space="preserve"> (without logs)</w:t>
      </w:r>
      <w:r w:rsidRPr="00547970">
        <w:rPr>
          <w:rFonts w:ascii="Palatino Linotype" w:hAnsi="Palatino Linotype" w:cstheme="minorHAnsi"/>
          <w:sz w:val="24"/>
          <w:szCs w:val="24"/>
        </w:rPr>
        <w:t xml:space="preserve">, which we define as the duration between the advertising date and the date the property was registered on the Irish </w:t>
      </w:r>
      <w:r w:rsidRPr="00547970">
        <w:rPr>
          <w:rFonts w:ascii="Palatino Linotype" w:hAnsi="Palatino Linotype" w:cstheme="minorHAnsi"/>
          <w:i/>
          <w:sz w:val="24"/>
          <w:szCs w:val="24"/>
        </w:rPr>
        <w:t>Property Price Register</w:t>
      </w:r>
      <w:r w:rsidRPr="00547970">
        <w:rPr>
          <w:rFonts w:ascii="Palatino Linotype" w:hAnsi="Palatino Linotype" w:cstheme="minorHAnsi"/>
          <w:sz w:val="24"/>
          <w:szCs w:val="24"/>
        </w:rPr>
        <w:t xml:space="preserve">. </w:t>
      </w:r>
    </w:p>
    <w:p w:rsidR="00CE5D8B" w:rsidRPr="00547970" w:rsidRDefault="00CE5D8B" w:rsidP="00CE5D8B">
      <w:pPr>
        <w:shd w:val="clear" w:color="auto" w:fill="FFFFFF"/>
        <w:spacing w:after="200" w:line="276" w:lineRule="auto"/>
        <w:jc w:val="both"/>
        <w:rPr>
          <w:rFonts w:ascii="Palatino Linotype" w:hAnsi="Palatino Linotype" w:cstheme="minorHAnsi"/>
          <w:sz w:val="24"/>
          <w:szCs w:val="24"/>
        </w:rPr>
      </w:pPr>
      <w:r w:rsidRPr="00547970">
        <w:rPr>
          <w:rFonts w:ascii="Palatino Linotype" w:hAnsi="Palatino Linotype" w:cstheme="minorHAnsi"/>
          <w:sz w:val="24"/>
          <w:szCs w:val="24"/>
        </w:rPr>
        <w:t>Formally, a property is classified as in the pre-trial period if it was advertised on or after 1 January 2017 and sold before 31 January 2018. A property is classified as in the trial period if it was advertised between 1 March 2018 and 31 March 2018.</w:t>
      </w:r>
      <w:r w:rsidRPr="00547970">
        <w:rPr>
          <w:rStyle w:val="FootnoteReference"/>
          <w:rFonts w:ascii="Palatino Linotype" w:hAnsi="Palatino Linotype"/>
          <w:sz w:val="24"/>
          <w:szCs w:val="24"/>
        </w:rPr>
        <w:footnoteReference w:id="2"/>
      </w:r>
      <w:r w:rsidRPr="00547970">
        <w:rPr>
          <w:rFonts w:ascii="Palatino Linotype" w:hAnsi="Palatino Linotype" w:cstheme="minorHAnsi"/>
          <w:sz w:val="24"/>
          <w:szCs w:val="24"/>
        </w:rPr>
        <w:t xml:space="preserve"> Given the </w:t>
      </w:r>
      <w:proofErr w:type="spellStart"/>
      <w:r w:rsidRPr="00547970">
        <w:rPr>
          <w:rFonts w:ascii="Palatino Linotype" w:hAnsi="Palatino Linotype" w:cstheme="minorHAnsi"/>
          <w:sz w:val="24"/>
          <w:szCs w:val="24"/>
        </w:rPr>
        <w:t>regressors</w:t>
      </w:r>
      <w:proofErr w:type="spellEnd"/>
      <w:r w:rsidRPr="00547970">
        <w:rPr>
          <w:rFonts w:ascii="Palatino Linotype" w:hAnsi="Palatino Linotype" w:cstheme="minorHAnsi"/>
          <w:sz w:val="24"/>
          <w:szCs w:val="24"/>
        </w:rPr>
        <w:t xml:space="preserve"> of interest, only properties with energy efficiency information were included. Newly built properties were excluded, as these are, by law, all A-rated and provide no variation of interest. In addition, unusually large properties (more than six bedrooms or bathrooms) were excluded, as were sites and those which traded f</w:t>
      </w:r>
      <w:bookmarkStart w:id="0" w:name="_GoBack"/>
      <w:bookmarkEnd w:id="0"/>
      <w:r w:rsidRPr="00547970">
        <w:rPr>
          <w:rFonts w:ascii="Palatino Linotype" w:hAnsi="Palatino Linotype" w:cstheme="minorHAnsi"/>
          <w:sz w:val="24"/>
          <w:szCs w:val="24"/>
        </w:rPr>
        <w:t>or more than €2 million. Where listings with duplicate addresses occurred, only the latest was kept in the analysis.</w:t>
      </w:r>
    </w:p>
    <w:p w:rsidR="00CE5D8B" w:rsidRPr="00547970" w:rsidRDefault="00CE5D8B" w:rsidP="00CE5D8B">
      <w:pPr>
        <w:pStyle w:val="FootnoteText"/>
        <w:spacing w:after="200" w:line="276" w:lineRule="auto"/>
        <w:jc w:val="both"/>
        <w:rPr>
          <w:rFonts w:ascii="Palatino Linotype" w:hAnsi="Palatino Linotype"/>
          <w:sz w:val="24"/>
          <w:szCs w:val="24"/>
          <w:lang w:val="en-IE"/>
        </w:rPr>
      </w:pPr>
      <w:r w:rsidRPr="00547970">
        <w:rPr>
          <w:rFonts w:ascii="Palatino Linotype" w:hAnsi="Palatino Linotype" w:cstheme="minorHAnsi"/>
          <w:sz w:val="24"/>
          <w:szCs w:val="24"/>
        </w:rPr>
        <w:t xml:space="preserve">For closing prices, we merge data from the Irish </w:t>
      </w:r>
      <w:r w:rsidRPr="00547970">
        <w:rPr>
          <w:rFonts w:ascii="Palatino Linotype" w:hAnsi="Palatino Linotype" w:cstheme="minorHAnsi"/>
          <w:i/>
          <w:sz w:val="24"/>
          <w:szCs w:val="24"/>
        </w:rPr>
        <w:t>Property Price Register</w:t>
      </w:r>
      <w:r w:rsidRPr="00547970">
        <w:rPr>
          <w:rFonts w:ascii="Palatino Linotype" w:hAnsi="Palatino Linotype" w:cstheme="minorHAnsi"/>
          <w:sz w:val="24"/>
          <w:szCs w:val="24"/>
        </w:rPr>
        <w:t xml:space="preserve"> (</w:t>
      </w:r>
      <w:proofErr w:type="spellStart"/>
      <w:r w:rsidRPr="00547970">
        <w:rPr>
          <w:rFonts w:ascii="Palatino Linotype" w:hAnsi="Palatino Linotype" w:cstheme="minorHAnsi"/>
          <w:sz w:val="24"/>
          <w:szCs w:val="24"/>
        </w:rPr>
        <w:t>PPR</w:t>
      </w:r>
      <w:proofErr w:type="spellEnd"/>
      <w:r w:rsidRPr="00547970">
        <w:rPr>
          <w:rFonts w:ascii="Palatino Linotype" w:hAnsi="Palatino Linotype" w:cstheme="minorHAnsi"/>
          <w:sz w:val="24"/>
          <w:szCs w:val="24"/>
        </w:rPr>
        <w:t>) onto the daft.ie database using address and county.</w:t>
      </w:r>
      <w:r w:rsidRPr="00547970">
        <w:rPr>
          <w:rStyle w:val="FootnoteReference"/>
          <w:rFonts w:ascii="Palatino Linotype" w:hAnsi="Palatino Linotype" w:cstheme="minorHAnsi"/>
          <w:sz w:val="24"/>
          <w:szCs w:val="24"/>
        </w:rPr>
        <w:footnoteReference w:id="3"/>
      </w:r>
      <w:r w:rsidRPr="00547970">
        <w:rPr>
          <w:rFonts w:ascii="Palatino Linotype" w:hAnsi="Palatino Linotype" w:cstheme="minorHAnsi"/>
          <w:sz w:val="24"/>
          <w:szCs w:val="24"/>
        </w:rPr>
        <w:t xml:space="preserve"> </w:t>
      </w:r>
      <w:r w:rsidRPr="00547970">
        <w:rPr>
          <w:rFonts w:ascii="Palatino Linotype" w:hAnsi="Palatino Linotype"/>
          <w:sz w:val="24"/>
          <w:szCs w:val="24"/>
          <w:lang w:val="en-IE"/>
        </w:rPr>
        <w:t>A “fuzzy” merge is carried out after a large number of standardisation procedures for address formats in both datasets (removal of punctuation, spaces, counties and cleaning of common address terms such as road, crescent street etc.).</w:t>
      </w:r>
      <w:r w:rsidRPr="00547970">
        <w:rPr>
          <w:rStyle w:val="FootnoteReference"/>
          <w:rFonts w:ascii="Palatino Linotype" w:hAnsi="Palatino Linotype"/>
          <w:sz w:val="24"/>
          <w:szCs w:val="24"/>
          <w:lang w:val="en-IE"/>
        </w:rPr>
        <w:footnoteReference w:id="4"/>
      </w:r>
      <w:r w:rsidRPr="00547970">
        <w:rPr>
          <w:rFonts w:ascii="Palatino Linotype" w:hAnsi="Palatino Linotype"/>
          <w:sz w:val="24"/>
          <w:szCs w:val="24"/>
          <w:lang w:val="en-IE"/>
        </w:rPr>
        <w:t xml:space="preserve"> The merge is then based on exact matches in county and the first five characters of the address code, and a fuzzy (80%) match for the remaining string characters.</w:t>
      </w:r>
      <w:r w:rsidRPr="00547970">
        <w:rPr>
          <w:rFonts w:ascii="Palatino Linotype" w:hAnsi="Palatino Linotype" w:cstheme="minorHAnsi"/>
          <w:sz w:val="24"/>
          <w:szCs w:val="24"/>
          <w:lang w:val="en-IE"/>
        </w:rPr>
        <w:t xml:space="preserve"> Furthermore, we drop any properties where the closing sale date is not within a year </w:t>
      </w:r>
      <w:r w:rsidRPr="00547970">
        <w:rPr>
          <w:rFonts w:ascii="Palatino Linotype" w:hAnsi="Palatino Linotype" w:cstheme="minorHAnsi"/>
          <w:i/>
          <w:sz w:val="24"/>
          <w:szCs w:val="24"/>
          <w:lang w:val="en-IE"/>
        </w:rPr>
        <w:t xml:space="preserve">after </w:t>
      </w:r>
      <w:r w:rsidRPr="00547970">
        <w:rPr>
          <w:rFonts w:ascii="Palatino Linotype" w:hAnsi="Palatino Linotype" w:cstheme="minorHAnsi"/>
          <w:sz w:val="24"/>
          <w:szCs w:val="24"/>
          <w:lang w:val="en-IE"/>
        </w:rPr>
        <w:t>the advertising date (</w:t>
      </w:r>
      <w:r w:rsidRPr="00547970">
        <w:rPr>
          <w:rFonts w:ascii="Palatino Linotype" w:hAnsi="Palatino Linotype"/>
          <w:sz w:val="24"/>
          <w:szCs w:val="24"/>
          <w:lang w:val="en-IE"/>
        </w:rPr>
        <w:t>to remove properties potentially sold multiple times during the period and subsequent merging errors).</w:t>
      </w:r>
    </w:p>
    <w:p w:rsidR="00FD0CDA" w:rsidRPr="00F36A2B" w:rsidRDefault="00CE5D8B" w:rsidP="00F36A2B">
      <w:pPr>
        <w:shd w:val="clear" w:color="auto" w:fill="FFFFFF"/>
        <w:spacing w:after="200" w:line="276" w:lineRule="auto"/>
        <w:jc w:val="both"/>
        <w:rPr>
          <w:rFonts w:ascii="Palatino Linotype" w:hAnsi="Palatino Linotype" w:cstheme="minorHAnsi"/>
          <w:sz w:val="24"/>
          <w:szCs w:val="24"/>
        </w:rPr>
      </w:pPr>
      <w:r w:rsidRPr="00547970">
        <w:rPr>
          <w:rFonts w:ascii="Palatino Linotype" w:hAnsi="Palatino Linotype" w:cstheme="minorHAnsi"/>
          <w:sz w:val="24"/>
          <w:szCs w:val="24"/>
        </w:rPr>
        <w:t xml:space="preserve">Differences in addresses (format, spelling and order) in the daft.ie data (normally added by the estate agent) and the </w:t>
      </w:r>
      <w:proofErr w:type="spellStart"/>
      <w:r w:rsidRPr="00547970">
        <w:rPr>
          <w:rFonts w:ascii="Palatino Linotype" w:hAnsi="Palatino Linotype" w:cstheme="minorHAnsi"/>
          <w:sz w:val="24"/>
          <w:szCs w:val="24"/>
        </w:rPr>
        <w:t>PPR</w:t>
      </w:r>
      <w:proofErr w:type="spellEnd"/>
      <w:r w:rsidRPr="00547970">
        <w:rPr>
          <w:rFonts w:ascii="Palatino Linotype" w:hAnsi="Palatino Linotype" w:cstheme="minorHAnsi"/>
          <w:sz w:val="24"/>
          <w:szCs w:val="24"/>
        </w:rPr>
        <w:t xml:space="preserve"> (normally added by the solicitor), unsold properties in the daft.ie dataset (and therefore no corresponding record in the </w:t>
      </w:r>
      <w:proofErr w:type="spellStart"/>
      <w:r w:rsidRPr="00547970">
        <w:rPr>
          <w:rFonts w:ascii="Palatino Linotype" w:hAnsi="Palatino Linotype" w:cstheme="minorHAnsi"/>
          <w:sz w:val="24"/>
          <w:szCs w:val="24"/>
        </w:rPr>
        <w:t>PPR</w:t>
      </w:r>
      <w:proofErr w:type="spellEnd"/>
      <w:r w:rsidRPr="00547970">
        <w:rPr>
          <w:rFonts w:ascii="Palatino Linotype" w:hAnsi="Palatino Linotype" w:cstheme="minorHAnsi"/>
          <w:sz w:val="24"/>
          <w:szCs w:val="24"/>
        </w:rPr>
        <w:t xml:space="preserve">), and delays between sale date and </w:t>
      </w:r>
      <w:proofErr w:type="spellStart"/>
      <w:r w:rsidRPr="00547970">
        <w:rPr>
          <w:rFonts w:ascii="Palatino Linotype" w:hAnsi="Palatino Linotype" w:cstheme="minorHAnsi"/>
          <w:sz w:val="24"/>
          <w:szCs w:val="24"/>
        </w:rPr>
        <w:t>PPR</w:t>
      </w:r>
      <w:proofErr w:type="spellEnd"/>
      <w:r w:rsidRPr="00547970">
        <w:rPr>
          <w:rFonts w:ascii="Palatino Linotype" w:hAnsi="Palatino Linotype" w:cstheme="minorHAnsi"/>
          <w:sz w:val="24"/>
          <w:szCs w:val="24"/>
        </w:rPr>
        <w:t xml:space="preserve"> registration date, all lead to a significant reductions in sample size: 66% reduction in the control group (and 7.9% decrease in mean price), and 60% reduction in the treatment group (1.6% increase in price).</w:t>
      </w:r>
      <w:r w:rsidRPr="007367B2">
        <w:rPr>
          <w:rFonts w:ascii="Palatino Linotype" w:hAnsi="Palatino Linotype" w:cstheme="minorHAnsi"/>
          <w:sz w:val="24"/>
          <w:szCs w:val="24"/>
        </w:rPr>
        <w:t xml:space="preserve"> </w:t>
      </w:r>
    </w:p>
    <w:sectPr w:rsidR="00FD0CDA" w:rsidRPr="00F36A2B" w:rsidSect="00B14CB8">
      <w:footerReference w:type="default" r:id="rId7"/>
      <w:pgSz w:w="11906" w:h="16838"/>
      <w:pgMar w:top="1134" w:right="707" w:bottom="1440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7051" w:rsidRDefault="008D7051" w:rsidP="00CE5D8B">
      <w:pPr>
        <w:spacing w:after="0" w:line="240" w:lineRule="auto"/>
      </w:pPr>
      <w:r>
        <w:separator/>
      </w:r>
    </w:p>
  </w:endnote>
  <w:endnote w:type="continuationSeparator" w:id="0">
    <w:p w:rsidR="008D7051" w:rsidRDefault="008D7051" w:rsidP="00CE5D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26646073"/>
      <w:docPartObj>
        <w:docPartGallery w:val="Page Numbers (Bottom of Page)"/>
        <w:docPartUnique/>
      </w:docPartObj>
    </w:sdtPr>
    <w:sdtEndPr>
      <w:rPr>
        <w:rFonts w:ascii="Palatino Linotype" w:hAnsi="Palatino Linotype"/>
        <w:noProof/>
      </w:rPr>
    </w:sdtEndPr>
    <w:sdtContent>
      <w:p w:rsidR="00DB201B" w:rsidRPr="00DC5A79" w:rsidRDefault="002035FE">
        <w:pPr>
          <w:pStyle w:val="Footer"/>
          <w:jc w:val="center"/>
          <w:rPr>
            <w:rFonts w:ascii="Palatino Linotype" w:hAnsi="Palatino Linotype"/>
          </w:rPr>
        </w:pPr>
        <w:r w:rsidRPr="00DC5A79">
          <w:rPr>
            <w:rFonts w:ascii="Palatino Linotype" w:hAnsi="Palatino Linotype"/>
          </w:rPr>
          <w:fldChar w:fldCharType="begin"/>
        </w:r>
        <w:r w:rsidRPr="00DC5A79">
          <w:rPr>
            <w:rFonts w:ascii="Palatino Linotype" w:hAnsi="Palatino Linotype"/>
          </w:rPr>
          <w:instrText xml:space="preserve"> PAGE   \* MERGEFORMAT </w:instrText>
        </w:r>
        <w:r w:rsidRPr="00DC5A79">
          <w:rPr>
            <w:rFonts w:ascii="Palatino Linotype" w:hAnsi="Palatino Linotype"/>
          </w:rPr>
          <w:fldChar w:fldCharType="separate"/>
        </w:r>
        <w:r w:rsidR="00B14CB8">
          <w:rPr>
            <w:rFonts w:ascii="Palatino Linotype" w:hAnsi="Palatino Linotype"/>
            <w:noProof/>
          </w:rPr>
          <w:t>1</w:t>
        </w:r>
        <w:r w:rsidRPr="00DC5A79">
          <w:rPr>
            <w:rFonts w:ascii="Palatino Linotype" w:hAnsi="Palatino Linotype"/>
            <w:noProof/>
          </w:rPr>
          <w:fldChar w:fldCharType="end"/>
        </w:r>
      </w:p>
    </w:sdtContent>
  </w:sdt>
  <w:p w:rsidR="00DB201B" w:rsidRDefault="008D705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7051" w:rsidRDefault="008D7051" w:rsidP="00CE5D8B">
      <w:pPr>
        <w:spacing w:after="0" w:line="240" w:lineRule="auto"/>
      </w:pPr>
      <w:r>
        <w:separator/>
      </w:r>
    </w:p>
  </w:footnote>
  <w:footnote w:type="continuationSeparator" w:id="0">
    <w:p w:rsidR="008D7051" w:rsidRDefault="008D7051" w:rsidP="00CE5D8B">
      <w:pPr>
        <w:spacing w:after="0" w:line="240" w:lineRule="auto"/>
      </w:pPr>
      <w:r>
        <w:continuationSeparator/>
      </w:r>
    </w:p>
  </w:footnote>
  <w:footnote w:id="1">
    <w:p w:rsidR="005F394B" w:rsidRPr="005F394B" w:rsidRDefault="005F394B">
      <w:pPr>
        <w:pStyle w:val="FootnoteText"/>
        <w:rPr>
          <w:lang w:val="en-IE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IE"/>
        </w:rPr>
        <w:t xml:space="preserve">Standard errors clustered by area </w:t>
      </w:r>
    </w:p>
  </w:footnote>
  <w:footnote w:id="2">
    <w:p w:rsidR="00CE5D8B" w:rsidRPr="00547970" w:rsidRDefault="00CE5D8B" w:rsidP="00CE5D8B">
      <w:pPr>
        <w:pStyle w:val="FootnoteText"/>
        <w:rPr>
          <w:lang w:val="en-US"/>
        </w:rPr>
      </w:pPr>
      <w:r w:rsidRPr="00547970">
        <w:rPr>
          <w:rStyle w:val="FootnoteReference"/>
        </w:rPr>
        <w:footnoteRef/>
      </w:r>
      <w:r w:rsidRPr="00547970">
        <w:t xml:space="preserve"> </w:t>
      </w:r>
      <w:r w:rsidRPr="00547970">
        <w:rPr>
          <w:lang w:val="en-US"/>
        </w:rPr>
        <w:t>Properties advertised in February 2018 are excluded, due to issues relating to the implementation of the new labelling. Properties advertised before this but not sold until after 1 March 2018 are also excluded, to avoid contamination.</w:t>
      </w:r>
    </w:p>
  </w:footnote>
  <w:footnote w:id="3">
    <w:p w:rsidR="00CE5D8B" w:rsidRPr="00547970" w:rsidRDefault="00CE5D8B" w:rsidP="00CE5D8B">
      <w:pPr>
        <w:pStyle w:val="FootnoteText"/>
        <w:rPr>
          <w:color w:val="0000FF"/>
          <w:u w:val="single"/>
          <w:lang w:val="en-IE"/>
        </w:rPr>
      </w:pPr>
      <w:r w:rsidRPr="00547970">
        <w:rPr>
          <w:rStyle w:val="FootnoteReference"/>
        </w:rPr>
        <w:footnoteRef/>
      </w:r>
      <w:r w:rsidRPr="00547970">
        <w:t xml:space="preserve"> The </w:t>
      </w:r>
      <w:proofErr w:type="spellStart"/>
      <w:r w:rsidRPr="00547970">
        <w:t>PPR</w:t>
      </w:r>
      <w:proofErr w:type="spellEnd"/>
      <w:r w:rsidRPr="00547970">
        <w:t xml:space="preserve"> is freely downloadable from </w:t>
      </w:r>
      <w:r w:rsidRPr="00547970">
        <w:rPr>
          <w:rStyle w:val="Hyperlink"/>
        </w:rPr>
        <w:t>www.propertypriceregister.ie/website/npsra/pprweb.nsf/PPR?OpenForm</w:t>
      </w:r>
      <w:r w:rsidRPr="00547970">
        <w:rPr>
          <w:rStyle w:val="Hyperlink"/>
          <w:lang w:val="en-GB"/>
        </w:rPr>
        <w:t>.</w:t>
      </w:r>
      <w:r w:rsidRPr="00547970">
        <w:rPr>
          <w:lang w:val="en-IE"/>
        </w:rPr>
        <w:t xml:space="preserve"> </w:t>
      </w:r>
    </w:p>
  </w:footnote>
  <w:footnote w:id="4">
    <w:p w:rsidR="00CE5D8B" w:rsidRPr="00421799" w:rsidRDefault="00CE5D8B" w:rsidP="00CE5D8B">
      <w:pPr>
        <w:pStyle w:val="FootnoteText"/>
        <w:rPr>
          <w:lang w:val="en-IE"/>
        </w:rPr>
      </w:pPr>
      <w:r w:rsidRPr="00547970">
        <w:rPr>
          <w:rStyle w:val="FootnoteReference"/>
        </w:rPr>
        <w:footnoteRef/>
      </w:r>
      <w:r w:rsidRPr="00547970">
        <w:t xml:space="preserve"> </w:t>
      </w:r>
      <w:r w:rsidRPr="00547970">
        <w:rPr>
          <w:lang w:val="en-IE"/>
        </w:rPr>
        <w:t>A “fuzzy” merge was carried out in STATA 14 using the “</w:t>
      </w:r>
      <w:proofErr w:type="spellStart"/>
      <w:r w:rsidRPr="00547970">
        <w:rPr>
          <w:lang w:val="en-IE"/>
        </w:rPr>
        <w:t>reclink</w:t>
      </w:r>
      <w:proofErr w:type="spellEnd"/>
      <w:r w:rsidRPr="00547970">
        <w:rPr>
          <w:lang w:val="en-IE"/>
        </w:rPr>
        <w:t>” command.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D8B"/>
    <w:rsid w:val="002035FE"/>
    <w:rsid w:val="003B75A6"/>
    <w:rsid w:val="005F394B"/>
    <w:rsid w:val="008D7051"/>
    <w:rsid w:val="00B14CB8"/>
    <w:rsid w:val="00BF4707"/>
    <w:rsid w:val="00CE5D8B"/>
    <w:rsid w:val="00F36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8606216-312F-4D0E-9787-A33E776F8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5D8B"/>
    <w:rPr>
      <w:rFonts w:ascii="Times New Roman" w:eastAsia="SimSun" w:hAnsi="Times New Roman" w:cs="Times New Roma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aliases w:val="Footnote symbol,Times 10 Point,Exposant 3 Point"/>
    <w:uiPriority w:val="99"/>
    <w:rsid w:val="00CE5D8B"/>
    <w:rPr>
      <w:rFonts w:cs="Times New Roman"/>
      <w:vertAlign w:val="superscript"/>
    </w:rPr>
  </w:style>
  <w:style w:type="character" w:styleId="Hyperlink">
    <w:name w:val="Hyperlink"/>
    <w:uiPriority w:val="99"/>
    <w:rsid w:val="00CE5D8B"/>
    <w:rPr>
      <w:rFonts w:cs="Times New Roman"/>
      <w:color w:val="0000FF"/>
      <w:u w:val="single"/>
    </w:rPr>
  </w:style>
  <w:style w:type="paragraph" w:styleId="Footer">
    <w:name w:val="footer"/>
    <w:basedOn w:val="Normal"/>
    <w:link w:val="FooterChar"/>
    <w:uiPriority w:val="99"/>
    <w:unhideWhenUsed/>
    <w:rsid w:val="00CE5D8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5D8B"/>
    <w:rPr>
      <w:rFonts w:ascii="Times New Roman" w:eastAsia="SimSun" w:hAnsi="Times New Roman" w:cs="Times New Roman"/>
      <w:lang w:eastAsia="zh-CN"/>
    </w:rPr>
  </w:style>
  <w:style w:type="paragraph" w:styleId="FootnoteText">
    <w:name w:val="footnote text"/>
    <w:basedOn w:val="Normal"/>
    <w:link w:val="FootnoteTextChar"/>
    <w:uiPriority w:val="99"/>
    <w:unhideWhenUsed/>
    <w:rsid w:val="00CE5D8B"/>
    <w:pPr>
      <w:spacing w:after="0" w:line="240" w:lineRule="auto"/>
    </w:pPr>
    <w:rPr>
      <w:sz w:val="20"/>
      <w:szCs w:val="20"/>
      <w:lang w:val="x-none" w:eastAsia="x-none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CE5D8B"/>
    <w:rPr>
      <w:rFonts w:ascii="Times New Roman" w:eastAsia="SimSun" w:hAnsi="Times New Roman" w:cs="Times New Roman"/>
      <w:sz w:val="2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4A85B6-3770-41CC-BED4-0C47E29620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412</Words>
  <Characters>2353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Carroll</dc:creator>
  <cp:keywords/>
  <dc:description/>
  <cp:lastModifiedBy>James Carroll</cp:lastModifiedBy>
  <cp:revision>4</cp:revision>
  <dcterms:created xsi:type="dcterms:W3CDTF">2019-11-27T12:25:00Z</dcterms:created>
  <dcterms:modified xsi:type="dcterms:W3CDTF">2019-11-27T12:52:00Z</dcterms:modified>
</cp:coreProperties>
</file>