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24" w:rsidRDefault="00BD3AFF" w:rsidP="00521C98">
      <w:pPr>
        <w:pStyle w:val="Heading1"/>
        <w:rPr>
          <w:rFonts w:eastAsia="Times New Roman"/>
          <w:lang w:eastAsia="en-GB"/>
        </w:rPr>
      </w:pPr>
      <w:r>
        <w:rPr>
          <w:rFonts w:eastAsia="Times New Roman"/>
          <w:lang w:eastAsia="en-GB"/>
        </w:rPr>
        <w:t xml:space="preserve">1. </w:t>
      </w:r>
      <w:r w:rsidR="00521C98">
        <w:rPr>
          <w:rFonts w:eastAsia="Times New Roman"/>
          <w:lang w:eastAsia="en-GB"/>
        </w:rPr>
        <w:t>Introduction</w:t>
      </w:r>
    </w:p>
    <w:p w:rsidR="00521C98" w:rsidRDefault="00521C98" w:rsidP="00521C98">
      <w:pPr>
        <w:rPr>
          <w:lang w:eastAsia="en-GB"/>
        </w:rPr>
      </w:pPr>
    </w:p>
    <w:p w:rsidR="003D4641" w:rsidRDefault="00A3235D" w:rsidP="00521C98">
      <w:pPr>
        <w:rPr>
          <w:rFonts w:eastAsia="Times New Roman" w:cs="Times New Roman"/>
          <w:lang w:eastAsia="en-GB"/>
        </w:rPr>
      </w:pPr>
      <w:r w:rsidRPr="00A3235D">
        <w:rPr>
          <w:rFonts w:eastAsia="Times New Roman" w:cs="Times New Roman"/>
          <w:lang w:eastAsia="en-GB"/>
        </w:rPr>
        <w:t xml:space="preserve">A key policy challenge facing governments </w:t>
      </w:r>
      <w:r w:rsidR="009B137B">
        <w:rPr>
          <w:rFonts w:eastAsia="Times New Roman" w:cs="Times New Roman"/>
          <w:lang w:eastAsia="en-GB"/>
        </w:rPr>
        <w:t xml:space="preserve">across the world </w:t>
      </w:r>
      <w:r w:rsidRPr="00A3235D">
        <w:rPr>
          <w:rFonts w:eastAsia="Times New Roman" w:cs="Times New Roman"/>
          <w:lang w:eastAsia="en-GB"/>
        </w:rPr>
        <w:t xml:space="preserve">is how to reduce the proportion of youth not in education, employment, or training. While this challenge is particularly acute in European economies in the aftermath of the Great Recession, the transition from </w:t>
      </w:r>
      <w:r w:rsidR="00C918B1">
        <w:rPr>
          <w:rFonts w:eastAsia="Times New Roman" w:cs="Times New Roman"/>
          <w:lang w:eastAsia="en-GB"/>
        </w:rPr>
        <w:t xml:space="preserve">school </w:t>
      </w:r>
      <w:r w:rsidRPr="00A3235D">
        <w:rPr>
          <w:rFonts w:eastAsia="Times New Roman" w:cs="Times New Roman"/>
          <w:lang w:eastAsia="en-GB"/>
        </w:rPr>
        <w:t xml:space="preserve">to the labour market can be problematic for many youth </w:t>
      </w:r>
      <w:r w:rsidR="009B137B">
        <w:rPr>
          <w:rFonts w:eastAsia="Times New Roman" w:cs="Times New Roman"/>
          <w:lang w:eastAsia="en-GB"/>
        </w:rPr>
        <w:t>even in</w:t>
      </w:r>
      <w:r w:rsidR="00011F51">
        <w:rPr>
          <w:rFonts w:eastAsia="Times New Roman" w:cs="Times New Roman"/>
          <w:lang w:eastAsia="en-GB"/>
        </w:rPr>
        <w:t xml:space="preserve"> a healthy macroeconomic landscape</w:t>
      </w:r>
      <w:r w:rsidR="009B137B">
        <w:rPr>
          <w:rFonts w:eastAsia="Times New Roman" w:cs="Times New Roman"/>
          <w:lang w:eastAsia="en-GB"/>
        </w:rPr>
        <w:t xml:space="preserve"> </w:t>
      </w:r>
      <w:r w:rsidRPr="00A3235D">
        <w:rPr>
          <w:rFonts w:eastAsia="Times New Roman" w:cs="Times New Roman"/>
          <w:lang w:eastAsia="en-GB"/>
        </w:rPr>
        <w:t xml:space="preserve">– especially </w:t>
      </w:r>
      <w:r w:rsidR="009B137B">
        <w:rPr>
          <w:rFonts w:eastAsia="Times New Roman" w:cs="Times New Roman"/>
          <w:lang w:eastAsia="en-GB"/>
        </w:rPr>
        <w:t xml:space="preserve">for </w:t>
      </w:r>
      <w:r w:rsidRPr="00A3235D">
        <w:rPr>
          <w:rFonts w:eastAsia="Times New Roman" w:cs="Times New Roman"/>
          <w:lang w:eastAsia="en-GB"/>
        </w:rPr>
        <w:t xml:space="preserve">those from disadvantaged backgrounds. A large literature has </w:t>
      </w:r>
      <w:r w:rsidR="0002710F">
        <w:rPr>
          <w:rFonts w:eastAsia="Times New Roman" w:cs="Times New Roman"/>
          <w:lang w:eastAsia="en-GB"/>
        </w:rPr>
        <w:t xml:space="preserve">shown that </w:t>
      </w:r>
      <w:r w:rsidRPr="00A3235D">
        <w:rPr>
          <w:rFonts w:eastAsia="Times New Roman" w:cs="Times New Roman"/>
          <w:lang w:eastAsia="en-GB"/>
        </w:rPr>
        <w:t xml:space="preserve">an early period of unemployment can have </w:t>
      </w:r>
      <w:r w:rsidR="0002710F" w:rsidRPr="00A3235D">
        <w:rPr>
          <w:rFonts w:eastAsia="Times New Roman" w:cs="Times New Roman"/>
          <w:lang w:eastAsia="en-GB"/>
        </w:rPr>
        <w:t xml:space="preserve">long-lasting negative impacts </w:t>
      </w:r>
      <w:r w:rsidRPr="00A3235D">
        <w:rPr>
          <w:rFonts w:eastAsia="Times New Roman" w:cs="Times New Roman"/>
          <w:lang w:eastAsia="en-GB"/>
        </w:rPr>
        <w:t>on</w:t>
      </w:r>
      <w:r w:rsidR="003E6494">
        <w:rPr>
          <w:rFonts w:eastAsia="Times New Roman" w:cs="Times New Roman"/>
          <w:lang w:eastAsia="en-GB"/>
        </w:rPr>
        <w:t xml:space="preserve"> a variety of</w:t>
      </w:r>
      <w:r w:rsidRPr="00A3235D">
        <w:rPr>
          <w:rFonts w:eastAsia="Times New Roman" w:cs="Times New Roman"/>
          <w:lang w:eastAsia="en-GB"/>
        </w:rPr>
        <w:t xml:space="preserve"> </w:t>
      </w:r>
      <w:r w:rsidR="00357ED6">
        <w:rPr>
          <w:rFonts w:eastAsia="Times New Roman" w:cs="Times New Roman"/>
          <w:lang w:eastAsia="en-GB"/>
        </w:rPr>
        <w:t xml:space="preserve">future </w:t>
      </w:r>
      <w:r w:rsidRPr="00A3235D">
        <w:rPr>
          <w:rFonts w:eastAsia="Times New Roman" w:cs="Times New Roman"/>
          <w:lang w:eastAsia="en-GB"/>
        </w:rPr>
        <w:t>outcomes</w:t>
      </w:r>
      <w:r w:rsidR="003E6494">
        <w:rPr>
          <w:rFonts w:eastAsia="Times New Roman" w:cs="Times New Roman"/>
          <w:lang w:eastAsia="en-GB"/>
        </w:rPr>
        <w:t xml:space="preserve"> including</w:t>
      </w:r>
      <w:r w:rsidRPr="00A3235D">
        <w:rPr>
          <w:rFonts w:eastAsia="Times New Roman" w:cs="Times New Roman"/>
          <w:lang w:eastAsia="en-GB"/>
        </w:rPr>
        <w:t xml:space="preserve"> earnings (e.g. </w:t>
      </w:r>
      <w:r w:rsidR="004F05A2" w:rsidRPr="004F05A2">
        <w:rPr>
          <w:rFonts w:eastAsia="Times New Roman" w:cs="Times New Roman"/>
          <w:noProof/>
          <w:lang w:eastAsia="en-GB"/>
        </w:rPr>
        <w:t>Gregg &amp; Tominey, 2005</w:t>
      </w:r>
      <w:r w:rsidRPr="00A3235D">
        <w:rPr>
          <w:rFonts w:eastAsia="Times New Roman" w:cs="Times New Roman"/>
          <w:lang w:eastAsia="en-GB"/>
        </w:rPr>
        <w:t xml:space="preserve">; </w:t>
      </w:r>
      <w:r w:rsidR="004F05A2" w:rsidRPr="004F05A2">
        <w:rPr>
          <w:rFonts w:eastAsia="Times New Roman" w:cs="Times New Roman"/>
          <w:noProof/>
          <w:lang w:eastAsia="en-GB"/>
        </w:rPr>
        <w:t>Oreopoulos, von Wachter, &amp; Heisz, 2012</w:t>
      </w:r>
      <w:r w:rsidRPr="00A3235D">
        <w:rPr>
          <w:rFonts w:eastAsia="Times New Roman" w:cs="Times New Roman"/>
          <w:lang w:eastAsia="en-GB"/>
        </w:rPr>
        <w:t>), crime</w:t>
      </w:r>
      <w:sdt>
        <w:sdtPr>
          <w:rPr>
            <w:rFonts w:eastAsia="Times New Roman" w:cs="Times New Roman"/>
            <w:lang w:eastAsia="en-GB"/>
          </w:rPr>
          <w:id w:val="-926340557"/>
          <w:citation/>
        </w:sdtPr>
        <w:sdtContent>
          <w:r w:rsidR="000A4140">
            <w:rPr>
              <w:rFonts w:eastAsia="Times New Roman" w:cs="Times New Roman"/>
              <w:lang w:eastAsia="en-GB"/>
            </w:rPr>
            <w:fldChar w:fldCharType="begin"/>
          </w:r>
          <w:r w:rsidR="00C81B1D">
            <w:rPr>
              <w:rFonts w:eastAsia="Times New Roman" w:cs="Times New Roman"/>
              <w:lang w:eastAsia="en-GB"/>
            </w:rPr>
            <w:instrText xml:space="preserve"> CITATION Bel18 \l 2057 </w:instrText>
          </w:r>
          <w:r w:rsidR="000A4140">
            <w:rPr>
              <w:rFonts w:eastAsia="Times New Roman" w:cs="Times New Roman"/>
              <w:lang w:eastAsia="en-GB"/>
            </w:rPr>
            <w:fldChar w:fldCharType="separate"/>
          </w:r>
          <w:r w:rsidR="00C81B1D">
            <w:rPr>
              <w:rFonts w:eastAsia="Times New Roman" w:cs="Times New Roman"/>
              <w:noProof/>
              <w:lang w:eastAsia="en-GB"/>
            </w:rPr>
            <w:t xml:space="preserve"> </w:t>
          </w:r>
          <w:r w:rsidR="00C81B1D" w:rsidRPr="00C81B1D">
            <w:rPr>
              <w:rFonts w:eastAsia="Times New Roman" w:cs="Times New Roman"/>
              <w:noProof/>
              <w:lang w:eastAsia="en-GB"/>
            </w:rPr>
            <w:t>(Bell, Bindler, &amp; Machin, 2018)</w:t>
          </w:r>
          <w:r w:rsidR="000A4140">
            <w:rPr>
              <w:rFonts w:eastAsia="Times New Roman" w:cs="Times New Roman"/>
              <w:lang w:eastAsia="en-GB"/>
            </w:rPr>
            <w:fldChar w:fldCharType="end"/>
          </w:r>
        </w:sdtContent>
      </w:sdt>
      <w:r w:rsidRPr="00A3235D">
        <w:rPr>
          <w:rFonts w:eastAsia="Times New Roman" w:cs="Times New Roman"/>
          <w:lang w:eastAsia="en-GB"/>
        </w:rPr>
        <w:t xml:space="preserve"> and wellbeing </w:t>
      </w:r>
      <w:sdt>
        <w:sdtPr>
          <w:rPr>
            <w:rFonts w:eastAsia="Times New Roman" w:cs="Times New Roman"/>
            <w:lang w:eastAsia="en-GB"/>
          </w:rPr>
          <w:id w:val="-926340556"/>
          <w:citation/>
        </w:sdtPr>
        <w:sdtContent>
          <w:r w:rsidR="000A4140">
            <w:rPr>
              <w:rFonts w:eastAsia="Times New Roman" w:cs="Times New Roman"/>
              <w:lang w:eastAsia="en-GB"/>
            </w:rPr>
            <w:fldChar w:fldCharType="begin"/>
          </w:r>
          <w:r w:rsidR="00C81B1D">
            <w:rPr>
              <w:rFonts w:eastAsia="Times New Roman" w:cs="Times New Roman"/>
              <w:lang w:eastAsia="en-GB"/>
            </w:rPr>
            <w:instrText xml:space="preserve"> CITATION Dal13 \l 2057 </w:instrText>
          </w:r>
          <w:r w:rsidR="000A4140">
            <w:rPr>
              <w:rFonts w:eastAsia="Times New Roman" w:cs="Times New Roman"/>
              <w:lang w:eastAsia="en-GB"/>
            </w:rPr>
            <w:fldChar w:fldCharType="separate"/>
          </w:r>
          <w:r w:rsidR="00C81B1D" w:rsidRPr="00C81B1D">
            <w:rPr>
              <w:rFonts w:eastAsia="Times New Roman" w:cs="Times New Roman"/>
              <w:noProof/>
              <w:lang w:eastAsia="en-GB"/>
            </w:rPr>
            <w:t>(Daly &amp; Delaney, 2013)</w:t>
          </w:r>
          <w:r w:rsidR="000A4140">
            <w:rPr>
              <w:rFonts w:eastAsia="Times New Roman" w:cs="Times New Roman"/>
              <w:lang w:eastAsia="en-GB"/>
            </w:rPr>
            <w:fldChar w:fldCharType="end"/>
          </w:r>
        </w:sdtContent>
      </w:sdt>
      <w:r w:rsidR="00C918B1">
        <w:rPr>
          <w:rFonts w:eastAsia="Times New Roman" w:cs="Times New Roman"/>
          <w:lang w:eastAsia="en-GB"/>
        </w:rPr>
        <w:t>, in addition to the immediate</w:t>
      </w:r>
      <w:r w:rsidR="00373694">
        <w:rPr>
          <w:rFonts w:eastAsia="Times New Roman" w:cs="Times New Roman"/>
          <w:lang w:eastAsia="en-GB"/>
        </w:rPr>
        <w:t xml:space="preserve"> fiscal</w:t>
      </w:r>
      <w:r w:rsidR="00C918B1">
        <w:rPr>
          <w:rFonts w:eastAsia="Times New Roman" w:cs="Times New Roman"/>
          <w:lang w:eastAsia="en-GB"/>
        </w:rPr>
        <w:t xml:space="preserve"> costs arising from reduced tax revenues and increased welfare expenditure.</w:t>
      </w:r>
      <w:r w:rsidR="003048A5">
        <w:rPr>
          <w:rFonts w:eastAsia="Times New Roman" w:cs="Times New Roman"/>
          <w:lang w:eastAsia="en-GB"/>
        </w:rPr>
        <w:t xml:space="preserve"> </w:t>
      </w:r>
    </w:p>
    <w:p w:rsidR="00A3235D" w:rsidRDefault="00A3235D" w:rsidP="00521C98">
      <w:pPr>
        <w:rPr>
          <w:rFonts w:eastAsia="Times New Roman" w:cs="Times New Roman"/>
          <w:lang w:eastAsia="en-GB"/>
        </w:rPr>
      </w:pPr>
    </w:p>
    <w:p w:rsidR="00BD3AFF" w:rsidRDefault="00995710" w:rsidP="00BD3AFF">
      <w:r>
        <w:rPr>
          <w:rFonts w:eastAsia="Times New Roman" w:cs="Times New Roman"/>
          <w:lang w:eastAsia="en-GB"/>
        </w:rPr>
        <w:t xml:space="preserve">Active Labour Market Policies </w:t>
      </w:r>
      <w:r w:rsidR="00C918B1">
        <w:rPr>
          <w:rFonts w:eastAsia="Times New Roman" w:cs="Times New Roman"/>
          <w:lang w:eastAsia="en-GB"/>
        </w:rPr>
        <w:t>(ALMP)</w:t>
      </w:r>
      <w:r w:rsidR="00263C4C">
        <w:rPr>
          <w:rFonts w:eastAsia="Times New Roman" w:cs="Times New Roman"/>
          <w:lang w:eastAsia="en-GB"/>
        </w:rPr>
        <w:t xml:space="preserve"> have formed one of the primary policy responses to this </w:t>
      </w:r>
      <w:r w:rsidR="00084CB9">
        <w:rPr>
          <w:rFonts w:eastAsia="Times New Roman" w:cs="Times New Roman"/>
          <w:lang w:eastAsia="en-GB"/>
        </w:rPr>
        <w:t xml:space="preserve">challenge. Such policies </w:t>
      </w:r>
      <w:r w:rsidR="00AE1709">
        <w:rPr>
          <w:rFonts w:eastAsia="Times New Roman" w:cs="Times New Roman"/>
          <w:lang w:eastAsia="en-GB"/>
        </w:rPr>
        <w:t xml:space="preserve">typically </w:t>
      </w:r>
      <w:r w:rsidR="00BD3AFF">
        <w:rPr>
          <w:rFonts w:eastAsia="Times New Roman" w:cs="Times New Roman"/>
          <w:lang w:eastAsia="en-GB"/>
        </w:rPr>
        <w:t>comprise</w:t>
      </w:r>
      <w:r w:rsidR="00AE1709">
        <w:rPr>
          <w:rFonts w:eastAsia="Times New Roman" w:cs="Times New Roman"/>
          <w:lang w:eastAsia="en-GB"/>
        </w:rPr>
        <w:t xml:space="preserve"> </w:t>
      </w:r>
      <w:r w:rsidR="00BD3AFF">
        <w:rPr>
          <w:rFonts w:eastAsia="Times New Roman" w:cs="Times New Roman"/>
          <w:lang w:eastAsia="en-GB"/>
        </w:rPr>
        <w:t xml:space="preserve">some combination of </w:t>
      </w:r>
      <w:r w:rsidR="003D4641">
        <w:rPr>
          <w:rFonts w:eastAsia="Times New Roman" w:cs="Times New Roman"/>
          <w:lang w:eastAsia="en-GB"/>
        </w:rPr>
        <w:t>labour market training</w:t>
      </w:r>
      <w:r w:rsidR="00BF7E79">
        <w:rPr>
          <w:rFonts w:eastAsia="Times New Roman" w:cs="Times New Roman"/>
          <w:lang w:eastAsia="en-GB"/>
        </w:rPr>
        <w:t xml:space="preserve"> schemes</w:t>
      </w:r>
      <w:r w:rsidR="003D4641">
        <w:rPr>
          <w:rFonts w:eastAsia="Times New Roman" w:cs="Times New Roman"/>
          <w:lang w:eastAsia="en-GB"/>
        </w:rPr>
        <w:t>, job search assistance (</w:t>
      </w:r>
      <w:r w:rsidR="001F6119">
        <w:rPr>
          <w:rFonts w:eastAsia="Times New Roman" w:cs="Times New Roman"/>
          <w:lang w:eastAsia="en-GB"/>
        </w:rPr>
        <w:t>e.g.</w:t>
      </w:r>
      <w:r w:rsidR="003D4641">
        <w:rPr>
          <w:rFonts w:eastAsia="Times New Roman" w:cs="Times New Roman"/>
          <w:lang w:eastAsia="en-GB"/>
        </w:rPr>
        <w:t xml:space="preserve"> </w:t>
      </w:r>
      <w:r w:rsidR="003D4641">
        <w:t>CV workshops), wage subsidies, and public sector work programmes.</w:t>
      </w:r>
      <w:r w:rsidR="00BF7E79">
        <w:t xml:space="preserve"> However, </w:t>
      </w:r>
      <w:r w:rsidR="00A459EF">
        <w:t xml:space="preserve">while </w:t>
      </w:r>
      <w:r w:rsidR="00BF7E79">
        <w:t>ALMP</w:t>
      </w:r>
      <w:r w:rsidR="005B0511">
        <w:t>s</w:t>
      </w:r>
      <w:r w:rsidR="00BF7E79">
        <w:t xml:space="preserve"> now </w:t>
      </w:r>
      <w:r w:rsidR="003D4641">
        <w:t>make up a substantial fraction of public expenditure</w:t>
      </w:r>
      <w:r w:rsidR="00136DAA" w:rsidRPr="00136DAA">
        <w:t xml:space="preserve"> </w:t>
      </w:r>
      <w:r w:rsidR="00136DAA">
        <w:t>for OECD countries</w:t>
      </w:r>
      <w:r w:rsidR="003D4641">
        <w:t xml:space="preserve"> </w:t>
      </w:r>
      <w:sdt>
        <w:sdtPr>
          <w:id w:val="-926340555"/>
          <w:citation/>
        </w:sdtPr>
        <w:sdtContent>
          <w:r w:rsidR="000A4140">
            <w:rPr>
              <w:noProof/>
            </w:rPr>
            <w:fldChar w:fldCharType="begin"/>
          </w:r>
          <w:r w:rsidR="004427DA">
            <w:rPr>
              <w:noProof/>
            </w:rPr>
            <w:instrText xml:space="preserve"> CITATION Cre16 \l 2057 </w:instrText>
          </w:r>
          <w:r w:rsidR="000A4140">
            <w:rPr>
              <w:noProof/>
            </w:rPr>
            <w:fldChar w:fldCharType="separate"/>
          </w:r>
          <w:r w:rsidR="00C81B1D">
            <w:rPr>
              <w:noProof/>
            </w:rPr>
            <w:t>(Crepon &amp; van den Berg, 2016)</w:t>
          </w:r>
          <w:r w:rsidR="000A4140">
            <w:rPr>
              <w:noProof/>
            </w:rPr>
            <w:fldChar w:fldCharType="end"/>
          </w:r>
        </w:sdtContent>
      </w:sdt>
      <w:r w:rsidR="00F65B7E">
        <w:t>,</w:t>
      </w:r>
      <w:r w:rsidR="003D4641">
        <w:t xml:space="preserve"> </w:t>
      </w:r>
      <w:r w:rsidR="00ED5F4E">
        <w:t>evidence on</w:t>
      </w:r>
      <w:r w:rsidR="00A459EF">
        <w:t xml:space="preserve"> their effectiveness </w:t>
      </w:r>
      <w:r w:rsidR="00ED5F4E">
        <w:t>is</w:t>
      </w:r>
      <w:r w:rsidR="003D4641">
        <w:t xml:space="preserve"> mixed.</w:t>
      </w:r>
      <w:r w:rsidR="00743BAD">
        <w:t xml:space="preserve"> </w:t>
      </w:r>
      <w:r w:rsidR="0067536D">
        <w:t xml:space="preserve">Drawing on </w:t>
      </w:r>
      <w:r w:rsidR="00A059BC">
        <w:t xml:space="preserve">their </w:t>
      </w:r>
      <w:r w:rsidR="008B03A7">
        <w:t>meta-</w:t>
      </w:r>
      <w:r w:rsidR="0067536D">
        <w:t>analysis of 207 such studies</w:t>
      </w:r>
      <w:r w:rsidR="00A059BC">
        <w:t xml:space="preserve">, </w:t>
      </w:r>
      <w:r w:rsidR="00C81B1D">
        <w:rPr>
          <w:noProof/>
        </w:rPr>
        <w:t>Card, Kluve, &amp; Weber (2015)</w:t>
      </w:r>
      <w:r w:rsidR="00A059BC">
        <w:t xml:space="preserve"> characterise </w:t>
      </w:r>
      <w:r w:rsidR="00743BAD">
        <w:t xml:space="preserve">job search assistance </w:t>
      </w:r>
      <w:r w:rsidR="00A355D8">
        <w:t xml:space="preserve">and sanction </w:t>
      </w:r>
      <w:r w:rsidR="00743BAD">
        <w:t xml:space="preserve">programmes </w:t>
      </w:r>
      <w:r w:rsidR="00DB6D77">
        <w:t xml:space="preserve">as typically having a relatively large </w:t>
      </w:r>
      <w:r w:rsidR="00743BAD">
        <w:t>short-run impact which fades over time</w:t>
      </w:r>
      <w:r w:rsidR="00BB4EC0">
        <w:t>;</w:t>
      </w:r>
      <w:r w:rsidR="00743BAD">
        <w:t xml:space="preserve"> programmes which seek to raise human capital (e.g. training or wage subsidies) </w:t>
      </w:r>
      <w:r w:rsidR="00BB4EC0">
        <w:t>as having</w:t>
      </w:r>
      <w:r w:rsidR="00743BAD">
        <w:t xml:space="preserve"> small or even negative short-run impacts which become more positive in the medium-</w:t>
      </w:r>
      <w:r w:rsidR="00AD2D47">
        <w:t xml:space="preserve"> </w:t>
      </w:r>
      <w:r w:rsidR="00743BAD">
        <w:t>and long-run</w:t>
      </w:r>
      <w:r w:rsidR="00BB4EC0">
        <w:t>;</w:t>
      </w:r>
      <w:r w:rsidR="00743BAD">
        <w:t xml:space="preserve"> and public sector employment programmes </w:t>
      </w:r>
      <w:r w:rsidR="00BB4EC0">
        <w:t xml:space="preserve">as having </w:t>
      </w:r>
      <w:r w:rsidR="00743BAD">
        <w:t xml:space="preserve">negligible or even negative programme impacts at all time horizons. </w:t>
      </w:r>
      <w:r w:rsidR="00BD3AFF">
        <w:t>ALMP</w:t>
      </w:r>
      <w:r w:rsidR="005B0511">
        <w:t>s</w:t>
      </w:r>
      <w:r w:rsidR="006B1B5B">
        <w:t xml:space="preserve"> also</w:t>
      </w:r>
      <w:r w:rsidR="00743BAD">
        <w:t xml:space="preserve"> </w:t>
      </w:r>
      <w:r w:rsidR="00837BDE">
        <w:t xml:space="preserve">do not seem to </w:t>
      </w:r>
      <w:r w:rsidR="006B1B5B">
        <w:t>work equally well for everyone</w:t>
      </w:r>
      <w:r w:rsidR="00056BD3">
        <w:t xml:space="preserve">. </w:t>
      </w:r>
      <w:r w:rsidR="00624792">
        <w:t xml:space="preserve">They have been found to be least effective </w:t>
      </w:r>
      <w:r w:rsidR="00BD3AFF">
        <w:t>for young</w:t>
      </w:r>
      <w:r w:rsidR="00AF5D51">
        <w:t>er</w:t>
      </w:r>
      <w:r w:rsidR="00BD3AFF">
        <w:t xml:space="preserve"> adults, those from socially disadvantaged backgrounds, and those with very low skills or motivation </w:t>
      </w:r>
      <w:sdt>
        <w:sdtPr>
          <w:id w:val="-926340553"/>
          <w:citation/>
        </w:sdtPr>
        <w:sdtContent>
          <w:r w:rsidR="000A4140">
            <w:rPr>
              <w:noProof/>
            </w:rPr>
            <w:fldChar w:fldCharType="begin"/>
          </w:r>
          <w:r w:rsidR="004427DA">
            <w:rPr>
              <w:noProof/>
            </w:rPr>
            <w:instrText xml:space="preserve"> CITATION Cal16 \l 2057 </w:instrText>
          </w:r>
          <w:r w:rsidR="000A4140">
            <w:rPr>
              <w:noProof/>
            </w:rPr>
            <w:fldChar w:fldCharType="separate"/>
          </w:r>
          <w:r w:rsidR="006F24B2">
            <w:rPr>
              <w:noProof/>
            </w:rPr>
            <w:t>(Caliendo &amp; Schmidl, 2016)</w:t>
          </w:r>
          <w:r w:rsidR="000A4140">
            <w:rPr>
              <w:noProof/>
            </w:rPr>
            <w:fldChar w:fldCharType="end"/>
          </w:r>
        </w:sdtContent>
      </w:sdt>
      <w:r w:rsidR="00676AFB">
        <w:t xml:space="preserve">. </w:t>
      </w:r>
      <w:r w:rsidR="00BD3AFF">
        <w:t>This suggests that new tools and approaches may be needed to help policymakers address the challenge of inactivity</w:t>
      </w:r>
      <w:r w:rsidR="00624792">
        <w:t xml:space="preserve"> among disadvantaged youth</w:t>
      </w:r>
      <w:r w:rsidR="00BD3AFF">
        <w:t xml:space="preserve">.  </w:t>
      </w:r>
    </w:p>
    <w:p w:rsidR="009A39B2" w:rsidRDefault="009A39B2" w:rsidP="00BD3AFF"/>
    <w:p w:rsidR="00837948" w:rsidRDefault="009A39B2" w:rsidP="00962169">
      <w:r>
        <w:t>This study evaluates the effectiveness of a new ALMP</w:t>
      </w:r>
      <w:r w:rsidR="00516D85">
        <w:t xml:space="preserve"> design</w:t>
      </w:r>
      <w:r>
        <w:t xml:space="preserve"> using a randomised controlled trial</w:t>
      </w:r>
      <w:r w:rsidR="00EC46EF">
        <w:t xml:space="preserve"> (RCT)</w:t>
      </w:r>
      <w:r>
        <w:t xml:space="preserve"> approach. This ALMP – called NExTWORK – </w:t>
      </w:r>
      <w:r>
        <w:rPr>
          <w:rFonts w:eastAsia="Times New Roman" w:cs="Times New Roman"/>
          <w:lang w:eastAsia="en-GB"/>
        </w:rPr>
        <w:t xml:space="preserve">seeks to improve economic and educational outcomes for disconnected youth by </w:t>
      </w:r>
      <w:r w:rsidR="00837948">
        <w:rPr>
          <w:rFonts w:eastAsia="Times New Roman" w:cs="Times New Roman"/>
          <w:lang w:eastAsia="en-GB"/>
        </w:rPr>
        <w:t xml:space="preserve">building work experience through </w:t>
      </w:r>
      <w:r w:rsidR="00852846">
        <w:rPr>
          <w:rFonts w:eastAsia="Times New Roman" w:cs="Times New Roman"/>
          <w:lang w:eastAsia="en-GB"/>
        </w:rPr>
        <w:t xml:space="preserve">rotating </w:t>
      </w:r>
      <w:r w:rsidR="00837948">
        <w:t>labour market training</w:t>
      </w:r>
      <w:r w:rsidR="00852846">
        <w:t xml:space="preserve"> hosted by a network of companies. The programme has a strong</w:t>
      </w:r>
      <w:r w:rsidR="00837948">
        <w:t xml:space="preserve"> focus on positive youth development </w:t>
      </w:r>
      <w:r w:rsidR="00852846">
        <w:t xml:space="preserve">activated in highly facilitated peer networks </w:t>
      </w:r>
      <w:r w:rsidR="00837948">
        <w:t xml:space="preserve">and </w:t>
      </w:r>
      <w:r w:rsidR="00852846">
        <w:t>close support to both</w:t>
      </w:r>
      <w:r w:rsidR="00837948">
        <w:t xml:space="preserve"> participating youth and employers.</w:t>
      </w:r>
    </w:p>
    <w:p w:rsidR="00837948" w:rsidRDefault="00837948" w:rsidP="00BD3AFF"/>
    <w:p w:rsidR="00521C98" w:rsidRDefault="00931034" w:rsidP="00521C98">
      <w:pPr>
        <w:rPr>
          <w:rFonts w:eastAsia="Times New Roman" w:cs="Times New Roman"/>
          <w:noProof/>
          <w:lang w:eastAsia="en-GB"/>
        </w:rPr>
      </w:pPr>
      <w:r>
        <w:t xml:space="preserve">The trial is taking place in </w:t>
      </w:r>
      <w:r w:rsidR="00E01EA7">
        <w:t>Denmark</w:t>
      </w:r>
      <w:r w:rsidR="00524AD2">
        <w:t>. This</w:t>
      </w:r>
      <w:r w:rsidR="00E755C2">
        <w:t xml:space="preserve"> is </w:t>
      </w:r>
      <w:r w:rsidR="00E01EA7">
        <w:t>a country</w:t>
      </w:r>
      <w:r w:rsidR="00E755C2">
        <w:t xml:space="preserve"> </w:t>
      </w:r>
      <w:r w:rsidR="00E86BFA">
        <w:t>which</w:t>
      </w:r>
      <w:r w:rsidR="00E755C2">
        <w:t xml:space="preserve"> </w:t>
      </w:r>
      <w:r w:rsidR="0075141B">
        <w:t xml:space="preserve">continues to experience </w:t>
      </w:r>
      <w:r w:rsidR="002850A9">
        <w:t xml:space="preserve">elevated </w:t>
      </w:r>
      <w:r w:rsidR="0075141B">
        <w:t>levels of youth unemployment</w:t>
      </w:r>
      <w:r w:rsidR="00E755C2">
        <w:t xml:space="preserve"> in the aftermath o</w:t>
      </w:r>
      <w:r w:rsidR="00E820AD">
        <w:t>f the</w:t>
      </w:r>
      <w:r w:rsidR="00E86BFA">
        <w:t xml:space="preserve"> 2008</w:t>
      </w:r>
      <w:r w:rsidR="00E755C2">
        <w:t xml:space="preserve"> financial crisis</w:t>
      </w:r>
      <w:r w:rsidR="00292635">
        <w:t xml:space="preserve"> </w:t>
      </w:r>
      <w:r w:rsidR="00E755C2">
        <w:t>at</w:t>
      </w:r>
      <w:r w:rsidR="00292635">
        <w:t xml:space="preserve"> </w:t>
      </w:r>
      <w:r w:rsidR="0075141B">
        <w:t>around double</w:t>
      </w:r>
      <w:r w:rsidR="00984F3A">
        <w:t xml:space="preserve"> the rate of</w:t>
      </w:r>
      <w:r w:rsidR="0075141B">
        <w:t xml:space="preserve"> </w:t>
      </w:r>
      <w:r w:rsidR="00C25948">
        <w:t xml:space="preserve">both </w:t>
      </w:r>
      <w:r w:rsidR="0075141B">
        <w:t>its pre-crisis level and the current rate for the general population</w:t>
      </w:r>
      <w:r w:rsidR="007D342C">
        <w:t>. D</w:t>
      </w:r>
      <w:r w:rsidR="002850A9">
        <w:t xml:space="preserve">espite </w:t>
      </w:r>
      <w:r w:rsidR="002B01B8">
        <w:t>committing substanti</w:t>
      </w:r>
      <w:r w:rsidR="00CB0DDB">
        <w:t>al public resources to ALMP</w:t>
      </w:r>
      <w:r w:rsidR="00984F3A">
        <w:t>s</w:t>
      </w:r>
      <w:r w:rsidR="0024287D">
        <w:t>, education and training</w:t>
      </w:r>
      <w:r w:rsidR="00170921">
        <w:t xml:space="preserve"> programmes</w:t>
      </w:r>
      <w:r w:rsidR="007D342C">
        <w:t xml:space="preserve">, </w:t>
      </w:r>
      <w:r w:rsidR="00E80EF7">
        <w:t xml:space="preserve">around 7-8% of </w:t>
      </w:r>
      <w:r w:rsidR="00E80EF7" w:rsidRPr="00E80EF7">
        <w:t xml:space="preserve">each birth cohort </w:t>
      </w:r>
      <w:r w:rsidR="00C97A00">
        <w:t>progress through their 20s without a</w:t>
      </w:r>
      <w:r w:rsidR="00E80EF7" w:rsidRPr="00E80EF7">
        <w:t xml:space="preserve"> stable labo</w:t>
      </w:r>
      <w:r w:rsidR="003B0B9F">
        <w:t>u</w:t>
      </w:r>
      <w:r w:rsidR="00E80EF7" w:rsidRPr="00E80EF7">
        <w:t xml:space="preserve">r market affiliation or </w:t>
      </w:r>
      <w:r w:rsidR="00775DE6">
        <w:t>post-compulsory education</w:t>
      </w:r>
      <w:r w:rsidR="00C97A00">
        <w:t>.</w:t>
      </w:r>
      <w:r w:rsidR="00137067">
        <w:t xml:space="preserve"> </w:t>
      </w:r>
      <w:r w:rsidR="00252098">
        <w:t>W</w:t>
      </w:r>
      <w:r w:rsidR="007D342C">
        <w:t>hile</w:t>
      </w:r>
      <w:r w:rsidR="00B45FC8">
        <w:t xml:space="preserve"> Denmark’s</w:t>
      </w:r>
      <w:r w:rsidR="007D342C">
        <w:t xml:space="preserve"> extensive </w:t>
      </w:r>
      <w:r w:rsidR="00B45FC8">
        <w:t xml:space="preserve">system of </w:t>
      </w:r>
      <w:r w:rsidR="007D342C">
        <w:t xml:space="preserve">social assistance </w:t>
      </w:r>
      <w:r w:rsidR="00252098">
        <w:t xml:space="preserve">provides </w:t>
      </w:r>
      <w:r w:rsidR="00B45FC8">
        <w:t xml:space="preserve">a </w:t>
      </w:r>
      <w:r w:rsidR="00252098">
        <w:t xml:space="preserve">consumption floor for this group, </w:t>
      </w:r>
      <w:r w:rsidR="006F24B2">
        <w:rPr>
          <w:rFonts w:eastAsia="Times New Roman" w:cs="Times New Roman"/>
          <w:noProof/>
          <w:lang w:eastAsia="en-GB"/>
        </w:rPr>
        <w:t>Landersø &amp; Heckman</w:t>
      </w:r>
      <w:r w:rsidR="006F24B2" w:rsidRPr="006F24B2">
        <w:rPr>
          <w:rFonts w:eastAsia="Times New Roman" w:cs="Times New Roman"/>
          <w:noProof/>
          <w:lang w:eastAsia="en-GB"/>
        </w:rPr>
        <w:t xml:space="preserve"> </w:t>
      </w:r>
      <w:r w:rsidR="006F24B2">
        <w:rPr>
          <w:rFonts w:eastAsia="Times New Roman" w:cs="Times New Roman"/>
          <w:noProof/>
          <w:lang w:eastAsia="en-GB"/>
        </w:rPr>
        <w:t>(</w:t>
      </w:r>
      <w:r w:rsidR="006F24B2" w:rsidRPr="006F24B2">
        <w:rPr>
          <w:rFonts w:eastAsia="Times New Roman" w:cs="Times New Roman"/>
          <w:noProof/>
          <w:lang w:eastAsia="en-GB"/>
        </w:rPr>
        <w:t>2016)</w:t>
      </w:r>
      <w:r w:rsidR="00252098">
        <w:rPr>
          <w:rFonts w:eastAsia="Times New Roman" w:cs="Times New Roman"/>
          <w:lang w:eastAsia="en-GB"/>
        </w:rPr>
        <w:t xml:space="preserve"> have argued that </w:t>
      </w:r>
      <w:r w:rsidR="00B45FC8">
        <w:rPr>
          <w:rFonts w:eastAsia="Times New Roman" w:cs="Times New Roman"/>
          <w:lang w:eastAsia="en-GB"/>
        </w:rPr>
        <w:t xml:space="preserve">it also </w:t>
      </w:r>
      <w:r w:rsidR="005A042B">
        <w:rPr>
          <w:rFonts w:eastAsia="Times New Roman" w:cs="Times New Roman"/>
          <w:lang w:eastAsia="en-GB"/>
        </w:rPr>
        <w:t>weakens</w:t>
      </w:r>
      <w:r w:rsidR="00252098">
        <w:rPr>
          <w:rFonts w:eastAsia="Times New Roman" w:cs="Times New Roman"/>
          <w:lang w:eastAsia="en-GB"/>
        </w:rPr>
        <w:t xml:space="preserve"> incentives to work </w:t>
      </w:r>
      <w:r w:rsidR="00B45FC8">
        <w:rPr>
          <w:rFonts w:eastAsia="Times New Roman" w:cs="Times New Roman"/>
          <w:lang w:eastAsia="en-GB"/>
        </w:rPr>
        <w:t xml:space="preserve">and </w:t>
      </w:r>
      <w:r w:rsidR="00574795">
        <w:rPr>
          <w:rFonts w:eastAsia="Times New Roman" w:cs="Times New Roman"/>
          <w:lang w:eastAsia="en-GB"/>
        </w:rPr>
        <w:t>invest in education</w:t>
      </w:r>
      <w:r w:rsidR="00137067">
        <w:rPr>
          <w:rFonts w:eastAsia="Times New Roman" w:cs="Times New Roman"/>
          <w:lang w:eastAsia="en-GB"/>
        </w:rPr>
        <w:t xml:space="preserve">, potentially </w:t>
      </w:r>
      <w:r w:rsidR="005A042B">
        <w:rPr>
          <w:rFonts w:eastAsia="Times New Roman" w:cs="Times New Roman"/>
          <w:lang w:eastAsia="en-GB"/>
        </w:rPr>
        <w:t xml:space="preserve">reducing the degree of </w:t>
      </w:r>
      <w:r w:rsidR="00813C9D">
        <w:rPr>
          <w:rFonts w:eastAsia="Times New Roman" w:cs="Times New Roman"/>
          <w:lang w:eastAsia="en-GB"/>
        </w:rPr>
        <w:t xml:space="preserve">social </w:t>
      </w:r>
      <w:r w:rsidR="005A042B">
        <w:rPr>
          <w:rFonts w:eastAsia="Times New Roman" w:cs="Times New Roman"/>
          <w:lang w:eastAsia="en-GB"/>
        </w:rPr>
        <w:t>mobility.</w:t>
      </w:r>
      <w:r w:rsidR="002D3EA7">
        <w:rPr>
          <w:rFonts w:eastAsia="Times New Roman" w:cs="Times New Roman"/>
          <w:lang w:eastAsia="en-GB"/>
        </w:rPr>
        <w:t xml:space="preserve"> </w:t>
      </w:r>
      <w:r w:rsidR="006F24B2">
        <w:rPr>
          <w:noProof/>
        </w:rPr>
        <w:t xml:space="preserve">Schultz-Nielsen &amp; Skaksen </w:t>
      </w:r>
      <w:r w:rsidR="006F24B2">
        <w:rPr>
          <w:noProof/>
        </w:rPr>
        <w:lastRenderedPageBreak/>
        <w:t>(2016)</w:t>
      </w:r>
      <w:r w:rsidR="003B0B9F">
        <w:t xml:space="preserve"> estimate that </w:t>
      </w:r>
      <w:r w:rsidR="003B0B9F" w:rsidRPr="003B0B9F">
        <w:t>the financia</w:t>
      </w:r>
      <w:r w:rsidR="007706DA">
        <w:t xml:space="preserve">l benefits of integrating these </w:t>
      </w:r>
      <w:r w:rsidR="003B0B9F">
        <w:t xml:space="preserve">disconnected youth </w:t>
      </w:r>
      <w:r w:rsidR="003B0B9F" w:rsidRPr="003B0B9F">
        <w:t>in</w:t>
      </w:r>
      <w:r w:rsidR="003B0B9F">
        <w:t>to</w:t>
      </w:r>
      <w:r w:rsidR="003B0B9F" w:rsidRPr="003B0B9F">
        <w:t xml:space="preserve"> the labo</w:t>
      </w:r>
      <w:r w:rsidR="007706DA">
        <w:t>u</w:t>
      </w:r>
      <w:r w:rsidR="003B0B9F" w:rsidRPr="003B0B9F">
        <w:t xml:space="preserve">r market </w:t>
      </w:r>
      <w:r w:rsidR="00B85E03">
        <w:t xml:space="preserve">are large: </w:t>
      </w:r>
      <w:r w:rsidR="003B0B9F" w:rsidRPr="003B0B9F">
        <w:t xml:space="preserve">between 12 and 15 billion </w:t>
      </w:r>
      <w:r w:rsidR="003B0B9F">
        <w:t xml:space="preserve">DKK </w:t>
      </w:r>
      <w:r w:rsidR="003B0B9F" w:rsidRPr="003B0B9F">
        <w:t>per year</w:t>
      </w:r>
      <w:r w:rsidR="00B85E03">
        <w:t xml:space="preserve">, </w:t>
      </w:r>
      <w:r w:rsidR="008343BF">
        <w:t xml:space="preserve">around </w:t>
      </w:r>
      <w:r w:rsidR="003B0B9F">
        <w:t>$</w:t>
      </w:r>
      <w:r w:rsidR="008612C4">
        <w:t>2</w:t>
      </w:r>
      <w:r w:rsidR="003B0B9F">
        <w:t xml:space="preserve"> billion at current exchange rates.</w:t>
      </w:r>
      <w:r w:rsidR="00A87BE1">
        <w:t xml:space="preserve"> </w:t>
      </w:r>
    </w:p>
    <w:p w:rsidR="004D43DE" w:rsidRDefault="004D43DE" w:rsidP="000C532B">
      <w:pPr>
        <w:rPr>
          <w:rFonts w:eastAsia="Times New Roman" w:cs="Times New Roman"/>
          <w:lang w:eastAsia="en-GB"/>
        </w:rPr>
      </w:pPr>
    </w:p>
    <w:p w:rsidR="001E5667" w:rsidRDefault="00F0492D" w:rsidP="000C532B">
      <w:pPr>
        <w:rPr>
          <w:rFonts w:eastAsia="Times New Roman" w:cs="Times New Roman"/>
          <w:lang w:eastAsia="en-GB"/>
        </w:rPr>
      </w:pPr>
      <w:r>
        <w:rPr>
          <w:rFonts w:eastAsia="Times New Roman" w:cs="Times New Roman"/>
          <w:lang w:eastAsia="en-GB"/>
        </w:rPr>
        <w:t xml:space="preserve">The support currently provided to </w:t>
      </w:r>
      <w:r w:rsidR="001E5667">
        <w:rPr>
          <w:rFonts w:eastAsia="Times New Roman" w:cs="Times New Roman"/>
          <w:lang w:eastAsia="en-GB"/>
        </w:rPr>
        <w:t>disconnected youth in Denmark by the government</w:t>
      </w:r>
      <w:r w:rsidR="00A6091C">
        <w:rPr>
          <w:lang w:val="en-US"/>
        </w:rPr>
        <w:t xml:space="preserve"> includes CV</w:t>
      </w:r>
      <w:r w:rsidR="00597C2D">
        <w:rPr>
          <w:lang w:val="en-US"/>
        </w:rPr>
        <w:t xml:space="preserve"> </w:t>
      </w:r>
      <w:r w:rsidR="006B43A3">
        <w:rPr>
          <w:lang w:val="en-US"/>
        </w:rPr>
        <w:t>preparation</w:t>
      </w:r>
      <w:r w:rsidR="00A6091C">
        <w:rPr>
          <w:lang w:val="en-US"/>
        </w:rPr>
        <w:t>, life-skills,</w:t>
      </w:r>
      <w:r w:rsidR="006B43A3">
        <w:rPr>
          <w:lang w:val="en-US"/>
        </w:rPr>
        <w:t xml:space="preserve"> </w:t>
      </w:r>
      <w:r w:rsidR="00A6091C">
        <w:rPr>
          <w:lang w:val="en-US"/>
        </w:rPr>
        <w:t>math and literacy courses</w:t>
      </w:r>
      <w:r w:rsidR="006B43A3">
        <w:rPr>
          <w:lang w:val="en-US"/>
        </w:rPr>
        <w:t>,</w:t>
      </w:r>
      <w:r w:rsidR="00A6091C">
        <w:rPr>
          <w:lang w:val="en-US"/>
        </w:rPr>
        <w:t xml:space="preserve"> </w:t>
      </w:r>
      <w:r w:rsidR="00775DE6">
        <w:rPr>
          <w:lang w:val="en-US"/>
        </w:rPr>
        <w:t xml:space="preserve">and </w:t>
      </w:r>
      <w:r w:rsidR="00A6091C">
        <w:rPr>
          <w:lang w:val="en-US"/>
        </w:rPr>
        <w:t xml:space="preserve">company internships. </w:t>
      </w:r>
      <w:r w:rsidR="0075238F">
        <w:rPr>
          <w:lang w:val="en-US"/>
        </w:rPr>
        <w:t>A given youth will be</w:t>
      </w:r>
      <w:r w:rsidR="00A6091C">
        <w:rPr>
          <w:lang w:val="en-US"/>
        </w:rPr>
        <w:t xml:space="preserve"> assigned to </w:t>
      </w:r>
      <w:r w:rsidR="0075238F">
        <w:rPr>
          <w:lang w:val="en-US"/>
        </w:rPr>
        <w:t xml:space="preserve">one or more </w:t>
      </w:r>
      <w:r w:rsidR="00A6091C">
        <w:rPr>
          <w:lang w:val="en-US"/>
        </w:rPr>
        <w:t xml:space="preserve">of these by their municipal case-worker and is obliged to attend them in order to </w:t>
      </w:r>
      <w:r w:rsidR="009D49B0">
        <w:rPr>
          <w:lang w:val="en-US"/>
        </w:rPr>
        <w:t xml:space="preserve">continue receiving </w:t>
      </w:r>
      <w:r w:rsidR="00107DAE">
        <w:rPr>
          <w:lang w:val="en-US"/>
        </w:rPr>
        <w:t>benefit payments</w:t>
      </w:r>
      <w:r w:rsidR="009D49B0">
        <w:rPr>
          <w:lang w:val="en-US"/>
        </w:rPr>
        <w:t xml:space="preserve">. </w:t>
      </w:r>
    </w:p>
    <w:p w:rsidR="001E5667" w:rsidRDefault="001E5667" w:rsidP="000C532B">
      <w:pPr>
        <w:rPr>
          <w:rFonts w:eastAsia="Times New Roman" w:cs="Times New Roman"/>
          <w:lang w:eastAsia="en-GB"/>
        </w:rPr>
      </w:pPr>
    </w:p>
    <w:p w:rsidR="005C0027" w:rsidRPr="00F7290C" w:rsidRDefault="009F1CD4" w:rsidP="000C532B">
      <w:r>
        <w:rPr>
          <w:rFonts w:eastAsia="Times New Roman" w:cs="Times New Roman"/>
          <w:lang w:eastAsia="en-GB"/>
        </w:rPr>
        <w:t xml:space="preserve">NExTWORK </w:t>
      </w:r>
      <w:r w:rsidR="002F49FF">
        <w:rPr>
          <w:rFonts w:eastAsia="Times New Roman" w:cs="Times New Roman"/>
          <w:lang w:eastAsia="en-GB"/>
        </w:rPr>
        <w:t xml:space="preserve">is designed </w:t>
      </w:r>
      <w:r>
        <w:rPr>
          <w:rFonts w:eastAsia="Times New Roman" w:cs="Times New Roman"/>
          <w:lang w:eastAsia="en-GB"/>
        </w:rPr>
        <w:t>to address some of the shortcomings that have been identified in previous ALMP</w:t>
      </w:r>
      <w:r w:rsidR="00A26906">
        <w:rPr>
          <w:rFonts w:eastAsia="Times New Roman" w:cs="Times New Roman"/>
          <w:lang w:eastAsia="en-GB"/>
        </w:rPr>
        <w:t>s</w:t>
      </w:r>
      <w:r>
        <w:rPr>
          <w:rFonts w:eastAsia="Times New Roman" w:cs="Times New Roman"/>
          <w:lang w:eastAsia="en-GB"/>
        </w:rPr>
        <w:t xml:space="preserve"> and within the current Danish system. It</w:t>
      </w:r>
      <w:r w:rsidR="008C0456">
        <w:rPr>
          <w:rFonts w:eastAsia="Times New Roman" w:cs="Times New Roman"/>
          <w:lang w:eastAsia="en-GB"/>
        </w:rPr>
        <w:t xml:space="preserve"> </w:t>
      </w:r>
      <w:r w:rsidR="00AD1230">
        <w:rPr>
          <w:rFonts w:eastAsia="Times New Roman" w:cs="Times New Roman"/>
          <w:lang w:eastAsia="en-GB"/>
        </w:rPr>
        <w:t>aims to</w:t>
      </w:r>
      <w:r>
        <w:rPr>
          <w:rFonts w:eastAsia="Times New Roman" w:cs="Times New Roman"/>
          <w:lang w:eastAsia="en-GB"/>
        </w:rPr>
        <w:t xml:space="preserve"> </w:t>
      </w:r>
      <w:r w:rsidR="00AD1230">
        <w:rPr>
          <w:rFonts w:eastAsia="Times New Roman" w:cs="Times New Roman"/>
          <w:lang w:eastAsia="en-GB"/>
        </w:rPr>
        <w:t>improve</w:t>
      </w:r>
      <w:r>
        <w:rPr>
          <w:rFonts w:eastAsia="Times New Roman" w:cs="Times New Roman"/>
          <w:lang w:eastAsia="en-GB"/>
        </w:rPr>
        <w:t xml:space="preserve"> match quality between companies offering </w:t>
      </w:r>
      <w:r w:rsidR="007246ED">
        <w:rPr>
          <w:rFonts w:eastAsia="Times New Roman" w:cs="Times New Roman"/>
          <w:lang w:eastAsia="en-GB"/>
        </w:rPr>
        <w:t xml:space="preserve">internships </w:t>
      </w:r>
      <w:r w:rsidR="00164635">
        <w:rPr>
          <w:rFonts w:eastAsia="Times New Roman" w:cs="Times New Roman"/>
          <w:lang w:eastAsia="en-GB"/>
        </w:rPr>
        <w:t>and participating youth</w:t>
      </w:r>
      <w:r>
        <w:rPr>
          <w:rFonts w:eastAsia="Times New Roman" w:cs="Times New Roman"/>
          <w:lang w:eastAsia="en-GB"/>
        </w:rPr>
        <w:t xml:space="preserve">, as well </w:t>
      </w:r>
      <w:r w:rsidR="00A26906">
        <w:rPr>
          <w:rFonts w:eastAsia="Times New Roman" w:cs="Times New Roman"/>
          <w:lang w:eastAsia="en-GB"/>
        </w:rPr>
        <w:t xml:space="preserve">to </w:t>
      </w:r>
      <w:r>
        <w:rPr>
          <w:rFonts w:eastAsia="Times New Roman" w:cs="Times New Roman"/>
          <w:lang w:eastAsia="en-GB"/>
        </w:rPr>
        <w:t>recogn</w:t>
      </w:r>
      <w:r w:rsidR="00A26906">
        <w:rPr>
          <w:rFonts w:eastAsia="Times New Roman" w:cs="Times New Roman"/>
          <w:lang w:eastAsia="en-GB"/>
        </w:rPr>
        <w:t>ise and address</w:t>
      </w:r>
      <w:r>
        <w:rPr>
          <w:rFonts w:eastAsia="Times New Roman" w:cs="Times New Roman"/>
          <w:lang w:eastAsia="en-GB"/>
        </w:rPr>
        <w:t xml:space="preserve"> the </w:t>
      </w:r>
      <w:r w:rsidR="00164635">
        <w:rPr>
          <w:rFonts w:eastAsia="Times New Roman" w:cs="Times New Roman"/>
          <w:lang w:eastAsia="en-GB"/>
        </w:rPr>
        <w:t xml:space="preserve">barriers </w:t>
      </w:r>
      <w:r w:rsidR="00A26906">
        <w:rPr>
          <w:rFonts w:eastAsia="Times New Roman" w:cs="Times New Roman"/>
          <w:lang w:eastAsia="en-GB"/>
        </w:rPr>
        <w:t xml:space="preserve">youth face </w:t>
      </w:r>
      <w:r w:rsidR="009B06D3">
        <w:rPr>
          <w:rFonts w:eastAsia="Times New Roman" w:cs="Times New Roman"/>
          <w:lang w:eastAsia="en-GB"/>
        </w:rPr>
        <w:t>in</w:t>
      </w:r>
      <w:r>
        <w:rPr>
          <w:rFonts w:eastAsia="Times New Roman" w:cs="Times New Roman"/>
          <w:lang w:eastAsia="en-GB"/>
        </w:rPr>
        <w:t xml:space="preserve"> productive engagement in education and the labour market.</w:t>
      </w:r>
      <w:r w:rsidR="002149E3">
        <w:t xml:space="preserve"> </w:t>
      </w:r>
      <w:r w:rsidR="006D6D9E">
        <w:t xml:space="preserve">The </w:t>
      </w:r>
      <w:r w:rsidR="00037D4A">
        <w:t>t</w:t>
      </w:r>
      <w:r w:rsidR="00BD3AFF">
        <w:t>wo</w:t>
      </w:r>
      <w:r w:rsidR="006536E4">
        <w:t xml:space="preserve"> </w:t>
      </w:r>
      <w:r w:rsidR="000F1672">
        <w:t>key features</w:t>
      </w:r>
      <w:bookmarkStart w:id="0" w:name="_Hlk495069174"/>
      <w:r w:rsidR="000F1672">
        <w:t xml:space="preserve"> </w:t>
      </w:r>
      <w:r w:rsidR="00107DAE">
        <w:t xml:space="preserve">that distinguish </w:t>
      </w:r>
      <w:r w:rsidR="00016ADD">
        <w:t>NExTWORK</w:t>
      </w:r>
      <w:r w:rsidR="00107DAE">
        <w:t xml:space="preserve"> from the </w:t>
      </w:r>
      <w:r w:rsidR="00236B86">
        <w:t xml:space="preserve">Danish </w:t>
      </w:r>
      <w:r w:rsidR="00107DAE">
        <w:t>government programme</w:t>
      </w:r>
      <w:r w:rsidR="00016ADD">
        <w:t>,</w:t>
      </w:r>
      <w:r w:rsidR="00107DAE">
        <w:t xml:space="preserve"> a</w:t>
      </w:r>
      <w:r w:rsidR="00236B86">
        <w:t>s well as other programmes evaluated in the literature</w:t>
      </w:r>
      <w:r w:rsidR="00107DAE">
        <w:t xml:space="preserve"> </w:t>
      </w:r>
      <w:r w:rsidR="000A674D">
        <w:t>are</w:t>
      </w:r>
      <w:r w:rsidR="007246ED">
        <w:t>:</w:t>
      </w:r>
      <w:r w:rsidR="000A674D">
        <w:t xml:space="preserve"> </w:t>
      </w:r>
      <w:r w:rsidR="0056221A">
        <w:t xml:space="preserve">(1) ‘many-to-many’ matching of youth </w:t>
      </w:r>
      <w:r w:rsidR="008743DB">
        <w:t xml:space="preserve">to </w:t>
      </w:r>
      <w:r w:rsidR="007246ED">
        <w:t xml:space="preserve">internship </w:t>
      </w:r>
      <w:r w:rsidR="008743DB">
        <w:t xml:space="preserve">opportunities </w:t>
      </w:r>
      <w:r w:rsidR="00CA36F7">
        <w:t>through a network of local firms</w:t>
      </w:r>
      <w:r w:rsidR="008743DB">
        <w:t>;</w:t>
      </w:r>
      <w:r w:rsidR="00037D4A">
        <w:t xml:space="preserve"> </w:t>
      </w:r>
      <w:r w:rsidR="003F0678">
        <w:t>and</w:t>
      </w:r>
      <w:r w:rsidR="008743DB">
        <w:t xml:space="preserve"> (2)</w:t>
      </w:r>
      <w:r w:rsidR="003F0678">
        <w:t xml:space="preserve"> a </w:t>
      </w:r>
      <w:r w:rsidR="00363860">
        <w:t xml:space="preserve">youth </w:t>
      </w:r>
      <w:r w:rsidR="00037D4A">
        <w:t>counsellor</w:t>
      </w:r>
      <w:r w:rsidR="009D21F1">
        <w:t xml:space="preserve"> led</w:t>
      </w:r>
      <w:r w:rsidR="00497962">
        <w:t xml:space="preserve"> </w:t>
      </w:r>
      <w:r w:rsidR="007741DA">
        <w:t>peer-support</w:t>
      </w:r>
      <w:r w:rsidR="003F0678">
        <w:t xml:space="preserve"> group</w:t>
      </w:r>
      <w:bookmarkEnd w:id="0"/>
      <w:r w:rsidR="00012EB6">
        <w:t xml:space="preserve"> for the participating youth</w:t>
      </w:r>
      <w:r w:rsidR="00BD3AFF">
        <w:t>.</w:t>
      </w:r>
    </w:p>
    <w:p w:rsidR="00D72C49" w:rsidRDefault="00D72C49" w:rsidP="000C532B">
      <w:pPr>
        <w:rPr>
          <w:rFonts w:eastAsia="Times New Roman" w:cs="Times New Roman"/>
          <w:lang w:eastAsia="en-GB"/>
        </w:rPr>
      </w:pPr>
    </w:p>
    <w:p w:rsidR="00DC34E9" w:rsidRDefault="007246ED" w:rsidP="000C532B">
      <w:pPr>
        <w:rPr>
          <w:rFonts w:eastAsia="Times New Roman" w:cs="Times New Roman"/>
          <w:lang w:eastAsia="en-GB"/>
        </w:rPr>
      </w:pPr>
      <w:r>
        <w:rPr>
          <w:rFonts w:eastAsia="Times New Roman" w:cs="Times New Roman"/>
          <w:lang w:eastAsia="en-GB"/>
        </w:rPr>
        <w:t xml:space="preserve">Internships </w:t>
      </w:r>
      <w:r w:rsidR="00F35D5D">
        <w:rPr>
          <w:rFonts w:eastAsia="Times New Roman" w:cs="Times New Roman"/>
          <w:lang w:eastAsia="en-GB"/>
        </w:rPr>
        <w:t>and work placements with</w:t>
      </w:r>
      <w:r w:rsidR="00882E6A">
        <w:rPr>
          <w:rFonts w:eastAsia="Times New Roman" w:cs="Times New Roman"/>
          <w:lang w:eastAsia="en-GB"/>
        </w:rPr>
        <w:t xml:space="preserve"> </w:t>
      </w:r>
      <w:r w:rsidR="00F35D5D">
        <w:rPr>
          <w:rFonts w:eastAsia="Times New Roman" w:cs="Times New Roman"/>
          <w:lang w:eastAsia="en-GB"/>
        </w:rPr>
        <w:t>private sector compan</w:t>
      </w:r>
      <w:r w:rsidR="00882E6A">
        <w:rPr>
          <w:rFonts w:eastAsia="Times New Roman" w:cs="Times New Roman"/>
          <w:lang w:eastAsia="en-GB"/>
        </w:rPr>
        <w:t xml:space="preserve">ies have been found to </w:t>
      </w:r>
      <w:r w:rsidR="0086046F">
        <w:rPr>
          <w:rFonts w:eastAsia="Times New Roman" w:cs="Times New Roman"/>
          <w:lang w:eastAsia="en-GB"/>
        </w:rPr>
        <w:t>have positive effects on employment prospects of young people</w:t>
      </w:r>
      <w:r w:rsidR="00F35D5D">
        <w:rPr>
          <w:rFonts w:eastAsia="Times New Roman" w:cs="Times New Roman"/>
          <w:lang w:eastAsia="en-GB"/>
        </w:rPr>
        <w:t xml:space="preserve"> </w:t>
      </w:r>
      <w:sdt>
        <w:sdtPr>
          <w:rPr>
            <w:rFonts w:eastAsia="Times New Roman" w:cs="Times New Roman"/>
            <w:lang w:eastAsia="en-GB"/>
          </w:rPr>
          <w:id w:val="-926340550"/>
          <w:citation/>
        </w:sdtPr>
        <w:sdtContent>
          <w:r w:rsidR="000A4140">
            <w:rPr>
              <w:rFonts w:eastAsia="Times New Roman" w:cs="Times New Roman"/>
              <w:lang w:eastAsia="en-GB"/>
            </w:rPr>
            <w:fldChar w:fldCharType="begin"/>
          </w:r>
          <w:r w:rsidR="00011F51">
            <w:rPr>
              <w:rFonts w:eastAsia="Times New Roman" w:cs="Times New Roman"/>
              <w:lang w:eastAsia="en-GB"/>
            </w:rPr>
            <w:instrText xml:space="preserve"> CITATION Car15 \l 2057 </w:instrText>
          </w:r>
          <w:r w:rsidR="000A4140">
            <w:rPr>
              <w:rFonts w:eastAsia="Times New Roman" w:cs="Times New Roman"/>
              <w:lang w:eastAsia="en-GB"/>
            </w:rPr>
            <w:fldChar w:fldCharType="separate"/>
          </w:r>
          <w:r w:rsidR="00011F51" w:rsidRPr="00011F51">
            <w:rPr>
              <w:rFonts w:eastAsia="Times New Roman" w:cs="Times New Roman"/>
              <w:noProof/>
              <w:lang w:eastAsia="en-GB"/>
            </w:rPr>
            <w:t>(Card, Kluve, &amp; Weber, 2015)</w:t>
          </w:r>
          <w:r w:rsidR="000A4140">
            <w:rPr>
              <w:rFonts w:eastAsia="Times New Roman" w:cs="Times New Roman"/>
              <w:lang w:eastAsia="en-GB"/>
            </w:rPr>
            <w:fldChar w:fldCharType="end"/>
          </w:r>
        </w:sdtContent>
      </w:sdt>
      <w:r w:rsidR="0086046F">
        <w:rPr>
          <w:rFonts w:eastAsia="Times New Roman" w:cs="Times New Roman"/>
          <w:lang w:eastAsia="en-GB"/>
        </w:rPr>
        <w:t xml:space="preserve">. </w:t>
      </w:r>
      <w:r w:rsidR="008648EB">
        <w:rPr>
          <w:rFonts w:eastAsia="Times New Roman" w:cs="Times New Roman"/>
          <w:lang w:eastAsia="en-GB"/>
        </w:rPr>
        <w:t>The</w:t>
      </w:r>
      <w:r w:rsidR="00091E52">
        <w:rPr>
          <w:rFonts w:eastAsia="Times New Roman" w:cs="Times New Roman"/>
          <w:lang w:eastAsia="en-GB"/>
        </w:rPr>
        <w:t xml:space="preserve"> </w:t>
      </w:r>
      <w:r>
        <w:rPr>
          <w:rFonts w:eastAsia="Times New Roman" w:cs="Times New Roman"/>
          <w:lang w:eastAsia="en-GB"/>
        </w:rPr>
        <w:t>internship</w:t>
      </w:r>
      <w:r w:rsidR="00091E52">
        <w:rPr>
          <w:rFonts w:eastAsia="Times New Roman" w:cs="Times New Roman"/>
          <w:lang w:eastAsia="en-GB"/>
        </w:rPr>
        <w:t xml:space="preserve"> </w:t>
      </w:r>
      <w:r w:rsidR="0086046F">
        <w:rPr>
          <w:rFonts w:eastAsia="Times New Roman" w:cs="Times New Roman"/>
          <w:lang w:eastAsia="en-GB"/>
        </w:rPr>
        <w:t>component of NExTWORK</w:t>
      </w:r>
      <w:r w:rsidR="005274E8">
        <w:rPr>
          <w:rFonts w:eastAsia="Times New Roman" w:cs="Times New Roman"/>
          <w:lang w:eastAsia="en-GB"/>
        </w:rPr>
        <w:t xml:space="preserve"> </w:t>
      </w:r>
      <w:r w:rsidR="00F34665">
        <w:rPr>
          <w:rFonts w:eastAsia="Times New Roman" w:cs="Times New Roman"/>
          <w:lang w:eastAsia="en-GB"/>
        </w:rPr>
        <w:t>builds on</w:t>
      </w:r>
      <w:r w:rsidR="003A146E">
        <w:rPr>
          <w:rFonts w:eastAsia="Times New Roman" w:cs="Times New Roman"/>
          <w:lang w:eastAsia="en-GB"/>
        </w:rPr>
        <w:t xml:space="preserve"> </w:t>
      </w:r>
      <w:r w:rsidR="0086046F">
        <w:rPr>
          <w:rFonts w:eastAsia="Times New Roman" w:cs="Times New Roman"/>
          <w:lang w:eastAsia="en-GB"/>
        </w:rPr>
        <w:t xml:space="preserve">this </w:t>
      </w:r>
      <w:r w:rsidR="003A146E">
        <w:rPr>
          <w:rFonts w:eastAsia="Times New Roman" w:cs="Times New Roman"/>
          <w:lang w:eastAsia="en-GB"/>
        </w:rPr>
        <w:t>feature of traditional ALMP</w:t>
      </w:r>
      <w:r w:rsidR="00821C0F">
        <w:rPr>
          <w:rFonts w:eastAsia="Times New Roman" w:cs="Times New Roman"/>
          <w:lang w:eastAsia="en-GB"/>
        </w:rPr>
        <w:t>s</w:t>
      </w:r>
      <w:r w:rsidR="00E8147C">
        <w:rPr>
          <w:rFonts w:eastAsia="Times New Roman" w:cs="Times New Roman"/>
          <w:lang w:eastAsia="en-GB"/>
        </w:rPr>
        <w:t>.</w:t>
      </w:r>
      <w:r w:rsidR="00755CDE">
        <w:rPr>
          <w:rFonts w:eastAsia="Times New Roman" w:cs="Times New Roman"/>
          <w:lang w:eastAsia="en-GB"/>
        </w:rPr>
        <w:t xml:space="preserve"> </w:t>
      </w:r>
      <w:r w:rsidR="000B6475">
        <w:rPr>
          <w:rFonts w:eastAsia="Times New Roman" w:cs="Times New Roman"/>
          <w:lang w:eastAsia="en-GB"/>
        </w:rPr>
        <w:t>While w</w:t>
      </w:r>
      <w:r w:rsidR="004D2089">
        <w:rPr>
          <w:rFonts w:eastAsia="Times New Roman" w:cs="Times New Roman"/>
          <w:lang w:eastAsia="en-GB"/>
        </w:rPr>
        <w:t>ithin the Danish government system,</w:t>
      </w:r>
      <w:r w:rsidR="003B3C1E">
        <w:rPr>
          <w:rFonts w:eastAsia="Times New Roman" w:cs="Times New Roman"/>
          <w:lang w:eastAsia="en-GB"/>
        </w:rPr>
        <w:t xml:space="preserve"> youth </w:t>
      </w:r>
      <w:r w:rsidR="00751478">
        <w:rPr>
          <w:rFonts w:eastAsia="Times New Roman" w:cs="Times New Roman"/>
          <w:lang w:eastAsia="en-GB"/>
        </w:rPr>
        <w:t xml:space="preserve">are </w:t>
      </w:r>
      <w:r w:rsidR="003B3C1E">
        <w:rPr>
          <w:rFonts w:eastAsia="Times New Roman" w:cs="Times New Roman"/>
          <w:lang w:eastAsia="en-GB"/>
        </w:rPr>
        <w:t>typically</w:t>
      </w:r>
      <w:r w:rsidR="00A24831">
        <w:rPr>
          <w:rFonts w:eastAsia="Times New Roman" w:cs="Times New Roman"/>
          <w:lang w:eastAsia="en-GB"/>
        </w:rPr>
        <w:t xml:space="preserve"> placed with firms by a </w:t>
      </w:r>
      <w:r w:rsidR="00A20A52">
        <w:rPr>
          <w:rFonts w:eastAsia="Times New Roman" w:cs="Times New Roman"/>
          <w:lang w:eastAsia="en-GB"/>
        </w:rPr>
        <w:t>municipal case-worker</w:t>
      </w:r>
      <w:r w:rsidR="00755CDE">
        <w:rPr>
          <w:rFonts w:eastAsia="Times New Roman" w:cs="Times New Roman"/>
          <w:lang w:eastAsia="en-GB"/>
        </w:rPr>
        <w:t xml:space="preserve">, </w:t>
      </w:r>
      <w:r w:rsidR="00501853">
        <w:rPr>
          <w:rFonts w:eastAsia="Times New Roman" w:cs="Times New Roman"/>
          <w:lang w:eastAsia="en-GB"/>
        </w:rPr>
        <w:t xml:space="preserve">in </w:t>
      </w:r>
      <w:r w:rsidR="00755CDE">
        <w:rPr>
          <w:rFonts w:eastAsia="Times New Roman" w:cs="Times New Roman"/>
          <w:lang w:eastAsia="en-GB"/>
        </w:rPr>
        <w:t xml:space="preserve">NExTWORK, </w:t>
      </w:r>
      <w:r w:rsidR="00A24831">
        <w:rPr>
          <w:rFonts w:eastAsia="Times New Roman" w:cs="Times New Roman"/>
          <w:lang w:eastAsia="en-GB"/>
        </w:rPr>
        <w:t xml:space="preserve">young adults </w:t>
      </w:r>
      <w:r w:rsidR="006023A1">
        <w:rPr>
          <w:rFonts w:eastAsia="Times New Roman" w:cs="Times New Roman"/>
          <w:lang w:eastAsia="en-GB"/>
        </w:rPr>
        <w:t xml:space="preserve">seeking </w:t>
      </w:r>
      <w:r w:rsidR="009B14D2">
        <w:rPr>
          <w:rFonts w:eastAsia="Times New Roman" w:cs="Times New Roman"/>
          <w:lang w:eastAsia="en-GB"/>
        </w:rPr>
        <w:t xml:space="preserve">work </w:t>
      </w:r>
      <w:r w:rsidR="006023A1">
        <w:rPr>
          <w:rFonts w:eastAsia="Times New Roman" w:cs="Times New Roman"/>
          <w:lang w:eastAsia="en-GB"/>
        </w:rPr>
        <w:t>placement</w:t>
      </w:r>
      <w:r w:rsidR="00517C0D">
        <w:rPr>
          <w:rFonts w:eastAsia="Times New Roman" w:cs="Times New Roman"/>
          <w:lang w:eastAsia="en-GB"/>
        </w:rPr>
        <w:t>s</w:t>
      </w:r>
      <w:r w:rsidR="009B14D2">
        <w:rPr>
          <w:rFonts w:eastAsia="Times New Roman" w:cs="Times New Roman"/>
          <w:lang w:eastAsia="en-GB"/>
        </w:rPr>
        <w:t xml:space="preserve"> are </w:t>
      </w:r>
      <w:r w:rsidR="007A3D1F">
        <w:rPr>
          <w:rFonts w:eastAsia="Times New Roman" w:cs="Times New Roman"/>
          <w:lang w:eastAsia="en-GB"/>
        </w:rPr>
        <w:t xml:space="preserve">brought together with </w:t>
      </w:r>
      <w:r w:rsidR="009B14D2">
        <w:rPr>
          <w:rFonts w:eastAsia="Times New Roman" w:cs="Times New Roman"/>
          <w:lang w:eastAsia="en-GB"/>
        </w:rPr>
        <w:t>a network of companies offer</w:t>
      </w:r>
      <w:r w:rsidR="00A24831">
        <w:rPr>
          <w:rFonts w:eastAsia="Times New Roman" w:cs="Times New Roman"/>
          <w:lang w:eastAsia="en-GB"/>
        </w:rPr>
        <w:t xml:space="preserve">ing placements. This </w:t>
      </w:r>
      <w:r w:rsidR="00741737">
        <w:rPr>
          <w:rFonts w:eastAsia="Times New Roman" w:cs="Times New Roman"/>
          <w:lang w:eastAsia="en-GB"/>
        </w:rPr>
        <w:t xml:space="preserve">‘many-to-many’ approach </w:t>
      </w:r>
      <w:r w:rsidR="00A24831">
        <w:rPr>
          <w:rFonts w:eastAsia="Times New Roman" w:cs="Times New Roman"/>
          <w:lang w:eastAsia="en-GB"/>
        </w:rPr>
        <w:t xml:space="preserve">gives the youth an </w:t>
      </w:r>
      <w:r w:rsidR="00DA1D6B">
        <w:rPr>
          <w:rFonts w:eastAsia="Times New Roman" w:cs="Times New Roman"/>
          <w:lang w:eastAsia="en-GB"/>
        </w:rPr>
        <w:t xml:space="preserve">opportunity to </w:t>
      </w:r>
      <w:r w:rsidR="00640D1A">
        <w:rPr>
          <w:rFonts w:eastAsia="Times New Roman" w:cs="Times New Roman"/>
          <w:lang w:eastAsia="en-GB"/>
        </w:rPr>
        <w:t xml:space="preserve">meet, choose and </w:t>
      </w:r>
      <w:r w:rsidR="00DA1D6B">
        <w:rPr>
          <w:rFonts w:eastAsia="Times New Roman" w:cs="Times New Roman"/>
          <w:lang w:eastAsia="en-GB"/>
        </w:rPr>
        <w:t>rotate among companies</w:t>
      </w:r>
      <w:r w:rsidR="00640D1A">
        <w:rPr>
          <w:rFonts w:eastAsia="Times New Roman" w:cs="Times New Roman"/>
          <w:lang w:eastAsia="en-GB"/>
        </w:rPr>
        <w:t xml:space="preserve"> in the network</w:t>
      </w:r>
      <w:r w:rsidR="00A24831">
        <w:rPr>
          <w:rFonts w:eastAsia="Times New Roman" w:cs="Times New Roman"/>
          <w:lang w:eastAsia="en-GB"/>
        </w:rPr>
        <w:t>,</w:t>
      </w:r>
      <w:r w:rsidR="00DA1D6B">
        <w:rPr>
          <w:rFonts w:eastAsia="Times New Roman" w:cs="Times New Roman"/>
          <w:lang w:eastAsia="en-GB"/>
        </w:rPr>
        <w:t xml:space="preserve"> </w:t>
      </w:r>
      <w:r w:rsidR="005B1399">
        <w:rPr>
          <w:rFonts w:eastAsia="Times New Roman" w:cs="Times New Roman"/>
          <w:lang w:eastAsia="en-GB"/>
        </w:rPr>
        <w:t xml:space="preserve">and </w:t>
      </w:r>
      <w:r w:rsidR="00A24831">
        <w:rPr>
          <w:rFonts w:eastAsia="Times New Roman" w:cs="Times New Roman"/>
          <w:lang w:eastAsia="en-GB"/>
        </w:rPr>
        <w:t>provid</w:t>
      </w:r>
      <w:r w:rsidR="001A09F4">
        <w:rPr>
          <w:rFonts w:eastAsia="Times New Roman" w:cs="Times New Roman"/>
          <w:lang w:eastAsia="en-GB"/>
        </w:rPr>
        <w:t>es</w:t>
      </w:r>
      <w:r w:rsidR="00A24831">
        <w:rPr>
          <w:rFonts w:eastAsia="Times New Roman" w:cs="Times New Roman"/>
          <w:lang w:eastAsia="en-GB"/>
        </w:rPr>
        <w:t xml:space="preserve"> </w:t>
      </w:r>
      <w:r w:rsidR="00DA1D6B">
        <w:rPr>
          <w:rFonts w:eastAsia="Times New Roman" w:cs="Times New Roman"/>
          <w:lang w:eastAsia="en-GB"/>
        </w:rPr>
        <w:t>both</w:t>
      </w:r>
      <w:r w:rsidR="00501853">
        <w:rPr>
          <w:rFonts w:eastAsia="Times New Roman" w:cs="Times New Roman"/>
          <w:lang w:eastAsia="en-GB"/>
        </w:rPr>
        <w:t xml:space="preserve"> </w:t>
      </w:r>
      <w:r w:rsidR="00A24831">
        <w:rPr>
          <w:rFonts w:eastAsia="Times New Roman" w:cs="Times New Roman"/>
          <w:lang w:eastAsia="en-GB"/>
        </w:rPr>
        <w:t xml:space="preserve">youth and companies </w:t>
      </w:r>
      <w:r w:rsidR="00640D1A">
        <w:rPr>
          <w:rFonts w:eastAsia="Times New Roman" w:cs="Times New Roman"/>
          <w:lang w:eastAsia="en-GB"/>
        </w:rPr>
        <w:t xml:space="preserve">with </w:t>
      </w:r>
      <w:r w:rsidR="00501853">
        <w:rPr>
          <w:rFonts w:eastAsia="Times New Roman" w:cs="Times New Roman"/>
          <w:lang w:eastAsia="en-GB"/>
        </w:rPr>
        <w:t>a setting in whi</w:t>
      </w:r>
      <w:r w:rsidR="00821C0F">
        <w:rPr>
          <w:rFonts w:eastAsia="Times New Roman" w:cs="Times New Roman"/>
          <w:lang w:eastAsia="en-GB"/>
        </w:rPr>
        <w:t>ch there may be potential to form</w:t>
      </w:r>
      <w:r w:rsidR="00501853">
        <w:rPr>
          <w:rFonts w:eastAsia="Times New Roman" w:cs="Times New Roman"/>
          <w:lang w:eastAsia="en-GB"/>
        </w:rPr>
        <w:t xml:space="preserve"> </w:t>
      </w:r>
      <w:r w:rsidR="00821C0F">
        <w:rPr>
          <w:rFonts w:eastAsia="Times New Roman" w:cs="Times New Roman"/>
          <w:lang w:eastAsia="en-GB"/>
        </w:rPr>
        <w:t>better</w:t>
      </w:r>
      <w:r w:rsidR="00BD3AFF">
        <w:rPr>
          <w:rFonts w:eastAsia="Times New Roman" w:cs="Times New Roman"/>
          <w:lang w:eastAsia="en-GB"/>
        </w:rPr>
        <w:t xml:space="preserve"> matches. </w:t>
      </w:r>
      <w:r w:rsidR="009D5A8F">
        <w:rPr>
          <w:rFonts w:eastAsia="Times New Roman" w:cs="Times New Roman"/>
          <w:lang w:eastAsia="en-GB"/>
        </w:rPr>
        <w:t xml:space="preserve">Members of the </w:t>
      </w:r>
      <w:r w:rsidR="00501853">
        <w:rPr>
          <w:rFonts w:eastAsia="Times New Roman" w:cs="Times New Roman"/>
          <w:lang w:eastAsia="en-GB"/>
        </w:rPr>
        <w:t>company network</w:t>
      </w:r>
      <w:r w:rsidR="00741737">
        <w:rPr>
          <w:rFonts w:eastAsia="Times New Roman" w:cs="Times New Roman"/>
          <w:lang w:eastAsia="en-GB"/>
        </w:rPr>
        <w:t xml:space="preserve"> </w:t>
      </w:r>
      <w:r w:rsidR="009D5A8F">
        <w:rPr>
          <w:rFonts w:eastAsia="Times New Roman" w:cs="Times New Roman"/>
          <w:lang w:eastAsia="en-GB"/>
        </w:rPr>
        <w:t>are</w:t>
      </w:r>
      <w:r>
        <w:rPr>
          <w:rFonts w:eastAsia="Times New Roman" w:cs="Times New Roman"/>
          <w:lang w:eastAsia="en-GB"/>
        </w:rPr>
        <w:t xml:space="preserve"> in regular contact with</w:t>
      </w:r>
      <w:r w:rsidR="00741737">
        <w:rPr>
          <w:rFonts w:eastAsia="Times New Roman" w:cs="Times New Roman"/>
          <w:lang w:eastAsia="en-GB"/>
        </w:rPr>
        <w:t xml:space="preserve"> </w:t>
      </w:r>
      <w:r w:rsidR="00C344E0">
        <w:rPr>
          <w:rFonts w:eastAsia="Times New Roman" w:cs="Times New Roman"/>
          <w:lang w:eastAsia="en-GB"/>
        </w:rPr>
        <w:t>a company coordinator and the youth counsellors</w:t>
      </w:r>
      <w:r>
        <w:rPr>
          <w:rFonts w:eastAsia="Times New Roman" w:cs="Times New Roman"/>
          <w:lang w:eastAsia="en-GB"/>
        </w:rPr>
        <w:t>,</w:t>
      </w:r>
      <w:r w:rsidR="00501853">
        <w:rPr>
          <w:rFonts w:eastAsia="Times New Roman" w:cs="Times New Roman"/>
          <w:lang w:eastAsia="en-GB"/>
        </w:rPr>
        <w:t xml:space="preserve"> </w:t>
      </w:r>
      <w:r>
        <w:rPr>
          <w:rFonts w:eastAsia="Times New Roman" w:cs="Times New Roman"/>
          <w:lang w:eastAsia="en-GB"/>
        </w:rPr>
        <w:t>and support is available on an</w:t>
      </w:r>
      <w:r w:rsidR="00741737">
        <w:rPr>
          <w:rFonts w:eastAsia="Times New Roman" w:cs="Times New Roman"/>
          <w:lang w:eastAsia="en-GB"/>
        </w:rPr>
        <w:t xml:space="preserve"> on-demand basis. The network </w:t>
      </w:r>
      <w:r w:rsidR="00501853">
        <w:rPr>
          <w:rFonts w:eastAsia="Times New Roman" w:cs="Times New Roman"/>
          <w:lang w:eastAsia="en-GB"/>
        </w:rPr>
        <w:t xml:space="preserve">also provides opportunities for managers to meet counterparts in other firms and to </w:t>
      </w:r>
      <w:r w:rsidR="00CD4711">
        <w:rPr>
          <w:rFonts w:eastAsia="Times New Roman" w:cs="Times New Roman"/>
          <w:lang w:eastAsia="en-GB"/>
        </w:rPr>
        <w:t xml:space="preserve">share tips on how they develop the right conditions for </w:t>
      </w:r>
      <w:r w:rsidR="001A09F4">
        <w:rPr>
          <w:rFonts w:eastAsia="Times New Roman" w:cs="Times New Roman"/>
          <w:lang w:eastAsia="en-GB"/>
        </w:rPr>
        <w:t>productive internships</w:t>
      </w:r>
      <w:r w:rsidR="00501853">
        <w:rPr>
          <w:rFonts w:eastAsia="Times New Roman" w:cs="Times New Roman"/>
          <w:lang w:eastAsia="en-GB"/>
        </w:rPr>
        <w:t>.</w:t>
      </w:r>
    </w:p>
    <w:p w:rsidR="007A0E89" w:rsidRDefault="007A0E89" w:rsidP="000C532B">
      <w:pPr>
        <w:rPr>
          <w:rFonts w:eastAsia="Times New Roman" w:cs="Times New Roman"/>
          <w:lang w:eastAsia="en-GB"/>
        </w:rPr>
      </w:pPr>
    </w:p>
    <w:p w:rsidR="00787C50" w:rsidRDefault="00CC07FA" w:rsidP="000C532B">
      <w:pPr>
        <w:rPr>
          <w:rFonts w:eastAsia="Times New Roman" w:cs="Times New Roman"/>
          <w:lang w:eastAsia="en-GB"/>
        </w:rPr>
      </w:pPr>
      <w:r w:rsidRPr="00A20655">
        <w:rPr>
          <w:rFonts w:eastAsia="Times New Roman" w:cs="Times New Roman"/>
          <w:lang w:eastAsia="en-GB"/>
        </w:rPr>
        <w:t>The second key</w:t>
      </w:r>
      <w:r w:rsidR="00750AAA" w:rsidRPr="00A20655">
        <w:rPr>
          <w:rFonts w:eastAsia="Times New Roman" w:cs="Times New Roman"/>
          <w:lang w:eastAsia="en-GB"/>
        </w:rPr>
        <w:t xml:space="preserve"> </w:t>
      </w:r>
      <w:r w:rsidR="001B31B4" w:rsidRPr="00A20655">
        <w:rPr>
          <w:rFonts w:eastAsia="Times New Roman" w:cs="Times New Roman"/>
          <w:lang w:eastAsia="en-GB"/>
        </w:rPr>
        <w:t xml:space="preserve">component </w:t>
      </w:r>
      <w:r w:rsidR="00750AAA" w:rsidRPr="00A20655">
        <w:rPr>
          <w:rFonts w:eastAsia="Times New Roman" w:cs="Times New Roman"/>
          <w:lang w:eastAsia="en-GB"/>
        </w:rPr>
        <w:t xml:space="preserve">of NExTWORK </w:t>
      </w:r>
      <w:r w:rsidRPr="00A20655">
        <w:rPr>
          <w:rFonts w:eastAsia="Times New Roman" w:cs="Times New Roman"/>
          <w:lang w:eastAsia="en-GB"/>
        </w:rPr>
        <w:t xml:space="preserve">is </w:t>
      </w:r>
      <w:r w:rsidR="007741DA">
        <w:rPr>
          <w:rFonts w:eastAsia="Times New Roman" w:cs="Times New Roman"/>
          <w:lang w:eastAsia="en-GB"/>
        </w:rPr>
        <w:t>peer-support</w:t>
      </w:r>
      <w:r w:rsidR="00895846" w:rsidRPr="00A20655">
        <w:rPr>
          <w:rFonts w:eastAsia="Times New Roman" w:cs="Times New Roman"/>
          <w:lang w:eastAsia="en-GB"/>
        </w:rPr>
        <w:t xml:space="preserve"> network</w:t>
      </w:r>
      <w:r w:rsidR="007F4067" w:rsidRPr="00A20655">
        <w:rPr>
          <w:rFonts w:eastAsia="Times New Roman" w:cs="Times New Roman"/>
          <w:lang w:eastAsia="en-GB"/>
        </w:rPr>
        <w:t>s</w:t>
      </w:r>
      <w:r w:rsidR="00750AAA" w:rsidRPr="00A20655">
        <w:rPr>
          <w:rFonts w:eastAsia="Times New Roman" w:cs="Times New Roman"/>
          <w:lang w:eastAsia="en-GB"/>
        </w:rPr>
        <w:t>.</w:t>
      </w:r>
      <w:r w:rsidR="00DC34E9" w:rsidRPr="00A20655">
        <w:rPr>
          <w:rFonts w:eastAsia="Times New Roman" w:cs="Times New Roman"/>
          <w:lang w:eastAsia="en-GB"/>
        </w:rPr>
        <w:t xml:space="preserve"> </w:t>
      </w:r>
      <w:r w:rsidR="007420BF" w:rsidRPr="00A20655">
        <w:rPr>
          <w:rFonts w:eastAsia="Times New Roman" w:cs="Times New Roman"/>
          <w:lang w:eastAsia="en-GB"/>
        </w:rPr>
        <w:t>Participating youth attend</w:t>
      </w:r>
      <w:r w:rsidR="00787C50">
        <w:rPr>
          <w:rFonts w:eastAsia="Times New Roman" w:cs="Times New Roman"/>
          <w:lang w:eastAsia="en-GB"/>
        </w:rPr>
        <w:t xml:space="preserve"> weekly</w:t>
      </w:r>
      <w:r w:rsidR="007420BF" w:rsidRPr="00A20655">
        <w:rPr>
          <w:rFonts w:eastAsia="Times New Roman" w:cs="Times New Roman"/>
          <w:lang w:eastAsia="en-GB"/>
        </w:rPr>
        <w:t xml:space="preserve"> counsellor-led </w:t>
      </w:r>
      <w:r w:rsidR="00581F9F">
        <w:rPr>
          <w:rFonts w:eastAsia="Times New Roman" w:cs="Times New Roman"/>
          <w:lang w:eastAsia="en-GB"/>
        </w:rPr>
        <w:t xml:space="preserve">group </w:t>
      </w:r>
      <w:r w:rsidR="007420BF" w:rsidRPr="00A20655">
        <w:rPr>
          <w:rFonts w:eastAsia="Times New Roman" w:cs="Times New Roman"/>
          <w:lang w:eastAsia="en-GB"/>
        </w:rPr>
        <w:t xml:space="preserve">meetings where </w:t>
      </w:r>
      <w:r w:rsidR="00B22829">
        <w:rPr>
          <w:rFonts w:eastAsia="Times New Roman" w:cs="Times New Roman"/>
          <w:lang w:eastAsia="en-GB"/>
        </w:rPr>
        <w:t>the</w:t>
      </w:r>
      <w:r w:rsidR="00825F0A" w:rsidRPr="00F7290C">
        <w:rPr>
          <w:rFonts w:ascii="Calibri" w:eastAsia="Times New Roman" w:hAnsi="Calibri" w:cs="Calibri"/>
          <w:lang w:val="en-US"/>
        </w:rPr>
        <w:t xml:space="preserve"> focus</w:t>
      </w:r>
      <w:r w:rsidR="00B22829">
        <w:rPr>
          <w:rFonts w:ascii="Calibri" w:eastAsia="Times New Roman" w:hAnsi="Calibri" w:cs="Calibri"/>
          <w:lang w:val="en-US"/>
        </w:rPr>
        <w:t xml:space="preserve"> is</w:t>
      </w:r>
      <w:r w:rsidR="00825F0A" w:rsidRPr="00F7290C">
        <w:rPr>
          <w:rFonts w:ascii="Calibri" w:eastAsia="Times New Roman" w:hAnsi="Calibri" w:cs="Calibri"/>
          <w:lang w:val="en-US"/>
        </w:rPr>
        <w:t xml:space="preserve"> on sharing work experiences, </w:t>
      </w:r>
      <w:r w:rsidR="007741DA">
        <w:rPr>
          <w:rFonts w:ascii="Calibri" w:eastAsia="Times New Roman" w:hAnsi="Calibri" w:cs="Calibri"/>
          <w:lang w:val="en-US"/>
        </w:rPr>
        <w:t>encouraging</w:t>
      </w:r>
      <w:r w:rsidR="00B22829">
        <w:rPr>
          <w:rFonts w:ascii="Calibri" w:eastAsia="Times New Roman" w:hAnsi="Calibri" w:cs="Calibri"/>
          <w:lang w:val="en-US"/>
        </w:rPr>
        <w:t xml:space="preserve"> the youths to </w:t>
      </w:r>
      <w:r w:rsidR="008343BF">
        <w:rPr>
          <w:rFonts w:ascii="Calibri" w:eastAsia="Times New Roman" w:hAnsi="Calibri" w:cs="Calibri"/>
          <w:lang w:val="en-US"/>
        </w:rPr>
        <w:t xml:space="preserve">reflect on and </w:t>
      </w:r>
      <w:r w:rsidR="00B22829">
        <w:rPr>
          <w:rFonts w:ascii="Calibri" w:eastAsia="Times New Roman" w:hAnsi="Calibri" w:cs="Calibri"/>
          <w:lang w:val="en-US"/>
        </w:rPr>
        <w:t>overcome challenges together, as well as</w:t>
      </w:r>
      <w:r w:rsidR="007741DA">
        <w:rPr>
          <w:rFonts w:ascii="Calibri" w:eastAsia="Times New Roman" w:hAnsi="Calibri" w:cs="Calibri"/>
          <w:lang w:val="en-US"/>
        </w:rPr>
        <w:t xml:space="preserve"> on</w:t>
      </w:r>
      <w:r w:rsidR="00B22829">
        <w:rPr>
          <w:rFonts w:ascii="Calibri" w:eastAsia="Times New Roman" w:hAnsi="Calibri" w:cs="Calibri"/>
          <w:lang w:val="en-US"/>
        </w:rPr>
        <w:t xml:space="preserve"> p</w:t>
      </w:r>
      <w:r w:rsidR="00825F0A" w:rsidRPr="00F7290C">
        <w:rPr>
          <w:rFonts w:ascii="Calibri" w:eastAsia="Times New Roman" w:hAnsi="Calibri" w:cs="Calibri"/>
          <w:lang w:val="en-US"/>
        </w:rPr>
        <w:t xml:space="preserve">roviding the young people with insights into different workplaces and work cultures. </w:t>
      </w:r>
      <w:r w:rsidR="00DC34E9" w:rsidRPr="00581F9F">
        <w:rPr>
          <w:rFonts w:eastAsia="Times New Roman" w:cs="Times New Roman"/>
          <w:lang w:eastAsia="en-GB"/>
        </w:rPr>
        <w:t xml:space="preserve">This </w:t>
      </w:r>
      <w:r w:rsidR="00F43475" w:rsidRPr="00581F9F">
        <w:rPr>
          <w:rFonts w:eastAsia="Times New Roman" w:cs="Times New Roman"/>
          <w:lang w:eastAsia="en-GB"/>
        </w:rPr>
        <w:t>is motivated by the</w:t>
      </w:r>
      <w:r w:rsidR="00DC34E9" w:rsidRPr="00581F9F">
        <w:rPr>
          <w:rFonts w:eastAsia="Times New Roman" w:cs="Times New Roman"/>
          <w:lang w:eastAsia="en-GB"/>
        </w:rPr>
        <w:t xml:space="preserve"> idea that </w:t>
      </w:r>
      <w:r w:rsidR="00326B69" w:rsidRPr="00581F9F">
        <w:rPr>
          <w:rFonts w:eastAsia="Times New Roman" w:cs="Times New Roman"/>
          <w:lang w:eastAsia="en-GB"/>
        </w:rPr>
        <w:t xml:space="preserve">an individual’s </w:t>
      </w:r>
      <w:r w:rsidR="00DC34E9" w:rsidRPr="00581F9F">
        <w:rPr>
          <w:rFonts w:eastAsia="Times New Roman" w:cs="Times New Roman"/>
          <w:lang w:eastAsia="en-GB"/>
        </w:rPr>
        <w:t xml:space="preserve">perception of </w:t>
      </w:r>
      <w:r w:rsidR="00326B69" w:rsidRPr="00581F9F">
        <w:rPr>
          <w:rFonts w:eastAsia="Times New Roman" w:cs="Times New Roman"/>
          <w:lang w:eastAsia="en-GB"/>
        </w:rPr>
        <w:t xml:space="preserve">their </w:t>
      </w:r>
      <w:r w:rsidR="00DC34E9" w:rsidRPr="00581F9F">
        <w:rPr>
          <w:rFonts w:eastAsia="Times New Roman" w:cs="Times New Roman"/>
          <w:lang w:eastAsia="en-GB"/>
        </w:rPr>
        <w:t xml:space="preserve">own identity, as well as </w:t>
      </w:r>
      <w:r w:rsidR="00326B69" w:rsidRPr="00581F9F">
        <w:rPr>
          <w:rFonts w:eastAsia="Times New Roman" w:cs="Times New Roman"/>
          <w:lang w:eastAsia="en-GB"/>
        </w:rPr>
        <w:t xml:space="preserve">that </w:t>
      </w:r>
      <w:r w:rsidR="00DC34E9" w:rsidRPr="00581F9F">
        <w:rPr>
          <w:rFonts w:eastAsia="Times New Roman" w:cs="Times New Roman"/>
          <w:lang w:eastAsia="en-GB"/>
        </w:rPr>
        <w:t xml:space="preserve">of others, can influence behaviour and actions, and </w:t>
      </w:r>
      <w:r w:rsidR="008343BF">
        <w:rPr>
          <w:rFonts w:eastAsia="Times New Roman" w:cs="Times New Roman"/>
          <w:lang w:eastAsia="en-GB"/>
        </w:rPr>
        <w:t xml:space="preserve">so </w:t>
      </w:r>
      <w:r w:rsidR="00DC34E9" w:rsidRPr="00A20655">
        <w:rPr>
          <w:rFonts w:eastAsia="Times New Roman" w:cs="Times New Roman"/>
          <w:lang w:eastAsia="en-GB"/>
        </w:rPr>
        <w:t xml:space="preserve">economic outcomes </w:t>
      </w:r>
      <w:sdt>
        <w:sdtPr>
          <w:rPr>
            <w:rFonts w:eastAsia="Times New Roman" w:cs="Times New Roman"/>
            <w:lang w:eastAsia="en-GB"/>
          </w:rPr>
          <w:id w:val="-926340549"/>
          <w:citation/>
        </w:sdtPr>
        <w:sdtContent>
          <w:r w:rsidR="000A4140">
            <w:rPr>
              <w:rFonts w:eastAsia="Times New Roman" w:cs="Times New Roman"/>
              <w:lang w:eastAsia="en-GB"/>
            </w:rPr>
            <w:fldChar w:fldCharType="begin"/>
          </w:r>
          <w:r w:rsidR="00011F51">
            <w:rPr>
              <w:rFonts w:eastAsia="Times New Roman" w:cs="Times New Roman"/>
              <w:lang w:eastAsia="en-GB"/>
            </w:rPr>
            <w:instrText xml:space="preserve"> CITATION Ake00 \l 2057  </w:instrText>
          </w:r>
          <w:r w:rsidR="000A4140">
            <w:rPr>
              <w:rFonts w:eastAsia="Times New Roman" w:cs="Times New Roman"/>
              <w:lang w:eastAsia="en-GB"/>
            </w:rPr>
            <w:fldChar w:fldCharType="separate"/>
          </w:r>
          <w:r w:rsidR="00011F51" w:rsidRPr="00011F51">
            <w:rPr>
              <w:rFonts w:eastAsia="Times New Roman" w:cs="Times New Roman"/>
              <w:noProof/>
              <w:lang w:eastAsia="en-GB"/>
            </w:rPr>
            <w:t>(Akerlof &amp; Kranton, 2010)</w:t>
          </w:r>
          <w:r w:rsidR="000A4140">
            <w:rPr>
              <w:rFonts w:eastAsia="Times New Roman" w:cs="Times New Roman"/>
              <w:lang w:eastAsia="en-GB"/>
            </w:rPr>
            <w:fldChar w:fldCharType="end"/>
          </w:r>
        </w:sdtContent>
      </w:sdt>
      <w:r w:rsidR="00DC34E9" w:rsidRPr="00A20655">
        <w:rPr>
          <w:rFonts w:eastAsia="Times New Roman" w:cs="Times New Roman"/>
          <w:lang w:eastAsia="en-GB"/>
        </w:rPr>
        <w:t>.</w:t>
      </w:r>
      <w:bookmarkStart w:id="1" w:name="_msocom_1"/>
      <w:bookmarkStart w:id="2" w:name="_msocom_2"/>
      <w:bookmarkEnd w:id="1"/>
      <w:bookmarkEnd w:id="2"/>
    </w:p>
    <w:p w:rsidR="00DC34E9" w:rsidRDefault="00DC34E9" w:rsidP="000C532B">
      <w:pPr>
        <w:rPr>
          <w:rStyle w:val="CommentReference"/>
          <w:rFonts w:eastAsiaTheme="minorEastAsia"/>
          <w:lang w:val="en-US"/>
        </w:rPr>
      </w:pPr>
    </w:p>
    <w:p w:rsidR="00016ADD" w:rsidRPr="00B544F9" w:rsidRDefault="00016ADD" w:rsidP="000C532B">
      <w:pPr>
        <w:rPr>
          <w:rFonts w:eastAsia="Times New Roman" w:cs="Times New Roman"/>
          <w:lang w:eastAsia="en-GB"/>
        </w:rPr>
      </w:pPr>
      <w:r>
        <w:rPr>
          <w:rFonts w:eastAsia="Times New Roman" w:cs="Times New Roman"/>
          <w:lang w:eastAsia="en-GB"/>
        </w:rPr>
        <w:t xml:space="preserve">The aim of this study is to </w:t>
      </w:r>
      <w:r w:rsidR="006266B6">
        <w:rPr>
          <w:rFonts w:eastAsia="Times New Roman" w:cs="Times New Roman"/>
          <w:lang w:eastAsia="en-GB"/>
        </w:rPr>
        <w:t>conduct</w:t>
      </w:r>
      <w:r>
        <w:rPr>
          <w:rFonts w:eastAsia="Times New Roman" w:cs="Times New Roman"/>
          <w:lang w:eastAsia="en-GB"/>
        </w:rPr>
        <w:t xml:space="preserve"> a</w:t>
      </w:r>
      <w:r w:rsidR="00595F8A">
        <w:rPr>
          <w:rFonts w:eastAsia="Times New Roman" w:cs="Times New Roman"/>
          <w:lang w:eastAsia="en-GB"/>
        </w:rPr>
        <w:t xml:space="preserve"> RCT of NExTWORK across 5</w:t>
      </w:r>
      <w:r w:rsidR="008343BF">
        <w:rPr>
          <w:rFonts w:eastAsia="Times New Roman" w:cs="Times New Roman"/>
          <w:lang w:eastAsia="en-GB"/>
        </w:rPr>
        <w:t xml:space="preserve"> to </w:t>
      </w:r>
      <w:r w:rsidR="00FA1847">
        <w:rPr>
          <w:rFonts w:eastAsia="Times New Roman" w:cs="Times New Roman"/>
          <w:lang w:eastAsia="en-GB"/>
        </w:rPr>
        <w:t>6</w:t>
      </w:r>
      <w:r w:rsidR="00595F8A">
        <w:rPr>
          <w:rFonts w:eastAsia="Times New Roman" w:cs="Times New Roman"/>
          <w:lang w:eastAsia="en-GB"/>
        </w:rPr>
        <w:t xml:space="preserve"> municipalities</w:t>
      </w:r>
      <w:r w:rsidR="00A20A52">
        <w:rPr>
          <w:rFonts w:eastAsia="Times New Roman" w:cs="Times New Roman"/>
          <w:lang w:eastAsia="en-GB"/>
        </w:rPr>
        <w:t>. Currently five</w:t>
      </w:r>
      <w:r w:rsidR="00142A14">
        <w:rPr>
          <w:rFonts w:eastAsia="Times New Roman" w:cs="Times New Roman"/>
          <w:lang w:eastAsia="en-GB"/>
        </w:rPr>
        <w:t xml:space="preserve"> have agreed to participate</w:t>
      </w:r>
      <w:r w:rsidR="00A20A52">
        <w:rPr>
          <w:rFonts w:eastAsia="Times New Roman" w:cs="Times New Roman"/>
          <w:lang w:eastAsia="en-GB"/>
        </w:rPr>
        <w:t>,</w:t>
      </w:r>
      <w:r w:rsidR="00142A14">
        <w:rPr>
          <w:rFonts w:eastAsia="Times New Roman" w:cs="Times New Roman"/>
          <w:lang w:eastAsia="en-GB"/>
        </w:rPr>
        <w:t xml:space="preserve"> </w:t>
      </w:r>
      <w:r w:rsidR="00A20A52">
        <w:rPr>
          <w:rFonts w:eastAsia="Times New Roman" w:cs="Times New Roman"/>
          <w:lang w:eastAsia="en-GB"/>
        </w:rPr>
        <w:t xml:space="preserve">three </w:t>
      </w:r>
      <w:r w:rsidR="003B12FE">
        <w:rPr>
          <w:rFonts w:eastAsia="Times New Roman" w:cs="Times New Roman"/>
          <w:lang w:eastAsia="en-GB"/>
        </w:rPr>
        <w:t xml:space="preserve">of which </w:t>
      </w:r>
      <w:r w:rsidR="00142A14">
        <w:rPr>
          <w:rFonts w:eastAsia="Times New Roman" w:cs="Times New Roman"/>
          <w:lang w:eastAsia="en-GB"/>
        </w:rPr>
        <w:t xml:space="preserve">have </w:t>
      </w:r>
      <w:r w:rsidR="00A20A52">
        <w:rPr>
          <w:rFonts w:eastAsia="Times New Roman" w:cs="Times New Roman"/>
          <w:lang w:eastAsia="en-GB"/>
        </w:rPr>
        <w:t xml:space="preserve">already </w:t>
      </w:r>
      <w:r w:rsidR="00142A14">
        <w:rPr>
          <w:rFonts w:eastAsia="Times New Roman" w:cs="Times New Roman"/>
          <w:lang w:eastAsia="en-GB"/>
        </w:rPr>
        <w:t>started implementation</w:t>
      </w:r>
      <w:r w:rsidR="00595F8A">
        <w:rPr>
          <w:rFonts w:eastAsia="Times New Roman" w:cs="Times New Roman"/>
          <w:lang w:eastAsia="en-GB"/>
        </w:rPr>
        <w:t>.</w:t>
      </w:r>
      <w:r w:rsidR="00142A14">
        <w:rPr>
          <w:rFonts w:eastAsia="Times New Roman" w:cs="Times New Roman"/>
          <w:lang w:eastAsia="en-GB"/>
        </w:rPr>
        <w:t xml:space="preserve"> In these municipalities</w:t>
      </w:r>
      <w:r w:rsidR="00A25806">
        <w:rPr>
          <w:rFonts w:eastAsia="Times New Roman" w:cs="Times New Roman"/>
          <w:lang w:eastAsia="en-GB"/>
        </w:rPr>
        <w:t xml:space="preserve">, eligible youth </w:t>
      </w:r>
      <w:r w:rsidR="006266B6">
        <w:rPr>
          <w:rFonts w:eastAsia="Times New Roman" w:cs="Times New Roman"/>
          <w:lang w:eastAsia="en-GB"/>
        </w:rPr>
        <w:t>will be</w:t>
      </w:r>
      <w:r w:rsidR="00A25806">
        <w:rPr>
          <w:rFonts w:eastAsia="Times New Roman" w:cs="Times New Roman"/>
          <w:lang w:eastAsia="en-GB"/>
        </w:rPr>
        <w:t xml:space="preserve"> randomly assigned either to the standard government service or to NExTWORK. </w:t>
      </w:r>
      <w:r w:rsidR="006266B6">
        <w:rPr>
          <w:rFonts w:eastAsia="Times New Roman" w:cs="Times New Roman"/>
          <w:lang w:eastAsia="en-GB"/>
        </w:rPr>
        <w:t>Admi</w:t>
      </w:r>
      <w:r w:rsidR="0070199F">
        <w:rPr>
          <w:rFonts w:eastAsia="Times New Roman" w:cs="Times New Roman"/>
          <w:lang w:eastAsia="en-GB"/>
        </w:rPr>
        <w:t>ni</w:t>
      </w:r>
      <w:r w:rsidR="006266B6">
        <w:rPr>
          <w:rFonts w:eastAsia="Times New Roman" w:cs="Times New Roman"/>
          <w:lang w:eastAsia="en-GB"/>
        </w:rPr>
        <w:t>s</w:t>
      </w:r>
      <w:r w:rsidR="0070199F">
        <w:rPr>
          <w:rFonts w:eastAsia="Times New Roman" w:cs="Times New Roman"/>
          <w:lang w:eastAsia="en-GB"/>
        </w:rPr>
        <w:t xml:space="preserve">trative register data, along with implementation data will be used to evaluate the effectiveness of the programme.  </w:t>
      </w:r>
      <w:r w:rsidR="0072795A">
        <w:rPr>
          <w:rFonts w:eastAsia="Times New Roman" w:cs="Times New Roman"/>
          <w:lang w:eastAsia="en-GB"/>
        </w:rPr>
        <w:t xml:space="preserve">The </w:t>
      </w:r>
      <w:r w:rsidR="00E71CC6">
        <w:rPr>
          <w:rFonts w:eastAsia="Times New Roman" w:cs="Times New Roman"/>
          <w:lang w:eastAsia="en-GB"/>
        </w:rPr>
        <w:t xml:space="preserve">broad aim of the study is to assess whether NExTWORK is more effective at improving the employment and education outcomes and reducing dependence on social assistance and engagement in crime of the participating </w:t>
      </w:r>
      <w:r w:rsidR="00111C1F">
        <w:rPr>
          <w:rFonts w:eastAsia="Times New Roman" w:cs="Times New Roman"/>
          <w:lang w:eastAsia="en-GB"/>
        </w:rPr>
        <w:t xml:space="preserve">youth than the status-quo government </w:t>
      </w:r>
      <w:r w:rsidR="00111C1F">
        <w:rPr>
          <w:rFonts w:eastAsia="Times New Roman" w:cs="Times New Roman"/>
          <w:lang w:eastAsia="en-GB"/>
        </w:rPr>
        <w:lastRenderedPageBreak/>
        <w:t>programm</w:t>
      </w:r>
      <w:bookmarkStart w:id="3" w:name="_GoBack"/>
      <w:bookmarkEnd w:id="3"/>
      <w:r w:rsidR="00111C1F">
        <w:rPr>
          <w:rFonts w:eastAsia="Times New Roman" w:cs="Times New Roman"/>
          <w:lang w:eastAsia="en-GB"/>
        </w:rPr>
        <w:t xml:space="preserve">e. </w:t>
      </w:r>
      <w:r w:rsidR="00373AF7">
        <w:rPr>
          <w:rFonts w:eastAsia="Times New Roman" w:cs="Times New Roman"/>
          <w:lang w:eastAsia="en-GB"/>
        </w:rPr>
        <w:t xml:space="preserve">In the rest of this document we start by </w:t>
      </w:r>
      <w:r w:rsidR="00555572">
        <w:rPr>
          <w:rFonts w:eastAsia="Times New Roman" w:cs="Times New Roman"/>
          <w:lang w:eastAsia="en-GB"/>
        </w:rPr>
        <w:t>providing further details about</w:t>
      </w:r>
      <w:r w:rsidR="00373AF7">
        <w:rPr>
          <w:rFonts w:eastAsia="Times New Roman" w:cs="Times New Roman"/>
          <w:lang w:eastAsia="en-GB"/>
        </w:rPr>
        <w:t xml:space="preserve"> the NExTWORK programme</w:t>
      </w:r>
      <w:r w:rsidR="00555572">
        <w:rPr>
          <w:rFonts w:eastAsia="Times New Roman" w:cs="Times New Roman"/>
          <w:lang w:eastAsia="en-GB"/>
        </w:rPr>
        <w:t>, then set out the study design</w:t>
      </w:r>
      <w:r w:rsidR="00CE3BC8">
        <w:rPr>
          <w:rFonts w:eastAsia="Times New Roman" w:cs="Times New Roman"/>
          <w:lang w:eastAsia="en-GB"/>
        </w:rPr>
        <w:t>,</w:t>
      </w:r>
      <w:r w:rsidR="00433C91">
        <w:rPr>
          <w:rFonts w:eastAsia="Times New Roman" w:cs="Times New Roman"/>
          <w:lang w:eastAsia="en-GB"/>
        </w:rPr>
        <w:t xml:space="preserve"> as well as</w:t>
      </w:r>
      <w:r w:rsidR="00555572">
        <w:rPr>
          <w:rFonts w:eastAsia="Times New Roman" w:cs="Times New Roman"/>
          <w:lang w:eastAsia="en-GB"/>
        </w:rPr>
        <w:t xml:space="preserve"> the full set of hypotheses that we plan to test</w:t>
      </w:r>
      <w:r w:rsidR="00433C91">
        <w:rPr>
          <w:rFonts w:eastAsia="Times New Roman" w:cs="Times New Roman"/>
          <w:lang w:eastAsia="en-GB"/>
        </w:rPr>
        <w:t xml:space="preserve">, describe the analytical approach and present detailed power calculations; the final section </w:t>
      </w:r>
      <w:r w:rsidR="004F6BB6">
        <w:rPr>
          <w:rFonts w:eastAsia="Times New Roman" w:cs="Times New Roman"/>
          <w:lang w:eastAsia="en-GB"/>
        </w:rPr>
        <w:t>discusses trial monitoring and ethics.</w:t>
      </w:r>
      <w:r w:rsidR="00555572">
        <w:rPr>
          <w:rFonts w:eastAsia="Times New Roman" w:cs="Times New Roman"/>
          <w:lang w:eastAsia="en-GB"/>
        </w:rPr>
        <w:t xml:space="preserve">   </w:t>
      </w:r>
    </w:p>
    <w:p w:rsidR="00F42D9D" w:rsidRPr="00F7290C" w:rsidRDefault="00F42D9D" w:rsidP="00521C98">
      <w:pPr>
        <w:rPr>
          <w:rFonts w:eastAsia="Times New Roman" w:cs="Times New Roman"/>
          <w:b/>
          <w:bCs/>
          <w:i/>
          <w:iCs/>
          <w:lang w:eastAsia="en-GB"/>
        </w:rPr>
      </w:pPr>
    </w:p>
    <w:p w:rsidR="00EE353D" w:rsidRPr="00F7290C" w:rsidRDefault="009F6F5F" w:rsidP="00EE353D">
      <w:pPr>
        <w:pStyle w:val="Heading2"/>
        <w:rPr>
          <w:sz w:val="32"/>
          <w:szCs w:val="32"/>
        </w:rPr>
      </w:pPr>
      <w:bookmarkStart w:id="4" w:name="_Hlk518378074"/>
      <w:bookmarkEnd w:id="4"/>
      <w:r>
        <w:rPr>
          <w:lang w:eastAsia="en-GB"/>
        </w:rPr>
        <w:t xml:space="preserve">2. </w:t>
      </w:r>
      <w:r w:rsidR="005C6464">
        <w:rPr>
          <w:rStyle w:val="Heading1Char"/>
        </w:rPr>
        <w:t>The I</w:t>
      </w:r>
      <w:r w:rsidR="00EE353D">
        <w:rPr>
          <w:rStyle w:val="Heading1Char"/>
        </w:rPr>
        <w:t>ntervention</w:t>
      </w:r>
    </w:p>
    <w:p w:rsidR="00EE353D" w:rsidRDefault="00EE353D" w:rsidP="00EE353D">
      <w:pPr>
        <w:pStyle w:val="Heading3"/>
        <w:rPr>
          <w:i/>
          <w:lang w:val="en-US"/>
        </w:rPr>
      </w:pPr>
      <w:r>
        <w:rPr>
          <w:i/>
          <w:lang w:val="en-US"/>
        </w:rPr>
        <w:t>NExTWORK</w:t>
      </w:r>
    </w:p>
    <w:p w:rsidR="00B8398F" w:rsidRDefault="00B8398F" w:rsidP="00EE353D">
      <w:pPr>
        <w:rPr>
          <w:lang w:val="en-US"/>
        </w:rPr>
      </w:pPr>
      <w:r>
        <w:rPr>
          <w:lang w:val="en-US"/>
        </w:rPr>
        <w:t xml:space="preserve">The NExTWORK programme </w:t>
      </w:r>
      <w:r w:rsidR="004427DA">
        <w:rPr>
          <w:lang w:val="en-US"/>
        </w:rPr>
        <w:t>links</w:t>
      </w:r>
      <w:r w:rsidR="007623FF">
        <w:rPr>
          <w:lang w:val="en-US"/>
        </w:rPr>
        <w:t xml:space="preserve"> </w:t>
      </w:r>
      <w:r w:rsidR="0057607F">
        <w:rPr>
          <w:lang w:val="en-US"/>
        </w:rPr>
        <w:t>youth</w:t>
      </w:r>
      <w:r w:rsidR="005D5234" w:rsidRPr="006B62B2">
        <w:rPr>
          <w:lang w:val="en-US"/>
        </w:rPr>
        <w:t xml:space="preserve"> between the ages of 18 and 29 who receive </w:t>
      </w:r>
      <w:r w:rsidR="005D5234">
        <w:rPr>
          <w:lang w:val="en-US"/>
        </w:rPr>
        <w:t xml:space="preserve">social assistance with </w:t>
      </w:r>
      <w:r w:rsidR="00C15256">
        <w:rPr>
          <w:lang w:val="en-US"/>
        </w:rPr>
        <w:t xml:space="preserve">companies willing to offer </w:t>
      </w:r>
      <w:r w:rsidR="00332CC4">
        <w:rPr>
          <w:lang w:val="en-US"/>
        </w:rPr>
        <w:t>internship</w:t>
      </w:r>
      <w:r w:rsidR="002D74AA">
        <w:rPr>
          <w:lang w:val="en-US"/>
        </w:rPr>
        <w:t>s</w:t>
      </w:r>
      <w:r w:rsidR="00332CC4">
        <w:rPr>
          <w:lang w:val="en-US"/>
        </w:rPr>
        <w:t xml:space="preserve"> </w:t>
      </w:r>
      <w:r w:rsidR="00AA4CF4">
        <w:rPr>
          <w:lang w:val="en-US"/>
        </w:rPr>
        <w:t>and participate in the NExTWORK programme requirements</w:t>
      </w:r>
      <w:r w:rsidR="00FF7583">
        <w:rPr>
          <w:lang w:val="en-US"/>
        </w:rPr>
        <w:t>.</w:t>
      </w:r>
      <w:r w:rsidR="00AA4CF4">
        <w:rPr>
          <w:rStyle w:val="FootnoteReference"/>
          <w:lang w:val="en-US"/>
        </w:rPr>
        <w:footnoteReference w:id="1"/>
      </w:r>
      <w:r w:rsidR="000624EB">
        <w:rPr>
          <w:lang w:val="en-US"/>
        </w:rPr>
        <w:t xml:space="preserve"> </w:t>
      </w:r>
      <w:r w:rsidR="00560D2C">
        <w:rPr>
          <w:lang w:val="en-US"/>
        </w:rPr>
        <w:t xml:space="preserve">Rather than </w:t>
      </w:r>
      <w:r w:rsidR="00AB6A2D">
        <w:rPr>
          <w:lang w:val="en-US"/>
        </w:rPr>
        <w:t>determining matches</w:t>
      </w:r>
      <w:r w:rsidR="004427DA">
        <w:rPr>
          <w:lang w:val="en-US"/>
        </w:rPr>
        <w:t xml:space="preserve"> directly</w:t>
      </w:r>
      <w:r w:rsidR="000139DC">
        <w:rPr>
          <w:lang w:val="en-US"/>
        </w:rPr>
        <w:t xml:space="preserve">, NExTWORK facilitates matching events at which </w:t>
      </w:r>
      <w:r w:rsidR="000624EB">
        <w:rPr>
          <w:lang w:val="en-US"/>
        </w:rPr>
        <w:t xml:space="preserve">youth and companies </w:t>
      </w:r>
      <w:r w:rsidR="000139DC">
        <w:rPr>
          <w:lang w:val="en-US"/>
        </w:rPr>
        <w:t>can select each</w:t>
      </w:r>
      <w:r w:rsidR="008C1A6B">
        <w:rPr>
          <w:lang w:val="en-US"/>
        </w:rPr>
        <w:t xml:space="preserve"> </w:t>
      </w:r>
      <w:r w:rsidR="000139DC">
        <w:rPr>
          <w:lang w:val="en-US"/>
        </w:rPr>
        <w:t xml:space="preserve">other directly. </w:t>
      </w:r>
      <w:r w:rsidR="00BE5550">
        <w:rPr>
          <w:lang w:val="en-US"/>
        </w:rPr>
        <w:t xml:space="preserve">The programme then provides ongoing support to the youth through a youth </w:t>
      </w:r>
      <w:r w:rsidR="002B25CB">
        <w:rPr>
          <w:lang w:val="en-US"/>
        </w:rPr>
        <w:t>counselor</w:t>
      </w:r>
      <w:r w:rsidR="00BE5550">
        <w:rPr>
          <w:lang w:val="en-US"/>
        </w:rPr>
        <w:t xml:space="preserve"> and </w:t>
      </w:r>
      <w:r w:rsidR="007741DA">
        <w:rPr>
          <w:lang w:val="en-US"/>
        </w:rPr>
        <w:t>peer-support</w:t>
      </w:r>
      <w:r w:rsidR="00BE5550">
        <w:rPr>
          <w:lang w:val="en-US"/>
        </w:rPr>
        <w:t xml:space="preserve"> groups</w:t>
      </w:r>
      <w:r w:rsidR="004A66BE">
        <w:rPr>
          <w:lang w:val="en-US"/>
        </w:rPr>
        <w:t>,</w:t>
      </w:r>
      <w:r w:rsidR="00BE5550">
        <w:rPr>
          <w:lang w:val="en-US"/>
        </w:rPr>
        <w:t xml:space="preserve"> and to the companies through </w:t>
      </w:r>
      <w:r w:rsidR="00CF5D48">
        <w:rPr>
          <w:lang w:val="en-US"/>
        </w:rPr>
        <w:t xml:space="preserve">company coordinators and company support networks. The aim is for the youth to acquire the experience and skills they need in order to progress </w:t>
      </w:r>
      <w:r w:rsidR="00E5209B">
        <w:rPr>
          <w:lang w:val="en-US"/>
        </w:rPr>
        <w:t xml:space="preserve">into </w:t>
      </w:r>
      <w:r w:rsidR="005C6464">
        <w:rPr>
          <w:lang w:val="en-US"/>
        </w:rPr>
        <w:t xml:space="preserve">either </w:t>
      </w:r>
      <w:r w:rsidR="00E5209B">
        <w:rPr>
          <w:lang w:val="en-US"/>
        </w:rPr>
        <w:t>education or employment.</w:t>
      </w:r>
    </w:p>
    <w:p w:rsidR="00B8398F" w:rsidRDefault="00B8398F" w:rsidP="00EE353D"/>
    <w:p w:rsidR="00EA3D87" w:rsidRDefault="00EA3D87" w:rsidP="00EA3D87">
      <w:pPr>
        <w:rPr>
          <w:lang w:val="en-US"/>
        </w:rPr>
      </w:pPr>
      <w:r w:rsidRPr="00CD68FB">
        <w:rPr>
          <w:lang w:val="en-US"/>
        </w:rPr>
        <w:t xml:space="preserve">A NExTWORK team is set up in each municipality </w:t>
      </w:r>
      <w:r>
        <w:rPr>
          <w:lang w:val="en-US"/>
        </w:rPr>
        <w:t xml:space="preserve">typically </w:t>
      </w:r>
      <w:r w:rsidRPr="00CD68FB">
        <w:rPr>
          <w:lang w:val="en-US"/>
        </w:rPr>
        <w:t>with six staff; a team leader, three youth</w:t>
      </w:r>
      <w:r w:rsidR="0037437F">
        <w:rPr>
          <w:lang w:val="en-US"/>
        </w:rPr>
        <w:t xml:space="preserve"> (</w:t>
      </w:r>
      <w:r>
        <w:rPr>
          <w:lang w:val="en-US"/>
        </w:rPr>
        <w:t>and company</w:t>
      </w:r>
      <w:r w:rsidR="0037437F">
        <w:rPr>
          <w:lang w:val="en-US"/>
        </w:rPr>
        <w:t xml:space="preserve">) </w:t>
      </w:r>
      <w:r>
        <w:rPr>
          <w:lang w:val="en-US"/>
        </w:rPr>
        <w:t>consultants</w:t>
      </w:r>
      <w:r w:rsidRPr="00CD68FB">
        <w:rPr>
          <w:lang w:val="en-US"/>
        </w:rPr>
        <w:t xml:space="preserve">, a </w:t>
      </w:r>
      <w:r>
        <w:rPr>
          <w:lang w:val="en-US"/>
        </w:rPr>
        <w:t>community builder</w:t>
      </w:r>
      <w:r w:rsidRPr="00CD68FB">
        <w:rPr>
          <w:lang w:val="en-US"/>
        </w:rPr>
        <w:t xml:space="preserve"> and a part-time psychologist. The intention is to serve about 45 young people and 60 companies at any point in time.</w:t>
      </w:r>
      <w:r>
        <w:rPr>
          <w:lang w:val="en-US"/>
        </w:rPr>
        <w:t xml:space="preserve"> </w:t>
      </w:r>
    </w:p>
    <w:p w:rsidR="00C344E0" w:rsidRPr="00263C29" w:rsidRDefault="00C344E0" w:rsidP="00EE353D">
      <w:pPr>
        <w:rPr>
          <w:lang w:val="en-US"/>
        </w:rPr>
      </w:pPr>
    </w:p>
    <w:p w:rsidR="00EE353D" w:rsidRDefault="00EE353D" w:rsidP="00EE353D">
      <w:r>
        <w:t xml:space="preserve">NExTWORK </w:t>
      </w:r>
      <w:r w:rsidR="006E7532">
        <w:t>has grown out of the positive youth development approach</w:t>
      </w:r>
      <w:r w:rsidR="00841ABF">
        <w:rPr>
          <w:rStyle w:val="FootnoteReference"/>
        </w:rPr>
        <w:footnoteReference w:id="2"/>
      </w:r>
      <w:r w:rsidR="006E7532">
        <w:t xml:space="preserve"> </w:t>
      </w:r>
      <w:r w:rsidR="00EA3D87">
        <w:t xml:space="preserve">and has </w:t>
      </w:r>
      <w:r w:rsidR="00584920">
        <w:t>explicitly identified</w:t>
      </w:r>
      <w:r w:rsidR="006E7532">
        <w:t xml:space="preserve"> </w:t>
      </w:r>
      <w:r>
        <w:t>three core principles, that guid</w:t>
      </w:r>
      <w:r w:rsidR="00581073">
        <w:t>e</w:t>
      </w:r>
      <w:r>
        <w:t xml:space="preserve"> all work processes and activities that the NExTWORK team is conducting with young people and companies.</w:t>
      </w:r>
    </w:p>
    <w:p w:rsidR="00306397" w:rsidRDefault="00306397" w:rsidP="00EE353D"/>
    <w:p w:rsidR="00EE353D" w:rsidRDefault="00EE353D" w:rsidP="00EE353D">
      <w:pPr>
        <w:rPr>
          <w:u w:val="single"/>
        </w:rPr>
      </w:pPr>
      <w:r w:rsidRPr="00CD3D55">
        <w:rPr>
          <w:u w:val="single"/>
        </w:rPr>
        <w:t>Principle #1: Many-to-many</w:t>
      </w:r>
    </w:p>
    <w:p w:rsidR="00EE353D" w:rsidRDefault="00AA4CF4" w:rsidP="00EE353D">
      <w:r>
        <w:t xml:space="preserve">The focus is on building networks – and thus social capital - between young people and companies. </w:t>
      </w:r>
      <w:r w:rsidR="006600A9">
        <w:t xml:space="preserve">In order to </w:t>
      </w:r>
      <w:r w:rsidR="00890422">
        <w:t>facilitate</w:t>
      </w:r>
      <w:r w:rsidR="006600A9">
        <w:t xml:space="preserve"> a productive and </w:t>
      </w:r>
      <w:r w:rsidR="00890422">
        <w:t>relevant match between the youth and companies</w:t>
      </w:r>
      <w:r w:rsidR="002326D1">
        <w:t xml:space="preserve">, NExTWORK adopts a network approach </w:t>
      </w:r>
      <w:r w:rsidR="00C225E2">
        <w:t>which allows young people to meet and interact with many companies offering different work experience opportunities.</w:t>
      </w:r>
      <w:r w:rsidR="00890422">
        <w:t xml:space="preserve"> </w:t>
      </w:r>
    </w:p>
    <w:p w:rsidR="00EE353D" w:rsidRDefault="00EE353D" w:rsidP="00EE353D"/>
    <w:p w:rsidR="00EE353D" w:rsidRDefault="00EE353D" w:rsidP="00EE353D">
      <w:pPr>
        <w:rPr>
          <w:u w:val="single"/>
        </w:rPr>
      </w:pPr>
      <w:r>
        <w:rPr>
          <w:u w:val="single"/>
        </w:rPr>
        <w:t>Principle #2: Shift of power</w:t>
      </w:r>
    </w:p>
    <w:p w:rsidR="00EE353D" w:rsidRDefault="00023BC6" w:rsidP="00EE353D">
      <w:r>
        <w:t>NExTWORK aims</w:t>
      </w:r>
      <w:r w:rsidR="00EE353D">
        <w:t xml:space="preserve"> to </w:t>
      </w:r>
      <w:r w:rsidR="006E7532">
        <w:t xml:space="preserve">empower the youth and </w:t>
      </w:r>
      <w:r w:rsidR="00496A73">
        <w:t>increase their confidence in themselves</w:t>
      </w:r>
      <w:r w:rsidR="006E7532">
        <w:t xml:space="preserve">. A key element </w:t>
      </w:r>
      <w:r w:rsidR="00D25D42">
        <w:t>of</w:t>
      </w:r>
      <w:r w:rsidR="006E7532">
        <w:t xml:space="preserve"> this is </w:t>
      </w:r>
      <w:r w:rsidR="00D25D42">
        <w:t xml:space="preserve">that it </w:t>
      </w:r>
      <w:r w:rsidR="00EE353D">
        <w:t>give</w:t>
      </w:r>
      <w:r w:rsidR="00D25D42">
        <w:t>s</w:t>
      </w:r>
      <w:r w:rsidR="00EE353D">
        <w:t xml:space="preserve"> the participating yo</w:t>
      </w:r>
      <w:r w:rsidR="00D25D42">
        <w:t>uth</w:t>
      </w:r>
      <w:r w:rsidR="00EE353D">
        <w:t xml:space="preserve"> a genuine choice in selecting the workplace</w:t>
      </w:r>
      <w:r>
        <w:t xml:space="preserve"> for the internship</w:t>
      </w:r>
      <w:r w:rsidR="00EE353D">
        <w:t xml:space="preserve">, </w:t>
      </w:r>
      <w:r w:rsidR="00FD6B52">
        <w:t>to ensure that it is</w:t>
      </w:r>
      <w:r w:rsidR="00EE353D">
        <w:t xml:space="preserve"> meaningful </w:t>
      </w:r>
      <w:r w:rsidR="00FD6B52">
        <w:t>for</w:t>
      </w:r>
      <w:r w:rsidR="00EE353D">
        <w:t xml:space="preserve"> them. The young people are also e</w:t>
      </w:r>
      <w:r w:rsidR="006E7532">
        <w:t>ncouraged</w:t>
      </w:r>
      <w:r w:rsidR="00EE353D">
        <w:t xml:space="preserve"> to </w:t>
      </w:r>
      <w:r w:rsidR="00160453">
        <w:t xml:space="preserve">identify their own </w:t>
      </w:r>
      <w:r w:rsidR="00EE353D">
        <w:t xml:space="preserve">goals for their involvement in </w:t>
      </w:r>
      <w:r w:rsidR="00160453">
        <w:t>NExTWORK and thereby set their own direction for their route out of unemployment</w:t>
      </w:r>
      <w:r w:rsidR="00EE353D">
        <w:t>. Likewise, the companies are involved in developing and running the company network, and having a say in selecting the young people they would like to support</w:t>
      </w:r>
      <w:r w:rsidR="00160453">
        <w:t xml:space="preserve"> and enrol as interns</w:t>
      </w:r>
      <w:r w:rsidR="00EE353D">
        <w:t>.</w:t>
      </w:r>
    </w:p>
    <w:p w:rsidR="00EE353D" w:rsidRDefault="00EE353D" w:rsidP="00EE353D"/>
    <w:p w:rsidR="00EE353D" w:rsidRDefault="00EE353D" w:rsidP="00EE353D">
      <w:r>
        <w:rPr>
          <w:u w:val="single"/>
        </w:rPr>
        <w:t>Principle #3: Work identity</w:t>
      </w:r>
    </w:p>
    <w:p w:rsidR="00EA3D87" w:rsidRDefault="00EA3D87" w:rsidP="00EA3D87">
      <w:r>
        <w:t xml:space="preserve">NExTWORK aims to give the young people an opportunity to develop their work identity as a crucial step in finding direction towards education and work. The core focus is for the young people to be exposed to different work experiences and through sharing these experiences </w:t>
      </w:r>
      <w:r>
        <w:lastRenderedPageBreak/>
        <w:t xml:space="preserve">in their peer-support group facilitated by a NExTWORK consultant, to qualify these experiences as useful knowledge and skills </w:t>
      </w:r>
      <w:r w:rsidR="0075238F">
        <w:t xml:space="preserve">- </w:t>
      </w:r>
      <w:r>
        <w:t>thereby strengthening their sense of "being a person capable of having a job".</w:t>
      </w:r>
      <w:r w:rsidR="00302E2E">
        <w:t xml:space="preserve"> </w:t>
      </w:r>
      <w:r>
        <w:t xml:space="preserve">Work identity is primarily developed from these interactions in their peer-support group and through feedback from the company </w:t>
      </w:r>
      <w:r w:rsidR="0075238F">
        <w:t>contact-</w:t>
      </w:r>
      <w:r>
        <w:t xml:space="preserve">person and secondly during 1:1 support with their </w:t>
      </w:r>
      <w:r w:rsidR="0075238F">
        <w:t>youth-</w:t>
      </w:r>
      <w:r>
        <w:t>counsellor.</w:t>
      </w:r>
    </w:p>
    <w:p w:rsidR="0080190B" w:rsidRDefault="0080190B" w:rsidP="00EE353D"/>
    <w:p w:rsidR="00EE353D" w:rsidRDefault="00057028" w:rsidP="00EE353D">
      <w:pPr>
        <w:rPr>
          <w:rFonts w:eastAsia="Times New Roman" w:cs="Times New Roman"/>
          <w:lang w:eastAsia="en-GB"/>
        </w:rPr>
      </w:pPr>
      <w:r>
        <w:t>Participating y</w:t>
      </w:r>
      <w:r w:rsidR="00EE353D">
        <w:t>outh are onboarded in groups through introductory activities, where they are: introduced to NExTWORK and to each other through various team building activities; given information about the companies in the NExTWORK company network; and guided in preparing a social match event with companies from the NExTWORK network, to be held by the end of the introductory period. During the introductory period, which</w:t>
      </w:r>
      <w:r w:rsidR="00775DE6">
        <w:t xml:space="preserve"> on average</w:t>
      </w:r>
      <w:r w:rsidR="00EE353D">
        <w:t xml:space="preserve"> lasts 1-2 weeks, youths are also assigned to a </w:t>
      </w:r>
      <w:r w:rsidR="007741DA">
        <w:t>peer-support</w:t>
      </w:r>
      <w:r w:rsidR="009D5A8F">
        <w:t xml:space="preserve"> </w:t>
      </w:r>
      <w:r w:rsidR="00EE353D">
        <w:t xml:space="preserve">group consisting of up to eight people. </w:t>
      </w:r>
      <w:r w:rsidR="00EE353D">
        <w:rPr>
          <w:rFonts w:eastAsia="Times New Roman" w:cs="Times New Roman"/>
          <w:lang w:eastAsia="en-GB"/>
        </w:rPr>
        <w:t>These groups will constitute</w:t>
      </w:r>
      <w:r w:rsidR="009D5A8F">
        <w:rPr>
          <w:rFonts w:eastAsia="Times New Roman" w:cs="Times New Roman"/>
          <w:lang w:eastAsia="en-GB"/>
        </w:rPr>
        <w:t xml:space="preserve"> a key part of</w:t>
      </w:r>
      <w:r w:rsidR="00EE353D">
        <w:rPr>
          <w:rFonts w:eastAsia="Times New Roman" w:cs="Times New Roman"/>
          <w:lang w:eastAsia="en-GB"/>
        </w:rPr>
        <w:t xml:space="preserve"> the youths’ support network throughout the programme period (and possibly beyond)</w:t>
      </w:r>
      <w:r w:rsidR="00C1770F">
        <w:rPr>
          <w:rFonts w:eastAsia="Times New Roman" w:cs="Times New Roman"/>
          <w:lang w:eastAsia="en-GB"/>
        </w:rPr>
        <w:t>, and</w:t>
      </w:r>
      <w:r w:rsidR="005C6F3B">
        <w:rPr>
          <w:rFonts w:eastAsia="Times New Roman" w:cs="Times New Roman"/>
          <w:lang w:eastAsia="en-GB"/>
        </w:rPr>
        <w:t xml:space="preserve"> </w:t>
      </w:r>
      <w:r w:rsidR="00AB0DC4">
        <w:rPr>
          <w:rFonts w:eastAsia="Times New Roman" w:cs="Times New Roman"/>
          <w:lang w:eastAsia="en-GB"/>
        </w:rPr>
        <w:t xml:space="preserve">provide </w:t>
      </w:r>
      <w:r w:rsidR="00EE353D">
        <w:rPr>
          <w:rFonts w:eastAsia="Times New Roman" w:cs="Times New Roman"/>
          <w:lang w:eastAsia="en-GB"/>
        </w:rPr>
        <w:t xml:space="preserve">a setting for weekly meetings. </w:t>
      </w:r>
    </w:p>
    <w:p w:rsidR="00EE353D" w:rsidRDefault="00EE353D" w:rsidP="00EE353D">
      <w:pPr>
        <w:rPr>
          <w:rFonts w:eastAsia="Times New Roman" w:cs="Times New Roman"/>
          <w:lang w:eastAsia="en-GB"/>
        </w:rPr>
      </w:pPr>
    </w:p>
    <w:p w:rsidR="00EE353D" w:rsidRDefault="00EE353D" w:rsidP="00EE353D">
      <w:pPr>
        <w:rPr>
          <w:rFonts w:eastAsia="Times New Roman" w:cs="Times New Roman"/>
          <w:lang w:eastAsia="en-GB"/>
        </w:rPr>
      </w:pPr>
      <w:r>
        <w:rPr>
          <w:rFonts w:eastAsia="Times New Roman" w:cs="Times New Roman"/>
          <w:lang w:eastAsia="en-GB"/>
        </w:rPr>
        <w:t>Before the end of the introductory period, a social match</w:t>
      </w:r>
      <w:r w:rsidR="004A66BE">
        <w:rPr>
          <w:rFonts w:eastAsia="Times New Roman" w:cs="Times New Roman"/>
          <w:lang w:eastAsia="en-GB"/>
        </w:rPr>
        <w:t>ing</w:t>
      </w:r>
      <w:r>
        <w:rPr>
          <w:rFonts w:eastAsia="Times New Roman" w:cs="Times New Roman"/>
          <w:lang w:eastAsia="en-GB"/>
        </w:rPr>
        <w:t xml:space="preserve"> event with companies is held. At this event, which is hosted by the youth and facilitated by the NExTWORK team, youths engage in </w:t>
      </w:r>
      <w:r w:rsidR="0002731A">
        <w:rPr>
          <w:rFonts w:eastAsia="Times New Roman" w:cs="Times New Roman"/>
          <w:lang w:eastAsia="en-GB"/>
        </w:rPr>
        <w:t xml:space="preserve">highly </w:t>
      </w:r>
      <w:r>
        <w:rPr>
          <w:rFonts w:eastAsia="Times New Roman" w:cs="Times New Roman"/>
          <w:lang w:eastAsia="en-GB"/>
        </w:rPr>
        <w:t xml:space="preserve">structured speed-dating with companies to </w:t>
      </w:r>
      <w:r w:rsidR="0002731A">
        <w:rPr>
          <w:rFonts w:eastAsia="Times New Roman" w:cs="Times New Roman"/>
          <w:lang w:eastAsia="en-GB"/>
        </w:rPr>
        <w:t>direct the focus of the interaction towards</w:t>
      </w:r>
      <w:r>
        <w:rPr>
          <w:rFonts w:eastAsia="Times New Roman" w:cs="Times New Roman"/>
          <w:lang w:eastAsia="en-GB"/>
        </w:rPr>
        <w:t xml:space="preserve"> </w:t>
      </w:r>
      <w:r w:rsidR="0002731A">
        <w:rPr>
          <w:rFonts w:eastAsia="Times New Roman" w:cs="Times New Roman"/>
          <w:lang w:eastAsia="en-GB"/>
        </w:rPr>
        <w:t xml:space="preserve">the culture of the workplace, </w:t>
      </w:r>
      <w:r>
        <w:rPr>
          <w:rFonts w:eastAsia="Times New Roman" w:cs="Times New Roman"/>
          <w:lang w:eastAsia="en-GB"/>
        </w:rPr>
        <w:t xml:space="preserve">work interest, </w:t>
      </w:r>
      <w:r w:rsidR="0002731A">
        <w:rPr>
          <w:rFonts w:eastAsia="Times New Roman" w:cs="Times New Roman"/>
          <w:lang w:eastAsia="en-GB"/>
        </w:rPr>
        <w:t xml:space="preserve">personal </w:t>
      </w:r>
      <w:r>
        <w:rPr>
          <w:rFonts w:eastAsia="Times New Roman" w:cs="Times New Roman"/>
          <w:lang w:eastAsia="en-GB"/>
        </w:rPr>
        <w:t xml:space="preserve">preferences and concrete </w:t>
      </w:r>
      <w:r w:rsidR="00AB0E54">
        <w:rPr>
          <w:rFonts w:eastAsia="Times New Roman" w:cs="Times New Roman"/>
          <w:lang w:eastAsia="en-GB"/>
        </w:rPr>
        <w:t>internship</w:t>
      </w:r>
      <w:r>
        <w:rPr>
          <w:rFonts w:eastAsia="Times New Roman" w:cs="Times New Roman"/>
          <w:lang w:eastAsia="en-GB"/>
        </w:rPr>
        <w:t xml:space="preserve"> offers. There are always more companies present </w:t>
      </w:r>
      <w:r w:rsidR="004544E9">
        <w:rPr>
          <w:rFonts w:eastAsia="Times New Roman" w:cs="Times New Roman"/>
          <w:lang w:eastAsia="en-GB"/>
        </w:rPr>
        <w:t xml:space="preserve">at </w:t>
      </w:r>
      <w:r>
        <w:rPr>
          <w:rFonts w:eastAsia="Times New Roman" w:cs="Times New Roman"/>
          <w:lang w:eastAsia="en-GB"/>
        </w:rPr>
        <w:t xml:space="preserve">the match event than youth to ensure that the youth have a genuine choice </w:t>
      </w:r>
      <w:r w:rsidR="00AB0E54">
        <w:rPr>
          <w:rFonts w:eastAsia="Times New Roman" w:cs="Times New Roman"/>
          <w:lang w:eastAsia="en-GB"/>
        </w:rPr>
        <w:t>in</w:t>
      </w:r>
      <w:r>
        <w:rPr>
          <w:rFonts w:eastAsia="Times New Roman" w:cs="Times New Roman"/>
          <w:lang w:eastAsia="en-GB"/>
        </w:rPr>
        <w:t xml:space="preserve"> select</w:t>
      </w:r>
      <w:r w:rsidR="00AB0E54">
        <w:rPr>
          <w:rFonts w:eastAsia="Times New Roman" w:cs="Times New Roman"/>
          <w:lang w:eastAsia="en-GB"/>
        </w:rPr>
        <w:t>ing</w:t>
      </w:r>
      <w:r>
        <w:rPr>
          <w:rFonts w:eastAsia="Times New Roman" w:cs="Times New Roman"/>
          <w:lang w:eastAsia="en-GB"/>
        </w:rPr>
        <w:t xml:space="preserve"> </w:t>
      </w:r>
      <w:r w:rsidR="0002731A">
        <w:rPr>
          <w:rFonts w:eastAsia="Times New Roman" w:cs="Times New Roman"/>
          <w:lang w:eastAsia="en-GB"/>
        </w:rPr>
        <w:t xml:space="preserve">a smaller number of </w:t>
      </w:r>
      <w:r>
        <w:rPr>
          <w:rFonts w:eastAsia="Times New Roman" w:cs="Times New Roman"/>
          <w:lang w:eastAsia="en-GB"/>
        </w:rPr>
        <w:t>preferred compan</w:t>
      </w:r>
      <w:r w:rsidR="0002731A">
        <w:rPr>
          <w:rFonts w:eastAsia="Times New Roman" w:cs="Times New Roman"/>
          <w:lang w:eastAsia="en-GB"/>
        </w:rPr>
        <w:t>ies</w:t>
      </w:r>
      <w:r>
        <w:rPr>
          <w:rFonts w:eastAsia="Times New Roman" w:cs="Times New Roman"/>
          <w:lang w:eastAsia="en-GB"/>
        </w:rPr>
        <w:t xml:space="preserve"> for an internship placement. Following the event, youths indicate which three companies they would be most interested in interning with, </w:t>
      </w:r>
      <w:r w:rsidR="0002731A">
        <w:rPr>
          <w:rFonts w:eastAsia="Times New Roman" w:cs="Times New Roman"/>
          <w:lang w:eastAsia="en-GB"/>
        </w:rPr>
        <w:t xml:space="preserve">their interest is matched with that of the companies </w:t>
      </w:r>
      <w:r>
        <w:rPr>
          <w:rFonts w:eastAsia="Times New Roman" w:cs="Times New Roman"/>
          <w:lang w:eastAsia="en-GB"/>
        </w:rPr>
        <w:t>and the NExTWORK teams organize internships based on these expressions of interest. Generally, internships require the youth to be present at the companies for at least 5-10 hours a week</w:t>
      </w:r>
      <w:r w:rsidR="00630651">
        <w:rPr>
          <w:rFonts w:eastAsia="Times New Roman" w:cs="Times New Roman"/>
          <w:lang w:eastAsia="en-GB"/>
        </w:rPr>
        <w:t xml:space="preserve"> for 3-6 months.</w:t>
      </w:r>
      <w:r w:rsidR="004A66BE">
        <w:rPr>
          <w:rStyle w:val="FootnoteReference"/>
          <w:rFonts w:eastAsia="Times New Roman" w:cs="Times New Roman"/>
          <w:lang w:eastAsia="en-GB"/>
        </w:rPr>
        <w:footnoteReference w:id="3"/>
      </w:r>
      <w:r>
        <w:rPr>
          <w:rFonts w:eastAsia="Times New Roman" w:cs="Times New Roman"/>
          <w:lang w:eastAsia="en-GB"/>
        </w:rPr>
        <w:t xml:space="preserve"> </w:t>
      </w:r>
      <w:r w:rsidR="00630651">
        <w:rPr>
          <w:rFonts w:eastAsia="Times New Roman" w:cs="Times New Roman"/>
          <w:lang w:eastAsia="en-GB"/>
        </w:rPr>
        <w:t>T</w:t>
      </w:r>
      <w:r>
        <w:rPr>
          <w:rFonts w:eastAsia="Times New Roman" w:cs="Times New Roman"/>
          <w:lang w:eastAsia="en-GB"/>
        </w:rPr>
        <w:t xml:space="preserve">he agreed number of hours </w:t>
      </w:r>
      <w:r w:rsidR="00630651">
        <w:rPr>
          <w:rFonts w:eastAsia="Times New Roman" w:cs="Times New Roman"/>
          <w:lang w:eastAsia="en-GB"/>
        </w:rPr>
        <w:t xml:space="preserve">and exact length of the internship </w:t>
      </w:r>
      <w:r>
        <w:rPr>
          <w:rFonts w:eastAsia="Times New Roman" w:cs="Times New Roman"/>
          <w:lang w:eastAsia="en-GB"/>
        </w:rPr>
        <w:t>varies across youths and over time, depending on the youths’ capabilities and level of progression.</w:t>
      </w:r>
    </w:p>
    <w:p w:rsidR="00EE353D" w:rsidRDefault="00EE353D" w:rsidP="00EE353D"/>
    <w:p w:rsidR="00EE353D" w:rsidRDefault="00EE353D" w:rsidP="00110B2F">
      <w:r>
        <w:t xml:space="preserve">While youths are engaged in internships, they meet with their </w:t>
      </w:r>
      <w:r w:rsidR="007741DA">
        <w:t>peer-support</w:t>
      </w:r>
      <w:r w:rsidR="00B22829">
        <w:t xml:space="preserve"> </w:t>
      </w:r>
      <w:r>
        <w:t xml:space="preserve">groups once a week for two hours. Here, they </w:t>
      </w:r>
      <w:r w:rsidRPr="00A20655">
        <w:rPr>
          <w:rFonts w:eastAsia="Times New Roman" w:cs="Times New Roman"/>
          <w:lang w:eastAsia="en-GB"/>
        </w:rPr>
        <w:t>are</w:t>
      </w:r>
      <w:r w:rsidRPr="00581F9F">
        <w:rPr>
          <w:rFonts w:eastAsia="Times New Roman" w:cs="Times New Roman"/>
          <w:lang w:eastAsia="en-GB"/>
        </w:rPr>
        <w:t xml:space="preserve"> given an opportunity to jointly reflect on </w:t>
      </w:r>
      <w:r w:rsidR="00110B2F">
        <w:rPr>
          <w:rFonts w:eastAsia="Times New Roman" w:cs="Times New Roman"/>
          <w:lang w:eastAsia="en-GB"/>
        </w:rPr>
        <w:t xml:space="preserve">and share </w:t>
      </w:r>
      <w:r w:rsidRPr="00581F9F">
        <w:rPr>
          <w:rFonts w:eastAsia="Times New Roman" w:cs="Times New Roman"/>
          <w:lang w:eastAsia="en-GB"/>
        </w:rPr>
        <w:t>their work-related experiences and challenges</w:t>
      </w:r>
      <w:r>
        <w:rPr>
          <w:rFonts w:eastAsia="Times New Roman" w:cs="Times New Roman"/>
          <w:lang w:eastAsia="en-GB"/>
        </w:rPr>
        <w:t xml:space="preserve">, </w:t>
      </w:r>
      <w:r w:rsidR="00B22829">
        <w:rPr>
          <w:rFonts w:eastAsia="Times New Roman" w:cs="Times New Roman"/>
          <w:lang w:eastAsia="en-GB"/>
        </w:rPr>
        <w:t xml:space="preserve">in order to explore </w:t>
      </w:r>
      <w:r w:rsidR="00B22829" w:rsidRPr="00581F9F">
        <w:rPr>
          <w:rFonts w:eastAsia="Times New Roman" w:cs="Times New Roman"/>
          <w:lang w:eastAsia="en-GB"/>
        </w:rPr>
        <w:t xml:space="preserve">ways to overcome personal barriers and engage pro-actively in the workplace. </w:t>
      </w:r>
      <w:r w:rsidRPr="0012700E">
        <w:rPr>
          <w:rFonts w:ascii="Calibri" w:eastAsia="Times New Roman" w:hAnsi="Calibri" w:cs="Calibri"/>
          <w:lang w:val="en-US"/>
        </w:rPr>
        <w:t>The</w:t>
      </w:r>
      <w:r w:rsidR="007741DA">
        <w:rPr>
          <w:rFonts w:ascii="Calibri" w:eastAsia="Times New Roman" w:hAnsi="Calibri" w:cs="Calibri"/>
          <w:lang w:val="en-US"/>
        </w:rPr>
        <w:t>se</w:t>
      </w:r>
      <w:r w:rsidRPr="0012700E">
        <w:rPr>
          <w:rFonts w:ascii="Calibri" w:eastAsia="Times New Roman" w:hAnsi="Calibri" w:cs="Calibri"/>
          <w:lang w:val="en-US"/>
        </w:rPr>
        <w:t xml:space="preserve"> group meetings</w:t>
      </w:r>
      <w:r>
        <w:rPr>
          <w:rFonts w:ascii="Calibri" w:eastAsia="Times New Roman" w:hAnsi="Calibri" w:cs="Calibri"/>
          <w:lang w:val="en-US"/>
        </w:rPr>
        <w:t xml:space="preserve"> are facilitated by a youth counsellor. </w:t>
      </w:r>
      <w:r w:rsidR="00EA3D87">
        <w:rPr>
          <w:rFonts w:ascii="Calibri" w:eastAsia="Times New Roman" w:hAnsi="Calibri" w:cs="Calibri"/>
          <w:lang w:val="en-US"/>
        </w:rPr>
        <w:t>The counsellor</w:t>
      </w:r>
      <w:r w:rsidR="00EA3D87" w:rsidRPr="0012700E">
        <w:rPr>
          <w:rFonts w:ascii="Calibri" w:eastAsia="Times New Roman" w:hAnsi="Calibri" w:cs="Calibri"/>
          <w:lang w:val="en-US"/>
        </w:rPr>
        <w:t xml:space="preserve"> </w:t>
      </w:r>
      <w:r w:rsidR="00EA3D87">
        <w:rPr>
          <w:rFonts w:ascii="Calibri" w:eastAsia="Times New Roman" w:hAnsi="Calibri" w:cs="Calibri"/>
          <w:lang w:val="en-US"/>
        </w:rPr>
        <w:t xml:space="preserve">uses a narrative approach to build work identity among the youth by asking them to </w:t>
      </w:r>
      <w:r w:rsidR="00EA3D87" w:rsidRPr="0012700E">
        <w:rPr>
          <w:rFonts w:ascii="Calibri" w:eastAsia="Times New Roman" w:hAnsi="Calibri" w:cs="Calibri"/>
          <w:lang w:val="en-US"/>
        </w:rPr>
        <w:t>shar</w:t>
      </w:r>
      <w:r w:rsidR="00EA3D87">
        <w:rPr>
          <w:rFonts w:ascii="Calibri" w:eastAsia="Times New Roman" w:hAnsi="Calibri" w:cs="Calibri"/>
          <w:lang w:val="en-US"/>
        </w:rPr>
        <w:t>e</w:t>
      </w:r>
      <w:r w:rsidR="00EA3D87" w:rsidRPr="0012700E">
        <w:rPr>
          <w:rFonts w:ascii="Calibri" w:eastAsia="Times New Roman" w:hAnsi="Calibri" w:cs="Calibri"/>
          <w:lang w:val="en-US"/>
        </w:rPr>
        <w:t xml:space="preserve"> </w:t>
      </w:r>
      <w:r w:rsidR="00EA3D87">
        <w:rPr>
          <w:rFonts w:ascii="Calibri" w:eastAsia="Times New Roman" w:hAnsi="Calibri" w:cs="Calibri"/>
          <w:lang w:val="en-US"/>
        </w:rPr>
        <w:t xml:space="preserve">their </w:t>
      </w:r>
      <w:r w:rsidR="00EA3D87" w:rsidRPr="0012700E">
        <w:rPr>
          <w:rFonts w:ascii="Calibri" w:eastAsia="Times New Roman" w:hAnsi="Calibri" w:cs="Calibri"/>
          <w:lang w:val="en-US"/>
        </w:rPr>
        <w:t xml:space="preserve">work experiences, </w:t>
      </w:r>
      <w:r w:rsidR="00EA3D87">
        <w:rPr>
          <w:rFonts w:ascii="Calibri" w:eastAsia="Times New Roman" w:hAnsi="Calibri" w:cs="Calibri"/>
          <w:lang w:val="en-US"/>
        </w:rPr>
        <w:t xml:space="preserve">and, thereby, </w:t>
      </w:r>
      <w:r w:rsidR="00EA3D87" w:rsidRPr="0012700E">
        <w:rPr>
          <w:rFonts w:ascii="Calibri" w:eastAsia="Times New Roman" w:hAnsi="Calibri" w:cs="Calibri"/>
          <w:lang w:val="en-US"/>
        </w:rPr>
        <w:t>provid</w:t>
      </w:r>
      <w:r w:rsidR="00EA3D87">
        <w:rPr>
          <w:rFonts w:ascii="Calibri" w:eastAsia="Times New Roman" w:hAnsi="Calibri" w:cs="Calibri"/>
          <w:lang w:val="en-US"/>
        </w:rPr>
        <w:t>e</w:t>
      </w:r>
      <w:r w:rsidR="00EA3D87" w:rsidRPr="0012700E">
        <w:rPr>
          <w:rFonts w:ascii="Calibri" w:eastAsia="Times New Roman" w:hAnsi="Calibri" w:cs="Calibri"/>
          <w:lang w:val="en-US"/>
        </w:rPr>
        <w:t xml:space="preserve"> </w:t>
      </w:r>
      <w:r w:rsidR="00EA3D87">
        <w:rPr>
          <w:rFonts w:ascii="Calibri" w:eastAsia="Times New Roman" w:hAnsi="Calibri" w:cs="Calibri"/>
          <w:lang w:val="en-US"/>
        </w:rPr>
        <w:t>everyone in the group</w:t>
      </w:r>
      <w:r w:rsidR="0075238F">
        <w:rPr>
          <w:rFonts w:ascii="Calibri" w:eastAsia="Times New Roman" w:hAnsi="Calibri" w:cs="Calibri"/>
          <w:lang w:val="en-US"/>
        </w:rPr>
        <w:t xml:space="preserve"> with</w:t>
      </w:r>
      <w:r w:rsidR="00EA3D87" w:rsidRPr="0012700E">
        <w:rPr>
          <w:rFonts w:ascii="Calibri" w:eastAsia="Times New Roman" w:hAnsi="Calibri" w:cs="Calibri"/>
          <w:lang w:val="en-US"/>
        </w:rPr>
        <w:t xml:space="preserve"> insights into the different workplaces and work cultures</w:t>
      </w:r>
      <w:r w:rsidR="00841ABF">
        <w:rPr>
          <w:rStyle w:val="FootnoteReference"/>
          <w:rFonts w:ascii="Calibri" w:eastAsia="Times New Roman" w:hAnsi="Calibri" w:cs="Calibri"/>
          <w:lang w:val="en-US"/>
        </w:rPr>
        <w:footnoteReference w:id="4"/>
      </w:r>
      <w:r w:rsidR="00EA3D87" w:rsidRPr="0012700E">
        <w:rPr>
          <w:rFonts w:ascii="Calibri" w:eastAsia="Times New Roman" w:hAnsi="Calibri" w:cs="Calibri"/>
          <w:lang w:val="en-US"/>
        </w:rPr>
        <w:t>.</w:t>
      </w:r>
      <w:r w:rsidR="00EA3D87" w:rsidRPr="0012700E" w:rsidDel="00110B2F">
        <w:rPr>
          <w:rFonts w:ascii="Calibri" w:eastAsia="Times New Roman" w:hAnsi="Calibri" w:cs="Calibri"/>
          <w:lang w:val="en-US"/>
        </w:rPr>
        <w:t xml:space="preserve"> </w:t>
      </w:r>
      <w:r w:rsidR="00110B2F">
        <w:rPr>
          <w:rFonts w:eastAsia="Times New Roman" w:cs="Times New Roman"/>
          <w:lang w:eastAsia="en-GB"/>
        </w:rPr>
        <w:t>I</w:t>
      </w:r>
      <w:r>
        <w:t>ndividual conversations with the youth counsellor and a psychologist are also facilitated</w:t>
      </w:r>
      <w:r w:rsidR="00110B2F">
        <w:t>, though this is not intended to be the primary medium through which support is provided</w:t>
      </w:r>
      <w:r>
        <w:t xml:space="preserve">. </w:t>
      </w:r>
    </w:p>
    <w:p w:rsidR="00EE353D" w:rsidRDefault="00EE353D" w:rsidP="00EE353D"/>
    <w:p w:rsidR="00EE353D" w:rsidRDefault="00EE353D" w:rsidP="00EE353D">
      <w:r>
        <w:t xml:space="preserve">Companies must assign a contact person </w:t>
      </w:r>
      <w:r w:rsidR="00374AD1">
        <w:t>who</w:t>
      </w:r>
      <w:r>
        <w:t xml:space="preserve"> support</w:t>
      </w:r>
      <w:r w:rsidR="00374AD1">
        <w:t>s</w:t>
      </w:r>
      <w:r>
        <w:t xml:space="preserve"> the young person during the internship. </w:t>
      </w:r>
      <w:r w:rsidR="00374AD1">
        <w:t>C</w:t>
      </w:r>
      <w:r>
        <w:t xml:space="preserve">ompanies are encouraged to provide weekly feedback to their interns, and the youths themselves are encouraged to provide weekly feedback on their level of wellbeing and satisfaction with NExTWORK and the companies at which they intern. </w:t>
      </w:r>
    </w:p>
    <w:p w:rsidR="00EE353D" w:rsidRDefault="00EE353D" w:rsidP="00EE353D"/>
    <w:p w:rsidR="00EE353D" w:rsidRDefault="00442809" w:rsidP="00EE353D">
      <w:r>
        <w:lastRenderedPageBreak/>
        <w:t>NExTWORK supports the</w:t>
      </w:r>
      <w:r w:rsidR="00EE353D">
        <w:t xml:space="preserve"> companies that provide internships</w:t>
      </w:r>
      <w:r>
        <w:t xml:space="preserve"> through a company coordinator.</w:t>
      </w:r>
      <w:r w:rsidR="00EE353D">
        <w:t xml:space="preserve"> </w:t>
      </w:r>
      <w:r>
        <w:t>T</w:t>
      </w:r>
      <w:r w:rsidR="00EE353D">
        <w:t xml:space="preserve">he companies can contact </w:t>
      </w:r>
      <w:r>
        <w:t>him/her</w:t>
      </w:r>
      <w:r w:rsidR="00EE353D">
        <w:t xml:space="preserve"> or </w:t>
      </w:r>
      <w:r>
        <w:t xml:space="preserve">the </w:t>
      </w:r>
      <w:r w:rsidR="00EE353D">
        <w:t xml:space="preserve">youth counsellor </w:t>
      </w:r>
      <w:r>
        <w:t xml:space="preserve">of their intern </w:t>
      </w:r>
      <w:r w:rsidR="00EE353D">
        <w:t xml:space="preserve">at any time with queries and concerns about their intern. In addition, company network meetings are facilitated every three months, at which companies can share experiences and problems with other companies in the network and receive guidance from the youth counsellors as well as the NExTWORK psychologist.    </w:t>
      </w:r>
    </w:p>
    <w:p w:rsidR="00EE353D" w:rsidRDefault="00EE353D" w:rsidP="00EE353D"/>
    <w:p w:rsidR="00EE353D" w:rsidRDefault="00EE353D" w:rsidP="00EE353D">
      <w:r>
        <w:t>Every six weeks, youth are called in for a status conversation with their counsellor, at which they discuss progress, and fill in a progress monitoring tool. Youths can stay with a company for three to six months, after which, if they are still with the programme,</w:t>
      </w:r>
      <w:r w:rsidR="004544E9">
        <w:t xml:space="preserve"> they</w:t>
      </w:r>
      <w:r>
        <w:t xml:space="preserve"> are encouraged to try out new internships to be exposed to different work settings. </w:t>
      </w:r>
    </w:p>
    <w:p w:rsidR="00EE353D" w:rsidRDefault="00EE353D" w:rsidP="00EE353D"/>
    <w:p w:rsidR="00676306" w:rsidRDefault="00EE353D" w:rsidP="00676306">
      <w:pPr>
        <w:rPr>
          <w:lang w:val="en-US"/>
        </w:rPr>
      </w:pPr>
      <w:r>
        <w:t>There is no upper limit to the duration of participation in NExTWORK. Individuals exit the programme</w:t>
      </w:r>
      <w:r w:rsidR="00A02FD8">
        <w:t xml:space="preserve"> either</w:t>
      </w:r>
      <w:r>
        <w:t xml:space="preserve"> when they enter employment or education</w:t>
      </w:r>
      <w:r w:rsidR="00F10C91">
        <w:t xml:space="preserve"> </w:t>
      </w:r>
      <w:r w:rsidR="00A02FD8">
        <w:t>or</w:t>
      </w:r>
      <w:r>
        <w:t xml:space="preserve"> when they no longer fulfil </w:t>
      </w:r>
      <w:r w:rsidR="00A02FD8">
        <w:t xml:space="preserve">the </w:t>
      </w:r>
      <w:r>
        <w:t>eligibility criteria, typically because the youth counsellor and case worker in dialogue with the youth agree that the youth needs a</w:t>
      </w:r>
      <w:r w:rsidR="00A02FD8">
        <w:t xml:space="preserve"> higher level of support</w:t>
      </w:r>
      <w:r>
        <w:t xml:space="preserve"> </w:t>
      </w:r>
      <w:r w:rsidR="00A02FD8">
        <w:t xml:space="preserve">than </w:t>
      </w:r>
      <w:r w:rsidR="00AB0DC4">
        <w:t xml:space="preserve">that which </w:t>
      </w:r>
      <w:r>
        <w:t xml:space="preserve">NExTWORK </w:t>
      </w:r>
      <w:r w:rsidR="00A02FD8">
        <w:t>can pro</w:t>
      </w:r>
      <w:r w:rsidR="00121711">
        <w:t xml:space="preserve">vide </w:t>
      </w:r>
      <w:r>
        <w:t>(e.g. treatment for drug abuse</w:t>
      </w:r>
      <w:r w:rsidR="00121711">
        <w:t xml:space="preserve"> or psychiatric problems</w:t>
      </w:r>
      <w:r>
        <w:t>)</w:t>
      </w:r>
      <w:r w:rsidR="00044C70">
        <w:t>.</w:t>
      </w:r>
      <w:r w:rsidR="00676306">
        <w:t xml:space="preserve"> </w:t>
      </w:r>
      <w:r w:rsidR="006F29BA" w:rsidRPr="006942C2">
        <w:rPr>
          <w:lang w:val="en-US"/>
        </w:rPr>
        <w:t xml:space="preserve">A service manual describing NExTWORK in detail is available in Danish and more information can be found on </w:t>
      </w:r>
      <w:hyperlink r:id="rId8" w:history="1">
        <w:r w:rsidR="006F29BA" w:rsidRPr="006942C2">
          <w:rPr>
            <w:rStyle w:val="Hyperlink"/>
            <w:lang w:val="en-US"/>
          </w:rPr>
          <w:t>www.nextworks.dk</w:t>
        </w:r>
      </w:hyperlink>
      <w:r w:rsidR="006F29BA" w:rsidRPr="006942C2">
        <w:rPr>
          <w:lang w:val="en-US"/>
        </w:rPr>
        <w:t>.</w:t>
      </w:r>
      <w:r w:rsidR="006F29BA" w:rsidRPr="006942C2">
        <w:t xml:space="preserve"> </w:t>
      </w:r>
    </w:p>
    <w:p w:rsidR="00EE353D" w:rsidRDefault="00EE353D" w:rsidP="00EE353D"/>
    <w:p w:rsidR="00EE353D" w:rsidRPr="00BD1E46" w:rsidRDefault="00A543D3" w:rsidP="00EE353D">
      <w:pPr>
        <w:pStyle w:val="Heading3"/>
        <w:rPr>
          <w:i/>
          <w:lang w:val="en-US"/>
        </w:rPr>
      </w:pPr>
      <w:r>
        <w:rPr>
          <w:i/>
          <w:lang w:val="en-US"/>
        </w:rPr>
        <w:t>The Gove</w:t>
      </w:r>
      <w:r w:rsidR="00495C4D">
        <w:rPr>
          <w:i/>
          <w:lang w:val="en-US"/>
        </w:rPr>
        <w:t>rnment programme</w:t>
      </w:r>
    </w:p>
    <w:p w:rsidR="00EE353D" w:rsidRDefault="00EE353D" w:rsidP="00EE353D">
      <w:pPr>
        <w:rPr>
          <w:lang w:val="en-US"/>
        </w:rPr>
      </w:pPr>
      <w:r w:rsidRPr="00354C0D">
        <w:rPr>
          <w:lang w:val="en-US"/>
        </w:rPr>
        <w:t>Individuals allocated to the control group</w:t>
      </w:r>
      <w:r w:rsidR="00B424F4">
        <w:rPr>
          <w:lang w:val="en-US"/>
        </w:rPr>
        <w:t xml:space="preserve"> are enrolled in a standard government ALMP</w:t>
      </w:r>
      <w:r w:rsidRPr="00354C0D">
        <w:rPr>
          <w:lang w:val="en-US"/>
        </w:rPr>
        <w:t xml:space="preserve">. </w:t>
      </w:r>
      <w:r>
        <w:rPr>
          <w:lang w:val="en-US"/>
        </w:rPr>
        <w:t xml:space="preserve">The </w:t>
      </w:r>
      <w:r w:rsidR="00B424F4">
        <w:rPr>
          <w:lang w:val="en-US"/>
        </w:rPr>
        <w:t>benefit entitlements</w:t>
      </w:r>
      <w:r>
        <w:rPr>
          <w:lang w:val="en-US"/>
        </w:rPr>
        <w:t xml:space="preserve"> and obligations of youth depend on </w:t>
      </w:r>
      <w:r w:rsidR="00B424F4">
        <w:rPr>
          <w:lang w:val="en-US"/>
        </w:rPr>
        <w:t xml:space="preserve">the </w:t>
      </w:r>
      <w:r>
        <w:rPr>
          <w:lang w:val="en-US"/>
        </w:rPr>
        <w:t xml:space="preserve">LAB </w:t>
      </w:r>
      <w:r w:rsidR="006942C2">
        <w:rPr>
          <w:lang w:val="en-US"/>
        </w:rPr>
        <w:t>(</w:t>
      </w:r>
      <w:proofErr w:type="spellStart"/>
      <w:r w:rsidR="006942C2" w:rsidRPr="00044C70">
        <w:rPr>
          <w:i/>
          <w:lang w:val="en-US"/>
        </w:rPr>
        <w:t>Lov</w:t>
      </w:r>
      <w:proofErr w:type="spellEnd"/>
      <w:r w:rsidR="006942C2" w:rsidRPr="00044C70">
        <w:rPr>
          <w:i/>
          <w:lang w:val="en-US"/>
        </w:rPr>
        <w:t xml:space="preserve"> </w:t>
      </w:r>
      <w:proofErr w:type="spellStart"/>
      <w:r w:rsidR="006942C2" w:rsidRPr="00044C70">
        <w:rPr>
          <w:i/>
          <w:lang w:val="en-US"/>
        </w:rPr>
        <w:t>om</w:t>
      </w:r>
      <w:proofErr w:type="spellEnd"/>
      <w:r w:rsidR="006942C2" w:rsidRPr="00044C70">
        <w:rPr>
          <w:i/>
          <w:lang w:val="en-US"/>
        </w:rPr>
        <w:t xml:space="preserve"> en </w:t>
      </w:r>
      <w:proofErr w:type="spellStart"/>
      <w:r w:rsidR="006942C2" w:rsidRPr="00044C70">
        <w:rPr>
          <w:i/>
          <w:lang w:val="en-US"/>
        </w:rPr>
        <w:t>Aktiv</w:t>
      </w:r>
      <w:proofErr w:type="spellEnd"/>
      <w:r w:rsidR="006942C2" w:rsidRPr="00044C70">
        <w:rPr>
          <w:i/>
          <w:lang w:val="en-US"/>
        </w:rPr>
        <w:t xml:space="preserve"> </w:t>
      </w:r>
      <w:proofErr w:type="spellStart"/>
      <w:r w:rsidR="006942C2" w:rsidRPr="00044C70">
        <w:rPr>
          <w:i/>
          <w:lang w:val="en-US"/>
        </w:rPr>
        <w:t>beskæftigelsespolitik</w:t>
      </w:r>
      <w:proofErr w:type="spellEnd"/>
      <w:r w:rsidR="006942C2">
        <w:rPr>
          <w:lang w:val="en-US"/>
        </w:rPr>
        <w:t>)</w:t>
      </w:r>
      <w:r w:rsidR="006942C2">
        <w:rPr>
          <w:rStyle w:val="FootnoteReference"/>
          <w:lang w:val="en-US"/>
        </w:rPr>
        <w:footnoteReference w:id="5"/>
      </w:r>
      <w:r w:rsidR="006942C2">
        <w:rPr>
          <w:lang w:val="en-US"/>
        </w:rPr>
        <w:t xml:space="preserve"> </w:t>
      </w:r>
      <w:r>
        <w:rPr>
          <w:lang w:val="en-US"/>
        </w:rPr>
        <w:t xml:space="preserve">category they belong to, </w:t>
      </w:r>
      <w:r w:rsidR="00B424F4">
        <w:rPr>
          <w:lang w:val="en-US"/>
        </w:rPr>
        <w:t xml:space="preserve">which is determined by </w:t>
      </w:r>
      <w:r>
        <w:rPr>
          <w:lang w:val="en-US"/>
        </w:rPr>
        <w:t xml:space="preserve">caseworkers’ assessment of the needs and capabilities of youths. For youth without a </w:t>
      </w:r>
      <w:r w:rsidR="004427DA">
        <w:rPr>
          <w:lang w:val="en-US"/>
        </w:rPr>
        <w:t>‘</w:t>
      </w:r>
      <w:r>
        <w:rPr>
          <w:lang w:val="en-US"/>
        </w:rPr>
        <w:t>qualifying</w:t>
      </w:r>
      <w:r w:rsidR="004427DA">
        <w:rPr>
          <w:lang w:val="en-US"/>
        </w:rPr>
        <w:t>’</w:t>
      </w:r>
      <w:r>
        <w:rPr>
          <w:lang w:val="en-US"/>
        </w:rPr>
        <w:t xml:space="preserve"> </w:t>
      </w:r>
      <w:r w:rsidR="004427DA">
        <w:rPr>
          <w:lang w:val="en-US"/>
        </w:rPr>
        <w:t xml:space="preserve">education – an </w:t>
      </w:r>
      <w:r w:rsidR="004427DA">
        <w:t>academic qualification sufficient to enable them to progress to higher education</w:t>
      </w:r>
      <w:r w:rsidR="004427DA" w:rsidRPr="001F002B">
        <w:t xml:space="preserve">, </w:t>
      </w:r>
      <w:r w:rsidR="004427DA">
        <w:t>or a vocational qualification</w:t>
      </w:r>
      <w:r w:rsidR="004427DA" w:rsidRPr="001F002B">
        <w:t xml:space="preserve"> </w:t>
      </w:r>
      <w:r w:rsidR="004427DA">
        <w:t>of</w:t>
      </w:r>
      <w:r w:rsidR="004427DA" w:rsidRPr="001F002B">
        <w:t xml:space="preserve"> direct use </w:t>
      </w:r>
      <w:r w:rsidR="004427DA">
        <w:t>i</w:t>
      </w:r>
      <w:r w:rsidR="004427DA" w:rsidRPr="001F002B">
        <w:t>n the labour market</w:t>
      </w:r>
      <w:r w:rsidR="004427DA">
        <w:rPr>
          <w:lang w:val="en-US"/>
        </w:rPr>
        <w:t xml:space="preserve"> – </w:t>
      </w:r>
      <w:r>
        <w:rPr>
          <w:lang w:val="en-US"/>
        </w:rPr>
        <w:t xml:space="preserve">(LAB </w:t>
      </w:r>
      <w:r w:rsidR="005C1E65">
        <w:rPr>
          <w:lang w:val="en-US"/>
        </w:rPr>
        <w:t xml:space="preserve">categories </w:t>
      </w:r>
      <w:r>
        <w:rPr>
          <w:lang w:val="en-US"/>
        </w:rPr>
        <w:t>2.12 and 2.13</w:t>
      </w:r>
      <w:r w:rsidR="005C1E65">
        <w:rPr>
          <w:lang w:val="en-US"/>
        </w:rPr>
        <w:t xml:space="preserve">, “Ready for Education” and “Ready for Activity” </w:t>
      </w:r>
      <w:r w:rsidR="00A30F88">
        <w:rPr>
          <w:lang w:val="en-US"/>
        </w:rPr>
        <w:t>respectively</w:t>
      </w:r>
      <w:r>
        <w:rPr>
          <w:lang w:val="en-US"/>
        </w:rPr>
        <w:t xml:space="preserve">), the goal of participation in </w:t>
      </w:r>
      <w:r w:rsidR="0057607F">
        <w:rPr>
          <w:lang w:val="en-US"/>
        </w:rPr>
        <w:t>activation</w:t>
      </w:r>
      <w:r>
        <w:rPr>
          <w:lang w:val="en-US"/>
        </w:rPr>
        <w:t xml:space="preserve"> measures is enrollment in education.</w:t>
      </w:r>
      <w:r>
        <w:rPr>
          <w:rStyle w:val="FootnoteReference"/>
          <w:lang w:val="en-US"/>
        </w:rPr>
        <w:footnoteReference w:id="6"/>
      </w:r>
      <w:r>
        <w:rPr>
          <w:lang w:val="en-US"/>
        </w:rPr>
        <w:t xml:space="preserve"> </w:t>
      </w:r>
    </w:p>
    <w:p w:rsidR="00EE353D" w:rsidRDefault="00EE353D" w:rsidP="00EE353D">
      <w:pPr>
        <w:rPr>
          <w:lang w:val="en-US"/>
        </w:rPr>
      </w:pPr>
    </w:p>
    <w:p w:rsidR="001C0D8E" w:rsidRDefault="00EE353D" w:rsidP="005C6464">
      <w:pPr>
        <w:rPr>
          <w:rFonts w:asciiTheme="majorHAnsi" w:eastAsiaTheme="majorEastAsia" w:hAnsiTheme="majorHAnsi" w:cstheme="majorBidi"/>
          <w:color w:val="2F5496" w:themeColor="accent1" w:themeShade="BF"/>
          <w:sz w:val="32"/>
          <w:szCs w:val="32"/>
          <w:lang w:eastAsia="en-GB"/>
        </w:rPr>
      </w:pPr>
      <w:r>
        <w:rPr>
          <w:lang w:val="en-US"/>
        </w:rPr>
        <w:t xml:space="preserve">In general, CV-courses, life-skills courses, math and literacy courses and company internships are typical </w:t>
      </w:r>
      <w:r w:rsidR="005C1E65">
        <w:rPr>
          <w:lang w:val="en-US"/>
        </w:rPr>
        <w:t>ALMP</w:t>
      </w:r>
      <w:r>
        <w:rPr>
          <w:lang w:val="en-US"/>
        </w:rPr>
        <w:t xml:space="preserve"> activities for the </w:t>
      </w:r>
      <w:r w:rsidR="005C1E65">
        <w:rPr>
          <w:lang w:val="en-US"/>
        </w:rPr>
        <w:t xml:space="preserve">control </w:t>
      </w:r>
      <w:r>
        <w:rPr>
          <w:lang w:val="en-US"/>
        </w:rPr>
        <w:t xml:space="preserve">group. For youth classified as “Ready for Education”, the activities provided typically center around getting the youth acquainted with and ready for the educational system. This can include tailored stays at the local vocational schools to be able to make an informed choice of education, company internships, and special focus on upgrading math and Danish skills to be able to pass the education entry requirements. For the youth classified as “Ready for Activity”, the additional activities offered carry a larger element of support, such as mentoring and participation in physical and social activities. </w:t>
      </w:r>
      <w:r w:rsidR="001C0D8E">
        <w:rPr>
          <w:lang w:eastAsia="en-GB"/>
        </w:rPr>
        <w:br w:type="page"/>
      </w:r>
    </w:p>
    <w:p w:rsidR="009F6F5F" w:rsidRPr="002B7BE3" w:rsidRDefault="00EE353D" w:rsidP="007D5CDA">
      <w:pPr>
        <w:pStyle w:val="Heading1"/>
        <w:rPr>
          <w:highlight w:val="yellow"/>
          <w:lang w:eastAsia="en-GB"/>
        </w:rPr>
      </w:pPr>
      <w:r>
        <w:rPr>
          <w:lang w:eastAsia="en-GB"/>
        </w:rPr>
        <w:lastRenderedPageBreak/>
        <w:t xml:space="preserve">3. </w:t>
      </w:r>
      <w:r w:rsidR="009F6F5F" w:rsidRPr="005D01DF">
        <w:rPr>
          <w:lang w:eastAsia="en-GB"/>
        </w:rPr>
        <w:t xml:space="preserve">Study Design </w:t>
      </w:r>
    </w:p>
    <w:p w:rsidR="009F6F5F" w:rsidRPr="006B62B2" w:rsidRDefault="009F6F5F" w:rsidP="009F6F5F">
      <w:pPr>
        <w:pStyle w:val="Heading2"/>
        <w:rPr>
          <w:lang w:val="en-US"/>
        </w:rPr>
      </w:pPr>
      <w:r w:rsidRPr="006B62B2">
        <w:rPr>
          <w:lang w:val="en-US"/>
        </w:rPr>
        <w:t>Trial design</w:t>
      </w:r>
    </w:p>
    <w:p w:rsidR="009F6F5F" w:rsidRPr="006B62B2" w:rsidRDefault="009F6F5F" w:rsidP="009F6F5F">
      <w:pPr>
        <w:rPr>
          <w:lang w:val="en-US"/>
        </w:rPr>
      </w:pPr>
      <w:r w:rsidRPr="006B62B2">
        <w:rPr>
          <w:lang w:val="en-US"/>
        </w:rPr>
        <w:t>The trial is designed as a stratified</w:t>
      </w:r>
      <w:r>
        <w:rPr>
          <w:lang w:val="en-US"/>
        </w:rPr>
        <w:t xml:space="preserve"> </w:t>
      </w:r>
      <w:r w:rsidRPr="006B62B2">
        <w:rPr>
          <w:lang w:val="en-US"/>
        </w:rPr>
        <w:t>randomized trial. Within each municipality, participants are randomly assigned to either NExTWORK (the treatment group</w:t>
      </w:r>
      <w:r>
        <w:rPr>
          <w:lang w:val="en-US"/>
        </w:rPr>
        <w:t>, T</w:t>
      </w:r>
      <w:r w:rsidRPr="006B62B2">
        <w:rPr>
          <w:lang w:val="en-US"/>
        </w:rPr>
        <w:t>) or service as usual (the control group</w:t>
      </w:r>
      <w:r>
        <w:rPr>
          <w:lang w:val="en-US"/>
        </w:rPr>
        <w:t>, C</w:t>
      </w:r>
      <w:r w:rsidRPr="006B62B2">
        <w:rPr>
          <w:lang w:val="en-US"/>
        </w:rPr>
        <w:t>). The aim is</w:t>
      </w:r>
      <w:r>
        <w:rPr>
          <w:lang w:val="en-US"/>
        </w:rPr>
        <w:t xml:space="preserve"> </w:t>
      </w:r>
      <w:r w:rsidRPr="006B62B2">
        <w:rPr>
          <w:lang w:val="en-US"/>
        </w:rPr>
        <w:t xml:space="preserve">to have </w:t>
      </w:r>
      <w:r>
        <w:rPr>
          <w:lang w:val="en-US"/>
        </w:rPr>
        <w:t xml:space="preserve">an average of </w:t>
      </w:r>
      <w:r w:rsidRPr="006B62B2">
        <w:rPr>
          <w:lang w:val="en-US"/>
        </w:rPr>
        <w:t xml:space="preserve">45 individuals in the treatment group </w:t>
      </w:r>
      <w:r>
        <w:rPr>
          <w:lang w:val="en-US"/>
        </w:rPr>
        <w:t>at any point in time</w:t>
      </w:r>
      <w:r w:rsidRPr="006B62B2">
        <w:rPr>
          <w:lang w:val="en-US"/>
        </w:rPr>
        <w:t xml:space="preserve"> in each municipality throughout the project period. The number of individuals randomized </w:t>
      </w:r>
      <w:r>
        <w:rPr>
          <w:lang w:val="en-US"/>
        </w:rPr>
        <w:t>into</w:t>
      </w:r>
      <w:r w:rsidRPr="006B62B2">
        <w:rPr>
          <w:lang w:val="en-US"/>
        </w:rPr>
        <w:t xml:space="preserve"> the </w:t>
      </w:r>
      <w:r w:rsidR="001C0D8E">
        <w:rPr>
          <w:lang w:val="en-US"/>
        </w:rPr>
        <w:t>treatment and control groups</w:t>
      </w:r>
      <w:r w:rsidR="001C0D8E" w:rsidRPr="006B62B2">
        <w:rPr>
          <w:lang w:val="en-US"/>
        </w:rPr>
        <w:t xml:space="preserve"> </w:t>
      </w:r>
      <w:r w:rsidRPr="006B62B2">
        <w:rPr>
          <w:lang w:val="en-US"/>
        </w:rPr>
        <w:t xml:space="preserve">will </w:t>
      </w:r>
      <w:r>
        <w:rPr>
          <w:lang w:val="en-US"/>
        </w:rPr>
        <w:t xml:space="preserve">be </w:t>
      </w:r>
      <w:r w:rsidRPr="006B62B2">
        <w:rPr>
          <w:lang w:val="en-US"/>
        </w:rPr>
        <w:t>adjust</w:t>
      </w:r>
      <w:r>
        <w:rPr>
          <w:lang w:val="en-US"/>
        </w:rPr>
        <w:t>ed</w:t>
      </w:r>
      <w:r w:rsidRPr="006B62B2">
        <w:rPr>
          <w:lang w:val="en-US"/>
        </w:rPr>
        <w:t xml:space="preserve"> to </w:t>
      </w:r>
      <w:r w:rsidR="001C0D8E">
        <w:rPr>
          <w:lang w:val="en-US"/>
        </w:rPr>
        <w:t>meet this target</w:t>
      </w:r>
      <w:r w:rsidRPr="006B62B2">
        <w:rPr>
          <w:lang w:val="en-US"/>
        </w:rPr>
        <w:t xml:space="preserve">. </w:t>
      </w:r>
      <w:r>
        <w:t>Expected average programme participation duration is 6 months per person</w:t>
      </w:r>
      <w:r w:rsidR="00D1302A">
        <w:rPr>
          <w:lang w:val="en-US"/>
        </w:rPr>
        <w:t>, meaning we expect to treat 90 youth per municipality per year.</w:t>
      </w:r>
      <w:r>
        <w:rPr>
          <w:lang w:val="en-US"/>
        </w:rPr>
        <w:t xml:space="preserve"> </w:t>
      </w:r>
    </w:p>
    <w:p w:rsidR="009F6F5F" w:rsidRDefault="009F6F5F" w:rsidP="009F6F5F">
      <w:pPr>
        <w:rPr>
          <w:lang w:val="en-US"/>
        </w:rPr>
      </w:pPr>
    </w:p>
    <w:p w:rsidR="009F6F5F" w:rsidRPr="006B62B2" w:rsidRDefault="009F6F5F" w:rsidP="009F6F5F">
      <w:pPr>
        <w:pStyle w:val="Heading2"/>
        <w:rPr>
          <w:lang w:val="en-US"/>
        </w:rPr>
      </w:pPr>
      <w:r w:rsidRPr="006B62B2">
        <w:rPr>
          <w:lang w:val="en-US"/>
        </w:rPr>
        <w:t>Participants</w:t>
      </w:r>
    </w:p>
    <w:p w:rsidR="009F6F5F" w:rsidRPr="006B62B2" w:rsidRDefault="009F6F5F" w:rsidP="009F6F5F">
      <w:pPr>
        <w:pStyle w:val="Heading3"/>
        <w:rPr>
          <w:lang w:val="en-US"/>
        </w:rPr>
      </w:pPr>
      <w:r w:rsidRPr="006B62B2">
        <w:rPr>
          <w:lang w:val="en-US"/>
        </w:rPr>
        <w:t>Eligibility and recruitment</w:t>
      </w:r>
    </w:p>
    <w:p w:rsidR="000E3D84" w:rsidRPr="000E3D84" w:rsidRDefault="009F6F5F" w:rsidP="009F6F5F">
      <w:pPr>
        <w:rPr>
          <w:lang w:val="en-US"/>
        </w:rPr>
      </w:pPr>
      <w:r w:rsidRPr="006B62B2">
        <w:rPr>
          <w:lang w:val="en-US"/>
        </w:rPr>
        <w:t>The</w:t>
      </w:r>
      <w:r w:rsidR="00B110F6">
        <w:rPr>
          <w:lang w:val="en-US"/>
        </w:rPr>
        <w:t xml:space="preserve"> trial is being conducted across 5 municipalities: Roskilde, Copenhagen, </w:t>
      </w:r>
      <w:r w:rsidR="00B110F6" w:rsidRPr="006E5704">
        <w:rPr>
          <w:lang w:val="en-US"/>
        </w:rPr>
        <w:t>Sønderborg</w:t>
      </w:r>
      <w:r w:rsidR="00B110F6">
        <w:rPr>
          <w:lang w:val="en-US"/>
        </w:rPr>
        <w:t xml:space="preserve">, Horsens and </w:t>
      </w:r>
      <w:proofErr w:type="spellStart"/>
      <w:r w:rsidR="00B110F6">
        <w:rPr>
          <w:lang w:val="en-US"/>
        </w:rPr>
        <w:t>Vejle</w:t>
      </w:r>
      <w:proofErr w:type="spellEnd"/>
      <w:r>
        <w:rPr>
          <w:lang w:val="en-US"/>
        </w:rPr>
        <w:t>.</w:t>
      </w:r>
      <w:r w:rsidR="00B110F6">
        <w:rPr>
          <w:lang w:val="en-US"/>
        </w:rPr>
        <w:t xml:space="preserve"> </w:t>
      </w:r>
      <w:r w:rsidR="000E3D84" w:rsidRPr="000E3D84">
        <w:rPr>
          <w:iCs/>
          <w:lang w:val="en-US"/>
        </w:rPr>
        <w:t>In all municipalities, the primary target group consists of youth between the ages of 18 and 29 who receive social assistance and who do not have a ‘qualifying’ education. That corresponds to youths classified as LAB 2.12</w:t>
      </w:r>
      <w:r w:rsidR="00CB14BF">
        <w:rPr>
          <w:rStyle w:val="FootnoteReference"/>
          <w:iCs/>
          <w:lang w:val="en-US"/>
        </w:rPr>
        <w:footnoteReference w:id="7"/>
      </w:r>
      <w:r w:rsidR="000E3D84" w:rsidRPr="000E3D84">
        <w:rPr>
          <w:iCs/>
          <w:lang w:val="en-US"/>
        </w:rPr>
        <w:t xml:space="preserve"> or LAB 2.13</w:t>
      </w:r>
      <w:r w:rsidR="00CB14BF">
        <w:rPr>
          <w:rStyle w:val="FootnoteReference"/>
          <w:iCs/>
          <w:lang w:val="en-US"/>
        </w:rPr>
        <w:footnoteReference w:id="8"/>
      </w:r>
      <w:r w:rsidR="000E3D84" w:rsidRPr="000E3D84">
        <w:rPr>
          <w:iCs/>
          <w:lang w:val="en-US"/>
        </w:rPr>
        <w:t>. In Copenhagen, however, only youth classified as LAB 2.13 are eligible for randomization. In Roskilde and Copenhagen, a small number of youth from LAB categories 2.2</w:t>
      </w:r>
      <w:r w:rsidR="00CB14BF">
        <w:rPr>
          <w:rStyle w:val="FootnoteReference"/>
          <w:iCs/>
          <w:lang w:val="en-US"/>
        </w:rPr>
        <w:footnoteReference w:id="9"/>
      </w:r>
      <w:r w:rsidR="000E3D84" w:rsidRPr="000E3D84">
        <w:rPr>
          <w:iCs/>
          <w:lang w:val="en-US"/>
        </w:rPr>
        <w:t xml:space="preserve"> and 2.3</w:t>
      </w:r>
      <w:r w:rsidR="00CB14BF">
        <w:rPr>
          <w:rStyle w:val="FootnoteReference"/>
          <w:iCs/>
          <w:lang w:val="en-US"/>
        </w:rPr>
        <w:footnoteReference w:id="10"/>
      </w:r>
      <w:r w:rsidR="000E3D84" w:rsidRPr="000E3D84">
        <w:rPr>
          <w:iCs/>
          <w:lang w:val="en-US"/>
        </w:rPr>
        <w:t xml:space="preserve"> are enrolled in the NExTWORK programme as well, but they will not be included in the trial.</w:t>
      </w:r>
    </w:p>
    <w:p w:rsidR="000E3D84" w:rsidRDefault="000E3D84" w:rsidP="009F6F5F">
      <w:pPr>
        <w:rPr>
          <w:lang w:val="en-US"/>
        </w:rPr>
      </w:pPr>
    </w:p>
    <w:p w:rsidR="00194E56" w:rsidRDefault="009F6F5F" w:rsidP="009F6F5F">
      <w:pPr>
        <w:rPr>
          <w:lang w:val="en-US"/>
        </w:rPr>
      </w:pPr>
      <w:r w:rsidRPr="006B62B2">
        <w:rPr>
          <w:lang w:val="en-US"/>
        </w:rPr>
        <w:t xml:space="preserve">Across municipalities and irrespective of classification, youths are excluded from the trial if they </w:t>
      </w:r>
      <w:bookmarkStart w:id="5" w:name="_Hlk529786074"/>
      <w:r w:rsidRPr="006B62B2">
        <w:rPr>
          <w:lang w:val="en-US"/>
        </w:rPr>
        <w:t>are exempt</w:t>
      </w:r>
      <w:r>
        <w:rPr>
          <w:lang w:val="en-US"/>
        </w:rPr>
        <w:t>ed</w:t>
      </w:r>
      <w:r w:rsidRPr="006B62B2">
        <w:rPr>
          <w:lang w:val="en-US"/>
        </w:rPr>
        <w:t xml:space="preserve"> from </w:t>
      </w:r>
      <w:r>
        <w:rPr>
          <w:lang w:val="en-US"/>
        </w:rPr>
        <w:t>participating in active measures</w:t>
      </w:r>
      <w:bookmarkEnd w:id="5"/>
      <w:r w:rsidR="00DB5ABD">
        <w:rPr>
          <w:lang w:val="en-US"/>
        </w:rPr>
        <w:t>.</w:t>
      </w:r>
      <w:r w:rsidRPr="006B62B2">
        <w:rPr>
          <w:rStyle w:val="FootnoteReference"/>
          <w:lang w:val="en-US"/>
        </w:rPr>
        <w:footnoteReference w:id="11"/>
      </w:r>
      <w:r w:rsidRPr="006A6FEA">
        <w:rPr>
          <w:lang w:val="en-US"/>
        </w:rPr>
        <w:t xml:space="preserve"> </w:t>
      </w:r>
      <w:r>
        <w:rPr>
          <w:lang w:val="en-US"/>
        </w:rPr>
        <w:t xml:space="preserve">In addition, youth </w:t>
      </w:r>
      <w:r w:rsidR="004A3304">
        <w:rPr>
          <w:lang w:val="en-US"/>
        </w:rPr>
        <w:t>who</w:t>
      </w:r>
      <w:r>
        <w:rPr>
          <w:lang w:val="en-US"/>
        </w:rPr>
        <w:t xml:space="preserve"> are about to start an education, go on maternity leave, go to prison</w:t>
      </w:r>
      <w:r w:rsidR="00DB16CE">
        <w:rPr>
          <w:lang w:val="en-US"/>
        </w:rPr>
        <w:t>, go into intensive treatment</w:t>
      </w:r>
      <w:r>
        <w:rPr>
          <w:lang w:val="en-US"/>
        </w:rPr>
        <w:t xml:space="preserve"> or otherwise</w:t>
      </w:r>
      <w:r w:rsidR="007C19EA">
        <w:rPr>
          <w:lang w:val="en-US"/>
        </w:rPr>
        <w:t xml:space="preserve"> will</w:t>
      </w:r>
      <w:r>
        <w:rPr>
          <w:lang w:val="en-US"/>
        </w:rPr>
        <w:t xml:space="preserve"> be unavailable for a long period will be excluded. </w:t>
      </w:r>
    </w:p>
    <w:p w:rsidR="00671F59" w:rsidRDefault="00671F59" w:rsidP="009F6F5F">
      <w:pPr>
        <w:rPr>
          <w:lang w:val="en-US"/>
        </w:rPr>
      </w:pPr>
    </w:p>
    <w:p w:rsidR="00671F59" w:rsidRPr="002B7BE3" w:rsidRDefault="00194E56" w:rsidP="009F6F5F">
      <w:pPr>
        <w:rPr>
          <w:highlight w:val="yellow"/>
          <w:lang w:val="en-US"/>
        </w:rPr>
      </w:pPr>
      <w:r>
        <w:rPr>
          <w:lang w:val="en-US"/>
        </w:rPr>
        <w:t xml:space="preserve">A final </w:t>
      </w:r>
      <w:r w:rsidR="00671F59" w:rsidRPr="00671F59">
        <w:rPr>
          <w:lang w:val="en-US"/>
        </w:rPr>
        <w:t xml:space="preserve">assessment of whether </w:t>
      </w:r>
      <w:r w:rsidR="0086770E">
        <w:rPr>
          <w:lang w:val="en-US"/>
        </w:rPr>
        <w:t>someone</w:t>
      </w:r>
      <w:r w:rsidR="00671F59" w:rsidRPr="00671F59">
        <w:rPr>
          <w:lang w:val="en-US"/>
        </w:rPr>
        <w:t xml:space="preserve"> is eligible for </w:t>
      </w:r>
      <w:r w:rsidR="0086770E">
        <w:rPr>
          <w:lang w:val="en-US"/>
        </w:rPr>
        <w:t xml:space="preserve">randomization </w:t>
      </w:r>
      <w:r w:rsidR="00F1629C">
        <w:rPr>
          <w:lang w:val="en-US"/>
        </w:rPr>
        <w:t>is made by the</w:t>
      </w:r>
      <w:r w:rsidR="0086770E">
        <w:rPr>
          <w:lang w:val="en-US"/>
        </w:rPr>
        <w:t>ir</w:t>
      </w:r>
      <w:r w:rsidR="00F1629C">
        <w:rPr>
          <w:lang w:val="en-US"/>
        </w:rPr>
        <w:t xml:space="preserve"> caseworker </w:t>
      </w:r>
      <w:r w:rsidR="00DB16CE">
        <w:rPr>
          <w:lang w:val="en-US"/>
        </w:rPr>
        <w:t xml:space="preserve">as part of their regular </w:t>
      </w:r>
      <w:r w:rsidR="00F1629C">
        <w:rPr>
          <w:lang w:val="en-US"/>
        </w:rPr>
        <w:t>meeting</w:t>
      </w:r>
      <w:r w:rsidR="00DB16CE">
        <w:rPr>
          <w:lang w:val="en-US"/>
        </w:rPr>
        <w:t>s with the youth</w:t>
      </w:r>
      <w:r w:rsidR="00671F59" w:rsidRPr="00671F59">
        <w:rPr>
          <w:lang w:val="en-US"/>
        </w:rPr>
        <w:t xml:space="preserve">. </w:t>
      </w:r>
      <w:r w:rsidR="00DB16CE">
        <w:rPr>
          <w:lang w:val="en-US"/>
        </w:rPr>
        <w:t>If the young person meets the eligibility criteria</w:t>
      </w:r>
      <w:r>
        <w:rPr>
          <w:lang w:val="en-US"/>
        </w:rPr>
        <w:t xml:space="preserve"> above, and is not deemed by the caseworker to have insufficient ability to participate in weekly groups or sustain regular attendance at a workplace</w:t>
      </w:r>
      <w:r w:rsidR="0086770E">
        <w:rPr>
          <w:lang w:val="en-US"/>
        </w:rPr>
        <w:t xml:space="preserve"> (basic requirements of the NExTWORK programme)</w:t>
      </w:r>
      <w:r w:rsidR="00DB16CE">
        <w:rPr>
          <w:lang w:val="en-US"/>
        </w:rPr>
        <w:t>, the caseworker</w:t>
      </w:r>
      <w:r w:rsidR="0086770E">
        <w:rPr>
          <w:lang w:val="en-US"/>
        </w:rPr>
        <w:t xml:space="preserve"> uses a randomization tool to assign the youth either treatment or control status.</w:t>
      </w:r>
      <w:r w:rsidR="0086770E">
        <w:rPr>
          <w:rStyle w:val="FootnoteReference"/>
          <w:lang w:val="en-US"/>
        </w:rPr>
        <w:footnoteReference w:id="12"/>
      </w:r>
    </w:p>
    <w:p w:rsidR="0086770E" w:rsidRDefault="0086770E" w:rsidP="009F6F5F">
      <w:pPr>
        <w:pStyle w:val="Heading3"/>
        <w:rPr>
          <w:lang w:val="en-US"/>
        </w:rPr>
      </w:pPr>
    </w:p>
    <w:p w:rsidR="009F6F5F" w:rsidRPr="00030D4E" w:rsidRDefault="009F6F5F" w:rsidP="009F6F5F">
      <w:pPr>
        <w:pStyle w:val="Heading3"/>
        <w:rPr>
          <w:lang w:val="en-US"/>
        </w:rPr>
      </w:pPr>
      <w:r w:rsidRPr="00030D4E">
        <w:rPr>
          <w:lang w:val="en-US"/>
        </w:rPr>
        <w:t>Randomi</w:t>
      </w:r>
      <w:r w:rsidR="00C074B2">
        <w:rPr>
          <w:lang w:val="en-US"/>
        </w:rPr>
        <w:t>s</w:t>
      </w:r>
      <w:r w:rsidRPr="00030D4E">
        <w:rPr>
          <w:lang w:val="en-US"/>
        </w:rPr>
        <w:t>ation</w:t>
      </w:r>
    </w:p>
    <w:p w:rsidR="009F6F5F" w:rsidRDefault="009F6F5F" w:rsidP="009F6F5F">
      <w:pPr>
        <w:shd w:val="clear" w:color="auto" w:fill="FFFFFF" w:themeFill="background1"/>
        <w:rPr>
          <w:lang w:val="en-US"/>
        </w:rPr>
      </w:pPr>
      <w:r>
        <w:rPr>
          <w:lang w:val="en-US"/>
        </w:rPr>
        <w:t>Randomi</w:t>
      </w:r>
      <w:r w:rsidR="00C074B2">
        <w:rPr>
          <w:lang w:val="en-US"/>
        </w:rPr>
        <w:t>s</w:t>
      </w:r>
      <w:r>
        <w:rPr>
          <w:lang w:val="en-US"/>
        </w:rPr>
        <w:t xml:space="preserve">ation is performed using allocation sequences with permuted blocks of randomly varying size (4 and 6). Separate allocation sequences are created for each </w:t>
      </w:r>
      <w:r w:rsidR="0066786C">
        <w:rPr>
          <w:lang w:val="en-US"/>
        </w:rPr>
        <w:t xml:space="preserve">stratum </w:t>
      </w:r>
      <w:r>
        <w:rPr>
          <w:lang w:val="en-US"/>
        </w:rPr>
        <w:t xml:space="preserve">of the included LAB categories </w:t>
      </w:r>
      <w:r w:rsidR="007A6A01">
        <w:rPr>
          <w:lang w:val="en-US"/>
        </w:rPr>
        <w:t>for each municipality</w:t>
      </w:r>
      <w:r>
        <w:rPr>
          <w:lang w:val="en-US"/>
        </w:rPr>
        <w:t>. The allocation ratio</w:t>
      </w:r>
      <w:r w:rsidR="007C19EA">
        <w:rPr>
          <w:lang w:val="en-US"/>
        </w:rPr>
        <w:t xml:space="preserve"> between treatment and control groups</w:t>
      </w:r>
      <w:r>
        <w:rPr>
          <w:lang w:val="en-US"/>
        </w:rPr>
        <w:t xml:space="preserve"> is either 1:1 or 1:2, depending on the ratio of</w:t>
      </w:r>
      <w:r w:rsidR="007C19EA">
        <w:rPr>
          <w:lang w:val="en-US"/>
        </w:rPr>
        <w:t xml:space="preserve"> open spaces</w:t>
      </w:r>
      <w:r w:rsidR="004B18C4">
        <w:rPr>
          <w:lang w:val="en-US"/>
        </w:rPr>
        <w:t xml:space="preserve"> (in NExTWORK)</w:t>
      </w:r>
      <w:r w:rsidR="007C19EA">
        <w:rPr>
          <w:lang w:val="en-US"/>
        </w:rPr>
        <w:t xml:space="preserve"> to</w:t>
      </w:r>
      <w:r>
        <w:rPr>
          <w:lang w:val="en-US"/>
        </w:rPr>
        <w:t xml:space="preserve"> eligible youths. All sequences were generated in S</w:t>
      </w:r>
      <w:r w:rsidR="004A1313">
        <w:rPr>
          <w:lang w:val="en-US"/>
        </w:rPr>
        <w:t>tata</w:t>
      </w:r>
      <w:r>
        <w:rPr>
          <w:lang w:val="en-US"/>
        </w:rPr>
        <w:t xml:space="preserve"> using the </w:t>
      </w:r>
      <w:proofErr w:type="spellStart"/>
      <w:r w:rsidRPr="00044C70">
        <w:rPr>
          <w:rFonts w:ascii="Courier New" w:hAnsi="Courier New" w:cs="Courier New"/>
          <w:lang w:val="en-US"/>
        </w:rPr>
        <w:t>ralloc</w:t>
      </w:r>
      <w:proofErr w:type="spellEnd"/>
      <w:r>
        <w:rPr>
          <w:lang w:val="en-US"/>
        </w:rPr>
        <w:t xml:space="preserve"> module. The sequence is concealed from caseworkers who perform the random allocation when faced with an eligible young person by logging onto a website created specifically for the purpose, using personal passwords.</w:t>
      </w:r>
    </w:p>
    <w:p w:rsidR="009F6F5F" w:rsidRDefault="009F6F5F" w:rsidP="009F6F5F">
      <w:pPr>
        <w:shd w:val="clear" w:color="auto" w:fill="FFFFFF" w:themeFill="background1"/>
        <w:rPr>
          <w:lang w:val="en-US"/>
        </w:rPr>
      </w:pPr>
    </w:p>
    <w:p w:rsidR="00A03682" w:rsidRDefault="009F6F5F" w:rsidP="009F6F5F">
      <w:pPr>
        <w:shd w:val="clear" w:color="auto" w:fill="FFFFFF" w:themeFill="background1"/>
        <w:rPr>
          <w:lang w:val="en-US"/>
        </w:rPr>
      </w:pPr>
      <w:r>
        <w:rPr>
          <w:lang w:val="en-US"/>
        </w:rPr>
        <w:t xml:space="preserve">While recruitment and randomization </w:t>
      </w:r>
      <w:r w:rsidR="00D82AA4">
        <w:rPr>
          <w:lang w:val="en-US"/>
        </w:rPr>
        <w:t xml:space="preserve">are </w:t>
      </w:r>
      <w:r>
        <w:rPr>
          <w:lang w:val="en-US"/>
        </w:rPr>
        <w:t xml:space="preserve">continuous in the participating municipalities, uptake in NExTWORK is designed to be periodic, with intervals of 6 weeks. Hence, while contact with the young people may be made by NExTWORK staff immediately following assignment to the treatment group, the young people may wait up to 6 weeks after having been allocated to the treatment group until they are participating in match events preceding placement in internships (see description of treatment below). </w:t>
      </w:r>
    </w:p>
    <w:p w:rsidR="00A03682" w:rsidRDefault="00A03682" w:rsidP="009F6F5F">
      <w:pPr>
        <w:shd w:val="clear" w:color="auto" w:fill="FFFFFF" w:themeFill="background1"/>
        <w:rPr>
          <w:lang w:val="en-US"/>
        </w:rPr>
      </w:pPr>
    </w:p>
    <w:p w:rsidR="009F6F5F" w:rsidRDefault="00CA1CE2" w:rsidP="009F6F5F">
      <w:pPr>
        <w:shd w:val="clear" w:color="auto" w:fill="FFFFFF" w:themeFill="background1"/>
        <w:rPr>
          <w:lang w:val="en-US"/>
        </w:rPr>
      </w:pPr>
      <w:r>
        <w:rPr>
          <w:lang w:val="en-US"/>
        </w:rPr>
        <w:t xml:space="preserve">Enrolment in onboarding activities starts as soon as possible after </w:t>
      </w:r>
      <w:r w:rsidR="00DD5B02">
        <w:rPr>
          <w:lang w:val="en-US"/>
        </w:rPr>
        <w:t>randomization</w:t>
      </w:r>
      <w:r w:rsidR="004B18C4">
        <w:rPr>
          <w:lang w:val="en-US"/>
        </w:rPr>
        <w:t xml:space="preserve"> (</w:t>
      </w:r>
      <w:r w:rsidR="00B424F4">
        <w:rPr>
          <w:lang w:val="en-US"/>
        </w:rPr>
        <w:t>F</w:t>
      </w:r>
      <w:r w:rsidR="00DD5B02">
        <w:rPr>
          <w:lang w:val="en-US"/>
        </w:rPr>
        <w:t>igure 1</w:t>
      </w:r>
      <w:r w:rsidR="004B18C4">
        <w:rPr>
          <w:lang w:val="en-US"/>
        </w:rPr>
        <w:t>)</w:t>
      </w:r>
      <w:r>
        <w:rPr>
          <w:lang w:val="en-US"/>
        </w:rPr>
        <w:t xml:space="preserve">. </w:t>
      </w:r>
      <w:r w:rsidR="006D333E">
        <w:rPr>
          <w:lang w:val="en-US"/>
        </w:rPr>
        <w:t>For y</w:t>
      </w:r>
      <w:r w:rsidR="00572ABC">
        <w:rPr>
          <w:lang w:val="en-US"/>
        </w:rPr>
        <w:t>outh randomized to the treatment group participat</w:t>
      </w:r>
      <w:r w:rsidR="003513C1">
        <w:rPr>
          <w:lang w:val="en-US"/>
        </w:rPr>
        <w:t>ion</w:t>
      </w:r>
      <w:r w:rsidR="00572ABC">
        <w:rPr>
          <w:lang w:val="en-US"/>
        </w:rPr>
        <w:t xml:space="preserve"> in NExTWORK</w:t>
      </w:r>
      <w:r w:rsidR="003513C1">
        <w:rPr>
          <w:lang w:val="en-US"/>
        </w:rPr>
        <w:t xml:space="preserve"> is a condition for receiving social benefi</w:t>
      </w:r>
      <w:r w:rsidR="0062513B">
        <w:rPr>
          <w:lang w:val="en-US"/>
        </w:rPr>
        <w:t>t (as is participation in the government programmes for the control group)</w:t>
      </w:r>
      <w:r w:rsidR="0062513B">
        <w:rPr>
          <w:rStyle w:val="FootnoteReference"/>
          <w:lang w:val="en-US"/>
        </w:rPr>
        <w:footnoteReference w:id="13"/>
      </w:r>
      <w:r w:rsidR="00572ABC">
        <w:rPr>
          <w:lang w:val="en-US"/>
        </w:rPr>
        <w:t>.</w:t>
      </w:r>
    </w:p>
    <w:p w:rsidR="009F6F5F" w:rsidRDefault="009F6F5F" w:rsidP="009F6F5F">
      <w:pPr>
        <w:shd w:val="clear" w:color="auto" w:fill="FFFFFF" w:themeFill="background1"/>
        <w:rPr>
          <w:lang w:val="en-US"/>
        </w:rPr>
      </w:pPr>
    </w:p>
    <w:p w:rsidR="00EC3338" w:rsidRPr="00613971" w:rsidRDefault="000F14DC" w:rsidP="00EC3338">
      <w:pPr>
        <w:jc w:val="left"/>
        <w:rPr>
          <w:i/>
          <w:sz w:val="20"/>
        </w:rPr>
      </w:pPr>
      <w:r>
        <w:rPr>
          <w:noProof/>
          <w:sz w:val="18"/>
          <w:szCs w:val="18"/>
          <w:lang w:eastAsia="en-GB"/>
        </w:rPr>
        <w:drawing>
          <wp:inline distT="0" distB="0" distL="0" distR="0">
            <wp:extent cx="5727700" cy="2512695"/>
            <wp:effectExtent l="0" t="0" r="635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figure_timeline_participant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27700" cy="2512695"/>
                    </a:xfrm>
                    <a:prstGeom prst="rect">
                      <a:avLst/>
                    </a:prstGeom>
                  </pic:spPr>
                </pic:pic>
              </a:graphicData>
            </a:graphic>
          </wp:inline>
        </w:drawing>
      </w:r>
      <w:r w:rsidR="00EC3338" w:rsidRPr="00613971">
        <w:rPr>
          <w:b/>
          <w:i/>
          <w:sz w:val="20"/>
          <w:lang w:val="en-US"/>
        </w:rPr>
        <w:t xml:space="preserve">Figure </w:t>
      </w:r>
      <w:r w:rsidR="00B424F4">
        <w:rPr>
          <w:b/>
          <w:i/>
          <w:sz w:val="20"/>
          <w:lang w:val="en-US"/>
        </w:rPr>
        <w:t>1</w:t>
      </w:r>
      <w:r w:rsidR="00EC3338" w:rsidRPr="00613971">
        <w:rPr>
          <w:b/>
          <w:i/>
          <w:sz w:val="20"/>
          <w:lang w:val="en-US"/>
        </w:rPr>
        <w:t xml:space="preserve">: Participant timeline. </w:t>
      </w:r>
      <w:r w:rsidR="00EC3338" w:rsidRPr="00613971">
        <w:rPr>
          <w:i/>
          <w:sz w:val="20"/>
          <w:lang w:val="en-US"/>
        </w:rPr>
        <w:t>Note that in Roskilde, the trial began in January 2017, and in Copenhagen in January 2018.</w:t>
      </w:r>
      <w:r w:rsidR="00EC3338" w:rsidRPr="00613971">
        <w:rPr>
          <w:b/>
          <w:i/>
          <w:sz w:val="20"/>
          <w:lang w:val="en-US"/>
        </w:rPr>
        <w:t xml:space="preserve"> </w:t>
      </w:r>
      <w:r w:rsidR="00EC3338" w:rsidRPr="00613971">
        <w:rPr>
          <w:i/>
          <w:sz w:val="20"/>
        </w:rPr>
        <w:t>It is expected to begin in October 2018 in Sønderborg.</w:t>
      </w:r>
    </w:p>
    <w:p w:rsidR="00EC3338" w:rsidRPr="00613971" w:rsidRDefault="00EC3338" w:rsidP="00EC3338">
      <w:pPr>
        <w:rPr>
          <w:lang w:val="en-US"/>
        </w:rPr>
      </w:pPr>
    </w:p>
    <w:p w:rsidR="00EC3338" w:rsidRDefault="00EC3338" w:rsidP="00EC3338">
      <w:pPr>
        <w:rPr>
          <w:lang w:val="en-US"/>
        </w:rPr>
      </w:pPr>
      <w:r w:rsidRPr="00613971">
        <w:rPr>
          <w:lang w:val="en-US"/>
        </w:rPr>
        <w:t xml:space="preserve">The figure illustrates the timeline for </w:t>
      </w:r>
      <w:r>
        <w:rPr>
          <w:lang w:val="en-US"/>
        </w:rPr>
        <w:t>randomization and subsequent employment service offers in a given municipality.</w:t>
      </w:r>
      <w:r w:rsidR="00422F73">
        <w:rPr>
          <w:lang w:val="en-US"/>
        </w:rPr>
        <w:t xml:space="preserve"> </w:t>
      </w:r>
      <w:r>
        <w:rPr>
          <w:lang w:val="en-US"/>
        </w:rPr>
        <w:t xml:space="preserve">If a young person is assigned to treatment as usual in the randomization, he or she follows the standard services of the job center. If a young person is assigned to NExTWORK, he or she is contacted by a member of the NExTWORK team and </w:t>
      </w:r>
      <w:r>
        <w:rPr>
          <w:lang w:val="en-US"/>
        </w:rPr>
        <w:lastRenderedPageBreak/>
        <w:t xml:space="preserve">onboarding activities start. These include assignment of a NExTWORK youth counsellor, introduction to NExTWORK and the list of companies on offer and gradual enrolment into the peer networks and activities until the next match event with companies take place.  </w:t>
      </w:r>
    </w:p>
    <w:p w:rsidR="00EC3338" w:rsidRDefault="00EC3338" w:rsidP="00EC3338">
      <w:pPr>
        <w:rPr>
          <w:lang w:val="en-US"/>
        </w:rPr>
      </w:pPr>
    </w:p>
    <w:p w:rsidR="00EC3338" w:rsidRPr="000527D0" w:rsidRDefault="00EC3338" w:rsidP="00EC3338">
      <w:pPr>
        <w:tabs>
          <w:tab w:val="center" w:pos="4819"/>
        </w:tabs>
        <w:rPr>
          <w:lang w:val="en-US"/>
        </w:rPr>
      </w:pPr>
      <w:r w:rsidRPr="000527D0">
        <w:rPr>
          <w:lang w:val="en-US"/>
        </w:rPr>
        <w:t xml:space="preserve">Every 6 weeks, a status conversation is held between the youth and their </w:t>
      </w:r>
      <w:r w:rsidR="006B428F">
        <w:rPr>
          <w:lang w:val="en-US"/>
        </w:rPr>
        <w:t xml:space="preserve">NExTWORK youth </w:t>
      </w:r>
      <w:r w:rsidRPr="000527D0">
        <w:rPr>
          <w:lang w:val="en-US"/>
        </w:rPr>
        <w:t xml:space="preserve">counselor with progress as the main topic. </w:t>
      </w:r>
      <w:r>
        <w:rPr>
          <w:lang w:val="en-US"/>
        </w:rPr>
        <w:t xml:space="preserve">The main conclusions of this meeting </w:t>
      </w:r>
      <w:r w:rsidR="006B428F">
        <w:rPr>
          <w:lang w:val="en-US"/>
        </w:rPr>
        <w:t>are</w:t>
      </w:r>
      <w:r>
        <w:rPr>
          <w:lang w:val="en-US"/>
        </w:rPr>
        <w:t xml:space="preserve"> shared with the youth’s caseworker at the job cente</w:t>
      </w:r>
      <w:r w:rsidR="00422F73">
        <w:rPr>
          <w:lang w:val="en-US"/>
        </w:rPr>
        <w:t>r</w:t>
      </w:r>
      <w:r>
        <w:rPr>
          <w:lang w:val="en-US"/>
        </w:rPr>
        <w:t xml:space="preserve">. </w:t>
      </w:r>
      <w:r w:rsidRPr="000527D0">
        <w:rPr>
          <w:lang w:val="en-US"/>
        </w:rPr>
        <w:t xml:space="preserve">The </w:t>
      </w:r>
      <w:r>
        <w:rPr>
          <w:lang w:val="en-US"/>
        </w:rPr>
        <w:t xml:space="preserve">rolling </w:t>
      </w:r>
      <w:r w:rsidRPr="000527D0">
        <w:rPr>
          <w:lang w:val="en-US"/>
        </w:rPr>
        <w:t xml:space="preserve">intake of youths </w:t>
      </w:r>
      <w:r>
        <w:rPr>
          <w:lang w:val="en-US"/>
        </w:rPr>
        <w:t xml:space="preserve">is aligned with the rolling </w:t>
      </w:r>
      <w:r w:rsidRPr="000527D0">
        <w:rPr>
          <w:lang w:val="en-US"/>
        </w:rPr>
        <w:t>exit of youths that leave NExTWORK to enter employment or education or because they no longer fulfil the eligibility criteria.</w:t>
      </w:r>
    </w:p>
    <w:p w:rsidR="00EC3338" w:rsidRPr="000527D0" w:rsidRDefault="00EC3338" w:rsidP="00EC3338">
      <w:pPr>
        <w:tabs>
          <w:tab w:val="center" w:pos="4819"/>
        </w:tabs>
        <w:rPr>
          <w:lang w:val="en-US"/>
        </w:rPr>
      </w:pPr>
    </w:p>
    <w:p w:rsidR="009F6F5F" w:rsidRPr="002B7BE3" w:rsidRDefault="00EC3338" w:rsidP="004C5629">
      <w:pPr>
        <w:tabs>
          <w:tab w:val="center" w:pos="4819"/>
        </w:tabs>
        <w:rPr>
          <w:highlight w:val="yellow"/>
          <w:lang w:val="en-US"/>
        </w:rPr>
      </w:pPr>
      <w:r>
        <w:rPr>
          <w:lang w:val="en-US"/>
        </w:rPr>
        <w:t xml:space="preserve">In each municipality, the trial </w:t>
      </w:r>
      <w:r w:rsidR="00E2630C">
        <w:rPr>
          <w:lang w:val="en-US"/>
        </w:rPr>
        <w:t xml:space="preserve">will run </w:t>
      </w:r>
      <w:r>
        <w:rPr>
          <w:lang w:val="en-US"/>
        </w:rPr>
        <w:t xml:space="preserve">for a minimum of two years </w:t>
      </w:r>
      <w:r w:rsidR="00E2630C">
        <w:rPr>
          <w:lang w:val="en-US"/>
        </w:rPr>
        <w:t xml:space="preserve">with the expectation that approximately 90 youth per year will be enrolled, giving an expected total treatment group sample of 900 youth (with at least as large a control group). </w:t>
      </w:r>
      <w:r>
        <w:rPr>
          <w:lang w:val="en-US"/>
        </w:rPr>
        <w:t>T</w:t>
      </w:r>
      <w:r w:rsidR="009F6F5F">
        <w:rPr>
          <w:lang w:val="en-US"/>
        </w:rPr>
        <w:t xml:space="preserve">he assigned treatment status </w:t>
      </w:r>
      <w:r w:rsidR="00355BAE">
        <w:rPr>
          <w:lang w:val="en-US"/>
        </w:rPr>
        <w:t>holds</w:t>
      </w:r>
      <w:r w:rsidR="00914E5D">
        <w:rPr>
          <w:lang w:val="en-US"/>
        </w:rPr>
        <w:t xml:space="preserve"> </w:t>
      </w:r>
      <w:r w:rsidR="00611651">
        <w:rPr>
          <w:lang w:val="en-US"/>
        </w:rPr>
        <w:t>even if youth make a fresh claim for social assistance</w:t>
      </w:r>
      <w:r w:rsidR="009F6F5F">
        <w:rPr>
          <w:lang w:val="en-US"/>
        </w:rPr>
        <w:t>.</w:t>
      </w:r>
      <w:r w:rsidR="00E2630C">
        <w:rPr>
          <w:lang w:val="en-US"/>
        </w:rPr>
        <w:t xml:space="preserve"> </w:t>
      </w:r>
      <w:r w:rsidR="00914E5D" w:rsidDel="00914E5D">
        <w:rPr>
          <w:lang w:val="en-US"/>
        </w:rPr>
        <w:t xml:space="preserve"> </w:t>
      </w:r>
    </w:p>
    <w:p w:rsidR="009F6F5F" w:rsidRPr="002B7BE3" w:rsidRDefault="009F6F5F" w:rsidP="009F6F5F">
      <w:pPr>
        <w:rPr>
          <w:highlight w:val="yellow"/>
          <w:lang w:val="en-US"/>
        </w:rPr>
      </w:pPr>
    </w:p>
    <w:p w:rsidR="009F6F5F" w:rsidRPr="00A8365E" w:rsidRDefault="009F6F5F" w:rsidP="009F6F5F">
      <w:pPr>
        <w:pStyle w:val="Heading2"/>
        <w:rPr>
          <w:lang w:val="en-US"/>
        </w:rPr>
      </w:pPr>
      <w:r w:rsidRPr="00A8365E">
        <w:rPr>
          <w:lang w:val="en-US"/>
        </w:rPr>
        <w:t>Blinding</w:t>
      </w:r>
    </w:p>
    <w:p w:rsidR="00400F3C" w:rsidRDefault="009F6F5F" w:rsidP="009F6F5F">
      <w:pPr>
        <w:rPr>
          <w:lang w:val="en-US"/>
        </w:rPr>
      </w:pPr>
      <w:r w:rsidRPr="00A8365E">
        <w:rPr>
          <w:lang w:val="en-US"/>
        </w:rPr>
        <w:t>Due to the nature of the intervention neither the participants,</w:t>
      </w:r>
      <w:r>
        <w:rPr>
          <w:lang w:val="en-US"/>
        </w:rPr>
        <w:t xml:space="preserve"> </w:t>
      </w:r>
      <w:r w:rsidRPr="00A8365E">
        <w:rPr>
          <w:lang w:val="en-US"/>
        </w:rPr>
        <w:t xml:space="preserve">caseworkers, </w:t>
      </w:r>
      <w:r>
        <w:rPr>
          <w:lang w:val="en-US"/>
        </w:rPr>
        <w:t>counse</w:t>
      </w:r>
      <w:r w:rsidRPr="00A8365E">
        <w:rPr>
          <w:lang w:val="en-US"/>
        </w:rPr>
        <w:t>lors, nor treatment administrators c</w:t>
      </w:r>
      <w:r>
        <w:rPr>
          <w:lang w:val="en-US"/>
        </w:rPr>
        <w:t>an be blinded</w:t>
      </w:r>
      <w:r w:rsidRPr="00A8365E">
        <w:rPr>
          <w:lang w:val="en-US"/>
        </w:rPr>
        <w:t xml:space="preserve"> to treatment status.</w:t>
      </w:r>
    </w:p>
    <w:p w:rsidR="00FA11A3" w:rsidRDefault="00FA11A3" w:rsidP="009F6F5F">
      <w:pPr>
        <w:rPr>
          <w:lang w:val="en-US"/>
        </w:rPr>
      </w:pPr>
    </w:p>
    <w:p w:rsidR="009F6F5F" w:rsidRDefault="009F6F5F" w:rsidP="009F6F5F">
      <w:pPr>
        <w:pStyle w:val="Heading2"/>
        <w:rPr>
          <w:lang w:val="en-US"/>
        </w:rPr>
      </w:pPr>
      <w:r>
        <w:rPr>
          <w:lang w:val="en-US"/>
        </w:rPr>
        <w:t>Concomitant care and obligations</w:t>
      </w:r>
    </w:p>
    <w:p w:rsidR="009F6F5F" w:rsidRDefault="009F6F5F" w:rsidP="009F6F5F">
      <w:pPr>
        <w:rPr>
          <w:lang w:val="en-US"/>
        </w:rPr>
      </w:pPr>
      <w:r>
        <w:rPr>
          <w:lang w:val="en-US"/>
        </w:rPr>
        <w:t>All youths, regardless of treatment status are required to interact periodically with the job center</w:t>
      </w:r>
      <w:r w:rsidR="001D7322">
        <w:rPr>
          <w:lang w:val="en-US"/>
        </w:rPr>
        <w:t xml:space="preserve">; the </w:t>
      </w:r>
      <w:r>
        <w:rPr>
          <w:lang w:val="en-US"/>
        </w:rPr>
        <w:t xml:space="preserve">frequency </w:t>
      </w:r>
      <w:r w:rsidR="001D7322">
        <w:rPr>
          <w:lang w:val="en-US"/>
        </w:rPr>
        <w:t xml:space="preserve">depends </w:t>
      </w:r>
      <w:r>
        <w:rPr>
          <w:lang w:val="en-US"/>
        </w:rPr>
        <w:t xml:space="preserve">on </w:t>
      </w:r>
      <w:r w:rsidR="001D7322">
        <w:rPr>
          <w:lang w:val="en-US"/>
        </w:rPr>
        <w:t xml:space="preserve">their </w:t>
      </w:r>
      <w:r>
        <w:rPr>
          <w:lang w:val="en-US"/>
        </w:rPr>
        <w:t xml:space="preserve">LAB category. The main purpose of these interactions is for the job center to assess whether their </w:t>
      </w:r>
      <w:r w:rsidR="006B428F">
        <w:rPr>
          <w:lang w:val="en-US"/>
        </w:rPr>
        <w:t xml:space="preserve">engagement in </w:t>
      </w:r>
      <w:r>
        <w:rPr>
          <w:lang w:val="en-US"/>
        </w:rPr>
        <w:t xml:space="preserve">current </w:t>
      </w:r>
      <w:r w:rsidR="006B428F">
        <w:rPr>
          <w:lang w:val="en-US"/>
        </w:rPr>
        <w:t xml:space="preserve">employment services </w:t>
      </w:r>
      <w:r>
        <w:rPr>
          <w:lang w:val="en-US"/>
        </w:rPr>
        <w:t xml:space="preserve">are in fact helping them to move closer to ordinary education or work or whether new measures should be taken. </w:t>
      </w:r>
    </w:p>
    <w:p w:rsidR="009F6F5F" w:rsidRDefault="009F6F5F" w:rsidP="009F6F5F">
      <w:pPr>
        <w:rPr>
          <w:lang w:val="en-US"/>
        </w:rPr>
      </w:pPr>
    </w:p>
    <w:p w:rsidR="009F6F5F" w:rsidRDefault="00400F3C" w:rsidP="009F6F5F">
      <w:pPr>
        <w:rPr>
          <w:lang w:val="en-US"/>
        </w:rPr>
      </w:pPr>
      <w:r>
        <w:rPr>
          <w:lang w:val="en-US"/>
        </w:rPr>
        <w:t>“</w:t>
      </w:r>
      <w:r w:rsidR="009F6F5F">
        <w:rPr>
          <w:lang w:val="en-US"/>
        </w:rPr>
        <w:t>Activity ready youth</w:t>
      </w:r>
      <w:r>
        <w:rPr>
          <w:lang w:val="en-US"/>
        </w:rPr>
        <w:t>”</w:t>
      </w:r>
      <w:r w:rsidR="009F6F5F">
        <w:rPr>
          <w:lang w:val="en-US"/>
        </w:rPr>
        <w:t xml:space="preserve"> may have complex challenges that require the coordinated effort of several different municipal departments and authorities.</w:t>
      </w:r>
      <w:r>
        <w:rPr>
          <w:lang w:val="en-US"/>
        </w:rPr>
        <w:t xml:space="preserve"> </w:t>
      </w:r>
      <w:r w:rsidR="009F6F5F">
        <w:rPr>
          <w:lang w:val="en-US"/>
        </w:rPr>
        <w:t xml:space="preserve">Any additional service for youths owing to such coordinated efforts is permitted as concomitant care for youths in the trial. </w:t>
      </w:r>
    </w:p>
    <w:p w:rsidR="009F6F5F" w:rsidRDefault="009F6F5F" w:rsidP="009F6F5F">
      <w:pPr>
        <w:rPr>
          <w:lang w:val="en-US"/>
        </w:rPr>
      </w:pPr>
    </w:p>
    <w:p w:rsidR="009F6F5F" w:rsidRPr="006575F6" w:rsidRDefault="009F6F5F" w:rsidP="009F6F5F">
      <w:pPr>
        <w:rPr>
          <w:lang w:val="en-US"/>
        </w:rPr>
      </w:pPr>
      <w:r>
        <w:rPr>
          <w:lang w:val="en-US"/>
        </w:rPr>
        <w:t xml:space="preserve">Youths who have not completed a secondary education are required to take tests for reading, writing and math skills (so-called FVU tests). If the tests reveal that a young person has inadequate skills to enroll in a secondary education, they must enroll </w:t>
      </w:r>
      <w:r w:rsidR="00D455DA">
        <w:rPr>
          <w:lang w:val="en-US"/>
        </w:rPr>
        <w:t>on a</w:t>
      </w:r>
      <w:r>
        <w:rPr>
          <w:lang w:val="en-US"/>
        </w:rPr>
        <w:t xml:space="preserve"> course to improve these skills until they meet the requirements for passing obligatory schooling (9</w:t>
      </w:r>
      <w:r w:rsidRPr="007D19E8">
        <w:rPr>
          <w:vertAlign w:val="superscript"/>
          <w:lang w:val="en-US"/>
        </w:rPr>
        <w:t>th</w:t>
      </w:r>
      <w:r>
        <w:rPr>
          <w:lang w:val="en-US"/>
        </w:rPr>
        <w:t xml:space="preserve"> grade). </w:t>
      </w:r>
      <w:r w:rsidR="00280C9C">
        <w:rPr>
          <w:lang w:val="en-US"/>
        </w:rPr>
        <w:t xml:space="preserve">Enrollment in these courses is </w:t>
      </w:r>
      <w:r>
        <w:rPr>
          <w:lang w:val="en-US"/>
        </w:rPr>
        <w:t>also permitted as concomitant care</w:t>
      </w:r>
      <w:r w:rsidR="00EC7FA0">
        <w:rPr>
          <w:lang w:val="en-US"/>
        </w:rPr>
        <w:t xml:space="preserve"> for youths </w:t>
      </w:r>
      <w:r w:rsidR="00280C9C">
        <w:rPr>
          <w:lang w:val="en-US"/>
        </w:rPr>
        <w:t xml:space="preserve">in either the </w:t>
      </w:r>
      <w:r w:rsidR="00101AA7">
        <w:rPr>
          <w:lang w:val="en-US"/>
        </w:rPr>
        <w:t xml:space="preserve">trial’s </w:t>
      </w:r>
      <w:r w:rsidR="00280C9C">
        <w:rPr>
          <w:lang w:val="en-US"/>
        </w:rPr>
        <w:t>treatment or control groups</w:t>
      </w:r>
      <w:r w:rsidR="00EC7FA0">
        <w:rPr>
          <w:lang w:val="en-US"/>
        </w:rPr>
        <w:t>.</w:t>
      </w:r>
    </w:p>
    <w:p w:rsidR="009F6F5F" w:rsidRDefault="009F6F5F" w:rsidP="009F6F5F">
      <w:pPr>
        <w:rPr>
          <w:lang w:val="en-US"/>
        </w:rPr>
      </w:pPr>
    </w:p>
    <w:p w:rsidR="009F6F5F" w:rsidRDefault="009F6F5F" w:rsidP="009F6F5F">
      <w:pPr>
        <w:pStyle w:val="Heading2"/>
        <w:rPr>
          <w:lang w:val="en-US"/>
        </w:rPr>
      </w:pPr>
      <w:r w:rsidRPr="00BF0177">
        <w:rPr>
          <w:lang w:val="en-US"/>
        </w:rPr>
        <w:t>Fidelity</w:t>
      </w:r>
    </w:p>
    <w:p w:rsidR="009F6F5F" w:rsidRDefault="009F6F5F" w:rsidP="009F6F5F">
      <w:pPr>
        <w:rPr>
          <w:lang w:val="en-US"/>
        </w:rPr>
      </w:pPr>
      <w:r>
        <w:rPr>
          <w:lang w:val="en-US"/>
        </w:rPr>
        <w:t>Fidelity of service delivery is supported by (</w:t>
      </w:r>
      <w:proofErr w:type="spellStart"/>
      <w:r>
        <w:rPr>
          <w:lang w:val="en-US"/>
        </w:rPr>
        <w:t>i</w:t>
      </w:r>
      <w:proofErr w:type="spellEnd"/>
      <w:r>
        <w:rPr>
          <w:lang w:val="en-US"/>
        </w:rPr>
        <w:t xml:space="preserve">) training </w:t>
      </w:r>
      <w:r w:rsidR="00A040BA">
        <w:rPr>
          <w:lang w:val="en-US"/>
        </w:rPr>
        <w:t>of</w:t>
      </w:r>
      <w:r>
        <w:rPr>
          <w:lang w:val="en-US"/>
        </w:rPr>
        <w:t xml:space="preserve"> </w:t>
      </w:r>
      <w:r w:rsidR="00A040BA">
        <w:rPr>
          <w:lang w:val="en-US"/>
        </w:rPr>
        <w:t xml:space="preserve">the </w:t>
      </w:r>
      <w:r>
        <w:rPr>
          <w:lang w:val="en-US"/>
        </w:rPr>
        <w:t xml:space="preserve">NExTWORK staff prior to </w:t>
      </w:r>
      <w:r w:rsidR="001955C4">
        <w:rPr>
          <w:lang w:val="en-US"/>
        </w:rPr>
        <w:t>as well as</w:t>
      </w:r>
      <w:r w:rsidR="00A040BA">
        <w:rPr>
          <w:lang w:val="en-US"/>
        </w:rPr>
        <w:t xml:space="preserve"> throughout the </w:t>
      </w:r>
      <w:r>
        <w:rPr>
          <w:lang w:val="en-US"/>
        </w:rPr>
        <w:t>trial</w:t>
      </w:r>
      <w:r w:rsidR="002D0A60">
        <w:rPr>
          <w:lang w:val="en-US"/>
        </w:rPr>
        <w:t xml:space="preserve">; </w:t>
      </w:r>
      <w:r>
        <w:rPr>
          <w:lang w:val="en-US"/>
        </w:rPr>
        <w:t>(ii) a</w:t>
      </w:r>
      <w:r w:rsidR="00A040BA">
        <w:rPr>
          <w:lang w:val="en-US"/>
        </w:rPr>
        <w:t>n underlying</w:t>
      </w:r>
      <w:r>
        <w:rPr>
          <w:lang w:val="en-US"/>
        </w:rPr>
        <w:t xml:space="preserve"> NExTWORK service description</w:t>
      </w:r>
      <w:r w:rsidR="002D0A60">
        <w:rPr>
          <w:lang w:val="en-US"/>
        </w:rPr>
        <w:t xml:space="preserve">; </w:t>
      </w:r>
      <w:r>
        <w:rPr>
          <w:lang w:val="en-US"/>
        </w:rPr>
        <w:t>and (iii) regular supervision of programme staff by the primary psychologist involved in the development of the service</w:t>
      </w:r>
      <w:r w:rsidR="00F537E8">
        <w:rPr>
          <w:lang w:val="en-US"/>
        </w:rPr>
        <w:t>; (iv) inter-municipal network where NExTWORK staff meet bi-annually to build capacity and share learnings</w:t>
      </w:r>
      <w:r>
        <w:rPr>
          <w:lang w:val="en-US"/>
        </w:rPr>
        <w:t xml:space="preserve">. In addition, the NExTWORK IT platform serves as a programme monitoring system, where elements of service delivery are recorded, including dates of completed </w:t>
      </w:r>
      <w:r w:rsidR="007741DA">
        <w:rPr>
          <w:lang w:val="en-US"/>
        </w:rPr>
        <w:t xml:space="preserve">peer-support </w:t>
      </w:r>
      <w:r>
        <w:rPr>
          <w:lang w:val="en-US"/>
        </w:rPr>
        <w:t xml:space="preserve">group meetings, attendances, </w:t>
      </w:r>
      <w:r w:rsidR="00302BC2">
        <w:rPr>
          <w:lang w:val="en-US"/>
        </w:rPr>
        <w:t xml:space="preserve">and </w:t>
      </w:r>
      <w:r>
        <w:rPr>
          <w:lang w:val="en-US"/>
        </w:rPr>
        <w:t xml:space="preserve">internships provided. </w:t>
      </w:r>
      <w:r w:rsidR="0047103B">
        <w:rPr>
          <w:lang w:val="en-US"/>
        </w:rPr>
        <w:t>F</w:t>
      </w:r>
      <w:r>
        <w:rPr>
          <w:lang w:val="en-US"/>
        </w:rPr>
        <w:t xml:space="preserve">inally, an </w:t>
      </w:r>
      <w:r>
        <w:rPr>
          <w:lang w:val="en-US"/>
        </w:rPr>
        <w:lastRenderedPageBreak/>
        <w:t xml:space="preserve">external implementation evaluation team </w:t>
      </w:r>
      <w:r w:rsidR="001955C4">
        <w:rPr>
          <w:lang w:val="en-US"/>
        </w:rPr>
        <w:t>has been</w:t>
      </w:r>
      <w:r>
        <w:rPr>
          <w:lang w:val="en-US"/>
        </w:rPr>
        <w:t xml:space="preserve"> contracted to provide a primarily qualitative assessment of implementation, including fidelity.</w:t>
      </w:r>
    </w:p>
    <w:p w:rsidR="00514CDE" w:rsidRDefault="00514CDE" w:rsidP="009F6F5F">
      <w:pPr>
        <w:rPr>
          <w:lang w:val="en-US"/>
        </w:rPr>
      </w:pPr>
    </w:p>
    <w:p w:rsidR="00514CDE" w:rsidRDefault="00514CDE" w:rsidP="009F6F5F">
      <w:pPr>
        <w:rPr>
          <w:lang w:val="en-US"/>
        </w:rPr>
      </w:pPr>
      <w:r>
        <w:t>The first part of the trial period in Roskilde served as a piloting stage and was characterized by a start-up phase to qualify work processes and setting up an automatized randomization tool to assign the youth either treatment or control status. The automatized randomization tool started functioning on the 5</w:t>
      </w:r>
      <w:r>
        <w:rPr>
          <w:vertAlign w:val="superscript"/>
        </w:rPr>
        <w:t>th</w:t>
      </w:r>
      <w:r>
        <w:t xml:space="preserve"> of December 2017.</w:t>
      </w:r>
    </w:p>
    <w:p w:rsidR="00E2630C" w:rsidRDefault="00E2630C" w:rsidP="009F6F5F">
      <w:pPr>
        <w:rPr>
          <w:lang w:val="en-US"/>
        </w:rPr>
      </w:pPr>
    </w:p>
    <w:p w:rsidR="009F6F5F" w:rsidRDefault="009F6F5F" w:rsidP="009F6F5F">
      <w:pPr>
        <w:rPr>
          <w:lang w:val="en-US"/>
        </w:rPr>
      </w:pPr>
      <w:r>
        <w:rPr>
          <w:lang w:val="en-US"/>
        </w:rPr>
        <w:t xml:space="preserve">Compliance with assigned treatment status </w:t>
      </w:r>
      <w:r w:rsidR="00E2630C">
        <w:rPr>
          <w:lang w:val="en-US"/>
        </w:rPr>
        <w:t xml:space="preserve">will be </w:t>
      </w:r>
      <w:r>
        <w:rPr>
          <w:lang w:val="en-US"/>
        </w:rPr>
        <w:t>monitored periodically b</w:t>
      </w:r>
      <w:r w:rsidR="000E0F98">
        <w:rPr>
          <w:lang w:val="en-US"/>
        </w:rPr>
        <w:t>y</w:t>
      </w:r>
      <w:r>
        <w:rPr>
          <w:lang w:val="en-US"/>
        </w:rPr>
        <w:t xml:space="preserve"> research assistants associated with the trial.  </w:t>
      </w:r>
    </w:p>
    <w:p w:rsidR="00521C98" w:rsidRPr="009F6F5F" w:rsidRDefault="00521C98" w:rsidP="00521C98">
      <w:pPr>
        <w:rPr>
          <w:lang w:val="en-US" w:eastAsia="en-GB"/>
        </w:rPr>
      </w:pPr>
    </w:p>
    <w:p w:rsidR="00AB1439" w:rsidRPr="000A78ED" w:rsidRDefault="001F2C7D" w:rsidP="00AB1439">
      <w:pPr>
        <w:pStyle w:val="Heading1"/>
        <w:rPr>
          <w:lang w:eastAsia="en-GB"/>
        </w:rPr>
      </w:pPr>
      <w:r>
        <w:rPr>
          <w:lang w:eastAsia="en-GB"/>
        </w:rPr>
        <w:t>4</w:t>
      </w:r>
      <w:r w:rsidR="003E47FA">
        <w:rPr>
          <w:lang w:eastAsia="en-GB"/>
        </w:rPr>
        <w:t xml:space="preserve">. </w:t>
      </w:r>
      <w:bookmarkStart w:id="6" w:name="_Hlk494983098"/>
      <w:r w:rsidR="00AB1439">
        <w:rPr>
          <w:lang w:eastAsia="en-GB"/>
        </w:rPr>
        <w:t>Hypotheses</w:t>
      </w:r>
      <w:r w:rsidR="00FA37CA">
        <w:rPr>
          <w:lang w:eastAsia="en-GB"/>
        </w:rPr>
        <w:t xml:space="preserve"> and Data</w:t>
      </w:r>
    </w:p>
    <w:bookmarkEnd w:id="6"/>
    <w:p w:rsidR="00AB1439" w:rsidRDefault="00AB1439" w:rsidP="00AB1439">
      <w:pPr>
        <w:rPr>
          <w:lang w:eastAsia="en-GB"/>
        </w:rPr>
      </w:pPr>
    </w:p>
    <w:p w:rsidR="00FA37CA" w:rsidRDefault="008B7D44" w:rsidP="00D4543E">
      <w:pPr>
        <w:rPr>
          <w:lang w:val="en-US"/>
        </w:rPr>
      </w:pPr>
      <w:r>
        <w:rPr>
          <w:rFonts w:cs="Arial"/>
          <w:lang w:val="en-US"/>
        </w:rPr>
        <w:t>Th</w:t>
      </w:r>
      <w:r w:rsidR="0091095D">
        <w:rPr>
          <w:rFonts w:cs="Arial"/>
          <w:lang w:val="en-US"/>
        </w:rPr>
        <w:t>e</w:t>
      </w:r>
      <w:r>
        <w:rPr>
          <w:rFonts w:cs="Arial"/>
          <w:lang w:val="en-US"/>
        </w:rPr>
        <w:t xml:space="preserve"> aim of NExTWORK is to improve </w:t>
      </w:r>
      <w:r w:rsidR="00FC3B8F">
        <w:rPr>
          <w:rFonts w:cs="Arial"/>
          <w:lang w:val="en-US"/>
        </w:rPr>
        <w:t xml:space="preserve">employment </w:t>
      </w:r>
      <w:r w:rsidR="00A040BA">
        <w:rPr>
          <w:rFonts w:cs="Arial"/>
          <w:lang w:val="en-US"/>
        </w:rPr>
        <w:t>or</w:t>
      </w:r>
      <w:r w:rsidR="00346B2E">
        <w:rPr>
          <w:rFonts w:cs="Arial"/>
          <w:lang w:val="en-US"/>
        </w:rPr>
        <w:t xml:space="preserve"> educational </w:t>
      </w:r>
      <w:r>
        <w:rPr>
          <w:rFonts w:cs="Arial"/>
          <w:lang w:val="en-US"/>
        </w:rPr>
        <w:t>outcomes</w:t>
      </w:r>
      <w:r w:rsidR="00291DA8">
        <w:rPr>
          <w:rFonts w:cs="Arial"/>
          <w:lang w:val="en-US"/>
        </w:rPr>
        <w:t xml:space="preserve"> of disadvantaged youth</w:t>
      </w:r>
      <w:r w:rsidR="00FC3B8F">
        <w:rPr>
          <w:rFonts w:cs="Arial"/>
          <w:lang w:val="en-US"/>
        </w:rPr>
        <w:t>,</w:t>
      </w:r>
      <w:r w:rsidR="00291DA8">
        <w:rPr>
          <w:rFonts w:cs="Arial"/>
          <w:lang w:val="en-US"/>
        </w:rPr>
        <w:t xml:space="preserve"> </w:t>
      </w:r>
      <w:r w:rsidR="00D10D66">
        <w:rPr>
          <w:rFonts w:cs="Arial"/>
          <w:lang w:val="en-US"/>
        </w:rPr>
        <w:t xml:space="preserve">while </w:t>
      </w:r>
      <w:r w:rsidR="00291DA8">
        <w:rPr>
          <w:rFonts w:cs="Arial"/>
          <w:lang w:val="en-US"/>
        </w:rPr>
        <w:t>reduc</w:t>
      </w:r>
      <w:r w:rsidR="00C815B3">
        <w:rPr>
          <w:rFonts w:cs="Arial"/>
          <w:lang w:val="en-US"/>
        </w:rPr>
        <w:t>i</w:t>
      </w:r>
      <w:r w:rsidR="00FC3B8F">
        <w:rPr>
          <w:rFonts w:cs="Arial"/>
          <w:lang w:val="en-US"/>
        </w:rPr>
        <w:t>ng</w:t>
      </w:r>
      <w:r w:rsidR="00291DA8">
        <w:rPr>
          <w:rFonts w:cs="Arial"/>
          <w:lang w:val="en-US"/>
        </w:rPr>
        <w:t xml:space="preserve"> their dependence on social assistance</w:t>
      </w:r>
      <w:r w:rsidR="00CA0BC0">
        <w:rPr>
          <w:rFonts w:cs="Arial"/>
          <w:lang w:val="en-US"/>
        </w:rPr>
        <w:t xml:space="preserve">. </w:t>
      </w:r>
      <w:r w:rsidR="005100C6">
        <w:rPr>
          <w:rFonts w:cs="Arial"/>
          <w:lang w:val="en-US"/>
        </w:rPr>
        <w:t xml:space="preserve">We will assess its effectiveness by </w:t>
      </w:r>
      <w:r w:rsidR="0091095D">
        <w:rPr>
          <w:rFonts w:cs="Arial"/>
          <w:lang w:val="en-US"/>
        </w:rPr>
        <w:t>studying impact on these outcomes</w:t>
      </w:r>
      <w:r w:rsidR="00473574">
        <w:rPr>
          <w:rFonts w:cs="Arial"/>
          <w:lang w:val="en-US"/>
        </w:rPr>
        <w:t>.</w:t>
      </w:r>
      <w:r w:rsidR="00631257">
        <w:rPr>
          <w:rFonts w:cs="Arial"/>
          <w:lang w:val="en-US"/>
        </w:rPr>
        <w:t xml:space="preserve"> We </w:t>
      </w:r>
      <w:r w:rsidR="002574F3">
        <w:rPr>
          <w:rFonts w:cs="Arial"/>
          <w:lang w:val="en-US"/>
        </w:rPr>
        <w:t xml:space="preserve">expect the programme to have some lock-in effects and anticipate that most of the programme impacts will take </w:t>
      </w:r>
      <w:r w:rsidR="005B33D6">
        <w:rPr>
          <w:rFonts w:cs="Arial"/>
          <w:lang w:val="en-US"/>
        </w:rPr>
        <w:t>a</w:t>
      </w:r>
      <w:r w:rsidR="008F1120">
        <w:rPr>
          <w:rFonts w:cs="Arial"/>
          <w:lang w:val="en-US"/>
        </w:rPr>
        <w:t>t least</w:t>
      </w:r>
      <w:r w:rsidR="005B33D6">
        <w:rPr>
          <w:rFonts w:cs="Arial"/>
          <w:lang w:val="en-US"/>
        </w:rPr>
        <w:t xml:space="preserve"> two</w:t>
      </w:r>
      <w:r w:rsidR="00240143">
        <w:rPr>
          <w:rFonts w:cs="Arial"/>
          <w:lang w:val="en-US"/>
        </w:rPr>
        <w:t xml:space="preserve"> and a half</w:t>
      </w:r>
      <w:r w:rsidR="005B33D6">
        <w:rPr>
          <w:rFonts w:cs="Arial"/>
          <w:lang w:val="en-US"/>
        </w:rPr>
        <w:t xml:space="preserve"> years to set in</w:t>
      </w:r>
      <w:r w:rsidR="008F1120">
        <w:rPr>
          <w:rFonts w:cs="Arial"/>
          <w:lang w:val="en-US"/>
        </w:rPr>
        <w:t xml:space="preserve">, from </w:t>
      </w:r>
      <w:proofErr w:type="spellStart"/>
      <w:r w:rsidR="008F1120">
        <w:rPr>
          <w:rFonts w:cs="Arial"/>
          <w:lang w:val="en-US"/>
        </w:rPr>
        <w:t>randomisation</w:t>
      </w:r>
      <w:proofErr w:type="spellEnd"/>
      <w:r w:rsidR="002574F3">
        <w:rPr>
          <w:rFonts w:cs="Arial"/>
          <w:lang w:val="en-US"/>
        </w:rPr>
        <w:t>.</w:t>
      </w:r>
      <w:r w:rsidR="00473574">
        <w:rPr>
          <w:rFonts w:cs="Arial"/>
          <w:lang w:val="en-US"/>
        </w:rPr>
        <w:t xml:space="preserve"> </w:t>
      </w:r>
      <w:r w:rsidR="00F92ACF">
        <w:rPr>
          <w:rFonts w:cs="Arial"/>
          <w:lang w:val="en-US"/>
        </w:rPr>
        <w:t xml:space="preserve">This takes into account average programme duration (6 months), and the expected length of completion of a qualifying education (2 years). </w:t>
      </w:r>
      <w:r w:rsidR="000534E1">
        <w:rPr>
          <w:lang w:val="en-US"/>
        </w:rPr>
        <w:t>T</w:t>
      </w:r>
      <w:r w:rsidR="00FA37CA">
        <w:rPr>
          <w:lang w:val="en-US"/>
        </w:rPr>
        <w:t xml:space="preserve">able </w:t>
      </w:r>
      <w:r w:rsidR="00F617FF">
        <w:rPr>
          <w:lang w:val="en-US"/>
        </w:rPr>
        <w:t>1</w:t>
      </w:r>
      <w:r w:rsidR="00FA37CA">
        <w:rPr>
          <w:lang w:val="en-US"/>
        </w:rPr>
        <w:t xml:space="preserve"> sets out the </w:t>
      </w:r>
      <w:r w:rsidR="00D4543E">
        <w:rPr>
          <w:lang w:val="en-US"/>
        </w:rPr>
        <w:t xml:space="preserve">specific hypotheses we plan to </w:t>
      </w:r>
      <w:r w:rsidR="006C419F">
        <w:rPr>
          <w:lang w:val="en-US"/>
        </w:rPr>
        <w:t xml:space="preserve">test and </w:t>
      </w:r>
      <w:r w:rsidR="00E2630C">
        <w:rPr>
          <w:lang w:val="en-US"/>
        </w:rPr>
        <w:t xml:space="preserve">the </w:t>
      </w:r>
      <w:r w:rsidR="00FA37CA">
        <w:rPr>
          <w:lang w:val="en-US"/>
        </w:rPr>
        <w:t>measures that we plan to use for each of the domains</w:t>
      </w:r>
      <w:r w:rsidR="00E2630C">
        <w:rPr>
          <w:lang w:val="en-US"/>
        </w:rPr>
        <w:t>.</w:t>
      </w:r>
    </w:p>
    <w:p w:rsidR="006C419F" w:rsidRDefault="006C419F" w:rsidP="00F617FF">
      <w:pPr>
        <w:rPr>
          <w:lang w:val="en-US"/>
        </w:rPr>
      </w:pPr>
    </w:p>
    <w:p w:rsidR="00E2630C" w:rsidRDefault="00E2630C" w:rsidP="00E2630C">
      <w:pPr>
        <w:spacing w:after="80"/>
      </w:pPr>
      <w:r>
        <w:t>In addition to testing the above hypotheses using the statistical approach set out below, we plan to explore potential drivers of our main findings. We will do this in three main ways:</w:t>
      </w:r>
    </w:p>
    <w:p w:rsidR="00E2630C" w:rsidRDefault="00E2630C" w:rsidP="00E2630C">
      <w:pPr>
        <w:pStyle w:val="ListParagraph"/>
        <w:numPr>
          <w:ilvl w:val="0"/>
          <w:numId w:val="26"/>
        </w:numPr>
        <w:spacing w:after="80"/>
      </w:pPr>
      <w:r>
        <w:t xml:space="preserve">We will study the impact of the intervention on potential mediators of any effects we find and conduct mediation analysis in order to test the degree to which the main effect is mediated by this factor. For example, in studying impacts on employment outcomes, we will complement analysis of impacts on final outcomes set out above with analysis of impact on and mediating power of the number and average duration of employment spells. Such analysis may help determine whether positive employment effects are driven by staying in each job longer or switching to better jobs.  </w:t>
      </w:r>
    </w:p>
    <w:p w:rsidR="00E2630C" w:rsidRDefault="00E2630C" w:rsidP="00E2630C">
      <w:pPr>
        <w:pStyle w:val="ListParagraph"/>
        <w:numPr>
          <w:ilvl w:val="0"/>
          <w:numId w:val="26"/>
        </w:numPr>
        <w:spacing w:after="80"/>
      </w:pPr>
      <w:r>
        <w:t>We will utilise detailed implementation data collected by the NExTWORK programme team to assess the role of compliance. For example, we will study heterogeneity of impacts by programme completion status, as well as by finer dosage measures such as the number of group sessions attended by the individual.</w:t>
      </w:r>
    </w:p>
    <w:p w:rsidR="00E2630C" w:rsidRDefault="00E2630C" w:rsidP="00E2630C">
      <w:pPr>
        <w:pStyle w:val="ListParagraph"/>
        <w:numPr>
          <w:ilvl w:val="0"/>
          <w:numId w:val="5"/>
        </w:numPr>
        <w:rPr>
          <w:rFonts w:cs="Arial"/>
          <w:lang w:val="en-US"/>
        </w:rPr>
      </w:pPr>
      <w:r>
        <w:t>We expect that the characteristics of participating youth may determine the extent to which they benefit from NExTWORK. We will, therefore, examine heterogeneity of impact along a number of different individual characteristics, including, for example, age, gender, municipality and LAB category.</w:t>
      </w:r>
    </w:p>
    <w:p w:rsidR="00E2630C" w:rsidRDefault="00E2630C" w:rsidP="00E2630C">
      <w:pPr>
        <w:spacing w:before="120"/>
      </w:pPr>
      <w:r>
        <w:t xml:space="preserve">We will utilise a combination of </w:t>
      </w:r>
      <w:r w:rsidRPr="00E53D3D">
        <w:t xml:space="preserve">register data </w:t>
      </w:r>
      <w:r>
        <w:t>provided by</w:t>
      </w:r>
      <w:r w:rsidRPr="00E53D3D">
        <w:t xml:space="preserve"> Statistics Denmark</w:t>
      </w:r>
      <w:r>
        <w:t>, administrative data from the participating municipalities, a survey of youth, and implementation data collected by the NExTWORK programme team</w:t>
      </w:r>
      <w:r w:rsidRPr="00E53D3D">
        <w:t xml:space="preserve">. </w:t>
      </w:r>
      <w:r>
        <w:t xml:space="preserve"> Specific registers that we will use include DREAM, UDDA, BFL, and KRSI.</w:t>
      </w:r>
      <w:r>
        <w:rPr>
          <w:rStyle w:val="FootnoteReference"/>
        </w:rPr>
        <w:footnoteReference w:id="14"/>
      </w:r>
      <w:r>
        <w:t xml:space="preserve"> Youth </w:t>
      </w:r>
      <w:r w:rsidRPr="00E53D3D">
        <w:t xml:space="preserve">in the treatment and control groups will be identified </w:t>
      </w:r>
      <w:r w:rsidRPr="00E53D3D">
        <w:lastRenderedPageBreak/>
        <w:t>through a data linkage facility</w:t>
      </w:r>
      <w:r>
        <w:t xml:space="preserve"> provided by Statistics Denmark that ensures individuals</w:t>
      </w:r>
      <w:r w:rsidRPr="00E53D3D">
        <w:t xml:space="preserve"> remain </w:t>
      </w:r>
      <w:r>
        <w:t>anonymous to researchers</w:t>
      </w:r>
      <w:r w:rsidRPr="00D65FDC">
        <w:rPr>
          <w:lang w:val="en-US"/>
        </w:rPr>
        <w:t>.</w:t>
      </w:r>
    </w:p>
    <w:p w:rsidR="00E2630C" w:rsidRDefault="00E2630C" w:rsidP="00F617FF">
      <w:pPr>
        <w:rPr>
          <w:lang w:val="en-US"/>
        </w:rPr>
      </w:pPr>
    </w:p>
    <w:p w:rsidR="00FA37CA" w:rsidRDefault="00FA37CA" w:rsidP="00FA37CA">
      <w:pPr>
        <w:spacing w:after="80"/>
        <w:rPr>
          <w:lang w:val="en-US"/>
        </w:rPr>
        <w:sectPr w:rsidR="00FA37CA" w:rsidSect="002B7BE3">
          <w:footerReference w:type="default" r:id="rId10"/>
          <w:pgSz w:w="11900" w:h="16840"/>
          <w:pgMar w:top="1440" w:right="1440" w:bottom="1440" w:left="1440" w:header="720" w:footer="720" w:gutter="0"/>
          <w:cols w:space="720"/>
          <w:docGrid w:linePitch="360"/>
        </w:sectPr>
      </w:pPr>
    </w:p>
    <w:tbl>
      <w:tblPr>
        <w:tblStyle w:val="TableGrid"/>
        <w:tblW w:w="14174" w:type="dxa"/>
        <w:tblLayout w:type="fixed"/>
        <w:tblLook w:val="04A0"/>
      </w:tblPr>
      <w:tblGrid>
        <w:gridCol w:w="1701"/>
        <w:gridCol w:w="5211"/>
        <w:gridCol w:w="1876"/>
        <w:gridCol w:w="5354"/>
        <w:gridCol w:w="32"/>
      </w:tblGrid>
      <w:tr w:rsidR="002A48FE" w:rsidRPr="00F617FF" w:rsidTr="00656477">
        <w:trPr>
          <w:gridAfter w:val="1"/>
          <w:wAfter w:w="32" w:type="dxa"/>
        </w:trPr>
        <w:tc>
          <w:tcPr>
            <w:tcW w:w="14142" w:type="dxa"/>
            <w:gridSpan w:val="4"/>
            <w:tcBorders>
              <w:top w:val="nil"/>
              <w:left w:val="nil"/>
              <w:bottom w:val="single" w:sz="4" w:space="0" w:color="auto"/>
              <w:right w:val="nil"/>
            </w:tcBorders>
          </w:tcPr>
          <w:p w:rsidR="002A48FE" w:rsidRPr="00F617FF" w:rsidRDefault="002A48FE" w:rsidP="00101AA7">
            <w:pPr>
              <w:spacing w:after="80"/>
              <w:jc w:val="left"/>
              <w:rPr>
                <w:b/>
              </w:rPr>
            </w:pPr>
            <w:r w:rsidRPr="00F617FF">
              <w:rPr>
                <w:b/>
              </w:rPr>
              <w:lastRenderedPageBreak/>
              <w:t xml:space="preserve">Table </w:t>
            </w:r>
            <w:r w:rsidR="00F617FF">
              <w:rPr>
                <w:b/>
              </w:rPr>
              <w:t>1</w:t>
            </w:r>
            <w:r w:rsidRPr="00F617FF">
              <w:rPr>
                <w:b/>
              </w:rPr>
              <w:t>: Main Study Hypotheses</w:t>
            </w:r>
            <w:r w:rsidR="005B33D6">
              <w:rPr>
                <w:b/>
              </w:rPr>
              <w:t xml:space="preserve"> (2</w:t>
            </w:r>
            <w:r w:rsidR="00F92ACF">
              <w:rPr>
                <w:b/>
              </w:rPr>
              <w:t>.5</w:t>
            </w:r>
            <w:r w:rsidR="005B33D6">
              <w:rPr>
                <w:b/>
              </w:rPr>
              <w:t xml:space="preserve"> years after </w:t>
            </w:r>
            <w:r w:rsidR="00101AA7">
              <w:rPr>
                <w:b/>
              </w:rPr>
              <w:t>randomisation</w:t>
            </w:r>
            <w:r w:rsidR="005B33D6">
              <w:rPr>
                <w:b/>
              </w:rPr>
              <w:t>)</w:t>
            </w:r>
            <w:r w:rsidRPr="00F617FF">
              <w:rPr>
                <w:b/>
              </w:rPr>
              <w:t xml:space="preserve"> and Measures</w:t>
            </w:r>
          </w:p>
        </w:tc>
      </w:tr>
      <w:tr w:rsidR="00656477" w:rsidTr="00A617F9">
        <w:tc>
          <w:tcPr>
            <w:tcW w:w="1701" w:type="dxa"/>
            <w:tcBorders>
              <w:top w:val="single" w:sz="4" w:space="0" w:color="auto"/>
            </w:tcBorders>
          </w:tcPr>
          <w:p w:rsidR="00551C8E" w:rsidRDefault="00551C8E" w:rsidP="00A37C90">
            <w:pPr>
              <w:spacing w:after="80"/>
            </w:pPr>
            <w:r>
              <w:t>Outcome</w:t>
            </w:r>
          </w:p>
        </w:tc>
        <w:tc>
          <w:tcPr>
            <w:tcW w:w="5211" w:type="dxa"/>
            <w:tcBorders>
              <w:top w:val="single" w:sz="4" w:space="0" w:color="auto"/>
            </w:tcBorders>
          </w:tcPr>
          <w:p w:rsidR="00551C8E" w:rsidRDefault="00551C8E" w:rsidP="00A37C90">
            <w:pPr>
              <w:spacing w:after="80"/>
              <w:jc w:val="left"/>
            </w:pPr>
            <w:r>
              <w:t>Hypothesis</w:t>
            </w:r>
          </w:p>
        </w:tc>
        <w:tc>
          <w:tcPr>
            <w:tcW w:w="1876" w:type="dxa"/>
            <w:tcBorders>
              <w:top w:val="single" w:sz="4" w:space="0" w:color="auto"/>
            </w:tcBorders>
          </w:tcPr>
          <w:p w:rsidR="00551C8E" w:rsidRDefault="00551C8E" w:rsidP="00A37C90">
            <w:pPr>
              <w:spacing w:after="80"/>
              <w:jc w:val="left"/>
            </w:pPr>
            <w:r>
              <w:t>Measure</w:t>
            </w:r>
          </w:p>
        </w:tc>
        <w:tc>
          <w:tcPr>
            <w:tcW w:w="5386" w:type="dxa"/>
            <w:gridSpan w:val="2"/>
            <w:tcBorders>
              <w:top w:val="single" w:sz="4" w:space="0" w:color="auto"/>
            </w:tcBorders>
          </w:tcPr>
          <w:p w:rsidR="00551C8E" w:rsidRDefault="00551C8E" w:rsidP="00A37C90">
            <w:pPr>
              <w:spacing w:after="80"/>
            </w:pPr>
            <w:r>
              <w:t>Details of measure</w:t>
            </w:r>
          </w:p>
        </w:tc>
      </w:tr>
      <w:tr w:rsidR="00656477" w:rsidTr="00A617F9">
        <w:tc>
          <w:tcPr>
            <w:tcW w:w="1701" w:type="dxa"/>
          </w:tcPr>
          <w:p w:rsidR="00551C8E" w:rsidRDefault="00F617FF" w:rsidP="00F617FF">
            <w:pPr>
              <w:pStyle w:val="ListParagraph"/>
              <w:numPr>
                <w:ilvl w:val="0"/>
                <w:numId w:val="12"/>
              </w:numPr>
              <w:spacing w:after="80" w:line="276" w:lineRule="auto"/>
              <w:ind w:left="240"/>
              <w:jc w:val="left"/>
            </w:pPr>
            <w:r>
              <w:t>Reducing d</w:t>
            </w:r>
            <w:r w:rsidR="00551C8E">
              <w:t>ependence on Social Assistance</w:t>
            </w:r>
          </w:p>
        </w:tc>
        <w:tc>
          <w:tcPr>
            <w:tcW w:w="5211" w:type="dxa"/>
          </w:tcPr>
          <w:p w:rsidR="00551C8E" w:rsidRDefault="00551C8E" w:rsidP="00101AA7">
            <w:pPr>
              <w:spacing w:after="80"/>
              <w:jc w:val="left"/>
            </w:pPr>
            <w:r>
              <w:t xml:space="preserve">1.1) NExTWORK will </w:t>
            </w:r>
            <w:r w:rsidR="00101AA7">
              <w:t>on average reduce the proportions of participating youth</w:t>
            </w:r>
            <w:r>
              <w:t xml:space="preserve"> claiming social assistance. </w:t>
            </w:r>
          </w:p>
        </w:tc>
        <w:tc>
          <w:tcPr>
            <w:tcW w:w="1876" w:type="dxa"/>
          </w:tcPr>
          <w:p w:rsidR="00551C8E" w:rsidRDefault="00551C8E" w:rsidP="00A37C90">
            <w:pPr>
              <w:spacing w:after="80"/>
              <w:jc w:val="left"/>
            </w:pPr>
            <w:r>
              <w:t xml:space="preserve">Whether claiming social assistance </w:t>
            </w:r>
          </w:p>
        </w:tc>
        <w:tc>
          <w:tcPr>
            <w:tcW w:w="5386" w:type="dxa"/>
            <w:gridSpan w:val="2"/>
          </w:tcPr>
          <w:p w:rsidR="00551C8E" w:rsidRDefault="00551C8E" w:rsidP="00A37C90">
            <w:pPr>
              <w:spacing w:after="80"/>
              <w:ind w:left="-20"/>
            </w:pPr>
            <w:r w:rsidRPr="000D5324">
              <w:rPr>
                <w:rFonts w:eastAsia="Times New Roman"/>
                <w:lang w:val="en-IE"/>
              </w:rPr>
              <w:t xml:space="preserve">Proportion </w:t>
            </w:r>
            <w:r>
              <w:rPr>
                <w:rFonts w:eastAsia="Times New Roman"/>
                <w:lang w:val="en-IE"/>
              </w:rPr>
              <w:t xml:space="preserve">of youth </w:t>
            </w:r>
            <w:r w:rsidRPr="000D5324">
              <w:rPr>
                <w:rFonts w:eastAsia="Times New Roman"/>
                <w:lang w:val="en-IE"/>
              </w:rPr>
              <w:t>no longer claiming a social assistance or social insurance payment, defined by the recorded receipt of an applicable payment in the DREAM register.</w:t>
            </w:r>
          </w:p>
        </w:tc>
      </w:tr>
      <w:tr w:rsidR="00656477" w:rsidTr="00A617F9">
        <w:tc>
          <w:tcPr>
            <w:tcW w:w="1701" w:type="dxa"/>
          </w:tcPr>
          <w:p w:rsidR="00551C8E" w:rsidRDefault="00551C8E" w:rsidP="005A4BE8">
            <w:pPr>
              <w:spacing w:after="80"/>
            </w:pPr>
          </w:p>
        </w:tc>
        <w:tc>
          <w:tcPr>
            <w:tcW w:w="5211" w:type="dxa"/>
          </w:tcPr>
          <w:p w:rsidR="00551C8E" w:rsidRDefault="00551C8E" w:rsidP="00A617F9">
            <w:pPr>
              <w:spacing w:after="80"/>
              <w:jc w:val="left"/>
            </w:pPr>
            <w:r>
              <w:t xml:space="preserve">1.2) NExTWORK will </w:t>
            </w:r>
            <w:r w:rsidR="00A617F9">
              <w:t xml:space="preserve">on average reduce the </w:t>
            </w:r>
            <w:r>
              <w:t xml:space="preserve">length of time </w:t>
            </w:r>
            <w:r w:rsidR="00A617F9">
              <w:t xml:space="preserve">participating youth claim </w:t>
            </w:r>
            <w:r>
              <w:t xml:space="preserve">social assistance. </w:t>
            </w:r>
          </w:p>
        </w:tc>
        <w:tc>
          <w:tcPr>
            <w:tcW w:w="1876" w:type="dxa"/>
          </w:tcPr>
          <w:p w:rsidR="00551C8E" w:rsidRDefault="00551C8E" w:rsidP="005A4BE8">
            <w:pPr>
              <w:spacing w:after="80"/>
              <w:jc w:val="left"/>
            </w:pPr>
          </w:p>
        </w:tc>
        <w:tc>
          <w:tcPr>
            <w:tcW w:w="5386" w:type="dxa"/>
            <w:gridSpan w:val="2"/>
          </w:tcPr>
          <w:p w:rsidR="00551C8E" w:rsidRDefault="00551C8E" w:rsidP="005A4BE8">
            <w:pPr>
              <w:textAlignment w:val="center"/>
            </w:pPr>
            <w:r>
              <w:t>C</w:t>
            </w:r>
            <w:r w:rsidRPr="00E53D3D">
              <w:t>umulative length of time claiming social assistance</w:t>
            </w:r>
            <w:r>
              <w:t xml:space="preserve"> since being assigned treatment status</w:t>
            </w:r>
            <w:r w:rsidRPr="00E53D3D">
              <w:t>.</w:t>
            </w:r>
          </w:p>
        </w:tc>
      </w:tr>
      <w:tr w:rsidR="00656477" w:rsidTr="00A617F9">
        <w:tc>
          <w:tcPr>
            <w:tcW w:w="1701" w:type="dxa"/>
          </w:tcPr>
          <w:p w:rsidR="00B66E71" w:rsidRDefault="00656477" w:rsidP="00F617FF">
            <w:pPr>
              <w:pStyle w:val="ListParagraph"/>
              <w:numPr>
                <w:ilvl w:val="0"/>
                <w:numId w:val="12"/>
              </w:numPr>
              <w:spacing w:after="80" w:line="276" w:lineRule="auto"/>
              <w:ind w:left="240"/>
              <w:jc w:val="left"/>
            </w:pPr>
            <w:r>
              <w:t>Education</w:t>
            </w:r>
          </w:p>
        </w:tc>
        <w:tc>
          <w:tcPr>
            <w:tcW w:w="5211" w:type="dxa"/>
          </w:tcPr>
          <w:p w:rsidR="00B66E71" w:rsidRDefault="00B66E71" w:rsidP="001955C4">
            <w:pPr>
              <w:spacing w:after="80"/>
              <w:jc w:val="left"/>
            </w:pPr>
            <w:r>
              <w:t>2.</w:t>
            </w:r>
            <w:r w:rsidR="001955C4">
              <w:t>1</w:t>
            </w:r>
            <w:r>
              <w:t>) NExTWORK will have a positive average impact on rates of completion of education among participating youth.</w:t>
            </w:r>
          </w:p>
        </w:tc>
        <w:tc>
          <w:tcPr>
            <w:tcW w:w="1876" w:type="dxa"/>
          </w:tcPr>
          <w:p w:rsidR="00B66E71" w:rsidRDefault="00B66E71" w:rsidP="007141A9">
            <w:pPr>
              <w:spacing w:after="80"/>
              <w:jc w:val="left"/>
            </w:pPr>
            <w:r>
              <w:t xml:space="preserve">Whether have </w:t>
            </w:r>
            <w:r w:rsidR="007141A9">
              <w:t>completed the first phase of upper-secondary education</w:t>
            </w:r>
          </w:p>
        </w:tc>
        <w:tc>
          <w:tcPr>
            <w:tcW w:w="5386" w:type="dxa"/>
            <w:gridSpan w:val="2"/>
          </w:tcPr>
          <w:p w:rsidR="00B66E71" w:rsidRDefault="00E2630C" w:rsidP="00B446D8">
            <w:pPr>
              <w:spacing w:after="80"/>
            </w:pPr>
            <w:r w:rsidRPr="00E2630C">
              <w:t>Proportion of youth who have completed</w:t>
            </w:r>
            <w:r w:rsidR="007141A9">
              <w:t xml:space="preserve"> the first year of general upper-secondary education or vocational education and training, as recorded in the </w:t>
            </w:r>
            <w:r w:rsidR="001F3719">
              <w:t>KOTRE</w:t>
            </w:r>
            <w:r w:rsidR="007141A9">
              <w:t xml:space="preserve"> register. </w:t>
            </w:r>
          </w:p>
        </w:tc>
      </w:tr>
      <w:tr w:rsidR="00656477" w:rsidTr="00A617F9">
        <w:tc>
          <w:tcPr>
            <w:tcW w:w="1701" w:type="dxa"/>
          </w:tcPr>
          <w:p w:rsidR="00B66E71" w:rsidRDefault="00B66E71" w:rsidP="00B7058B">
            <w:pPr>
              <w:pStyle w:val="ListParagraph"/>
              <w:numPr>
                <w:ilvl w:val="0"/>
                <w:numId w:val="12"/>
              </w:numPr>
              <w:spacing w:after="80" w:line="276" w:lineRule="auto"/>
              <w:ind w:left="240"/>
            </w:pPr>
            <w:r>
              <w:t>Employment</w:t>
            </w:r>
          </w:p>
        </w:tc>
        <w:tc>
          <w:tcPr>
            <w:tcW w:w="5211" w:type="dxa"/>
          </w:tcPr>
          <w:p w:rsidR="00B66E71" w:rsidRDefault="00B66E71" w:rsidP="00B7058B">
            <w:pPr>
              <w:spacing w:after="80"/>
              <w:jc w:val="left"/>
            </w:pPr>
            <w:r>
              <w:t>3.1) NExTWORK will have a positive average impact on uptake of paid employment among participating youth.</w:t>
            </w:r>
          </w:p>
        </w:tc>
        <w:tc>
          <w:tcPr>
            <w:tcW w:w="1876" w:type="dxa"/>
          </w:tcPr>
          <w:p w:rsidR="00B66E71" w:rsidRDefault="00B66E71" w:rsidP="00B7058B">
            <w:pPr>
              <w:spacing w:after="80"/>
              <w:jc w:val="left"/>
            </w:pPr>
            <w:r>
              <w:t>Whether in paid employment</w:t>
            </w:r>
          </w:p>
        </w:tc>
        <w:tc>
          <w:tcPr>
            <w:tcW w:w="5386" w:type="dxa"/>
            <w:gridSpan w:val="2"/>
          </w:tcPr>
          <w:p w:rsidR="00B66E71" w:rsidRDefault="00B66E71" w:rsidP="00B7058B">
            <w:pPr>
              <w:spacing w:after="80"/>
            </w:pPr>
            <w:r>
              <w:rPr>
                <w:rFonts w:eastAsia="Times New Roman"/>
                <w:lang w:val="en-IE"/>
              </w:rPr>
              <w:t>P</w:t>
            </w:r>
            <w:r w:rsidRPr="00E53D3D">
              <w:rPr>
                <w:rFonts w:eastAsia="Times New Roman"/>
                <w:lang w:val="en-IE"/>
              </w:rPr>
              <w:t>roportion in paid employment, defined as having positive earnings recorded in the BFL</w:t>
            </w:r>
            <w:r w:rsidR="0010687D">
              <w:rPr>
                <w:rFonts w:eastAsia="Times New Roman"/>
                <w:lang w:val="en-IE"/>
              </w:rPr>
              <w:t>/BFLBRTI</w:t>
            </w:r>
            <w:r w:rsidRPr="00E53D3D">
              <w:rPr>
                <w:rFonts w:eastAsia="Times New Roman"/>
                <w:lang w:val="en-IE"/>
              </w:rPr>
              <w:t xml:space="preserve"> register</w:t>
            </w:r>
            <w:r w:rsidDel="00E041C2">
              <w:rPr>
                <w:rFonts w:eastAsia="Times New Roman"/>
                <w:lang w:val="en-IE"/>
              </w:rPr>
              <w:t xml:space="preserve"> </w:t>
            </w:r>
          </w:p>
        </w:tc>
      </w:tr>
      <w:tr w:rsidR="00656477" w:rsidTr="00A617F9">
        <w:trPr>
          <w:trHeight w:val="1403"/>
        </w:trPr>
        <w:tc>
          <w:tcPr>
            <w:tcW w:w="1701" w:type="dxa"/>
          </w:tcPr>
          <w:p w:rsidR="00B66E71" w:rsidRDefault="00B66E71" w:rsidP="00B7058B">
            <w:pPr>
              <w:spacing w:after="80"/>
            </w:pPr>
          </w:p>
        </w:tc>
        <w:tc>
          <w:tcPr>
            <w:tcW w:w="5211" w:type="dxa"/>
          </w:tcPr>
          <w:p w:rsidR="00B66E71" w:rsidRDefault="00B66E71" w:rsidP="00B7058B">
            <w:pPr>
              <w:spacing w:after="80"/>
              <w:jc w:val="left"/>
            </w:pPr>
            <w:r>
              <w:t>3.2) NExTWORK will have a positive average impact on total amount of time spent in paid employment among participating youth.</w:t>
            </w:r>
          </w:p>
        </w:tc>
        <w:tc>
          <w:tcPr>
            <w:tcW w:w="1876" w:type="dxa"/>
          </w:tcPr>
          <w:p w:rsidR="00B66E71" w:rsidRDefault="00B66E71" w:rsidP="00B7058B">
            <w:pPr>
              <w:spacing w:after="80"/>
              <w:jc w:val="left"/>
            </w:pPr>
          </w:p>
        </w:tc>
        <w:tc>
          <w:tcPr>
            <w:tcW w:w="5386" w:type="dxa"/>
            <w:gridSpan w:val="2"/>
          </w:tcPr>
          <w:p w:rsidR="00B66E71" w:rsidRDefault="00B66E71" w:rsidP="00B73862">
            <w:pPr>
              <w:textAlignment w:val="center"/>
            </w:pPr>
            <w:r w:rsidRPr="00E53D3D">
              <w:t>The cumulative length of time</w:t>
            </w:r>
            <w:r>
              <w:t xml:space="preserve"> in paid employment since being assigned treatment status, </w:t>
            </w:r>
            <w:r>
              <w:rPr>
                <w:rFonts w:eastAsia="Times New Roman"/>
                <w:lang w:val="en-IE"/>
              </w:rPr>
              <w:t>where being in paid employment is defined</w:t>
            </w:r>
            <w:r w:rsidRPr="00E53D3D">
              <w:rPr>
                <w:rFonts w:eastAsia="Times New Roman"/>
                <w:lang w:val="en-IE"/>
              </w:rPr>
              <w:t xml:space="preserve"> </w:t>
            </w:r>
            <w:r>
              <w:rPr>
                <w:rFonts w:eastAsia="Times New Roman"/>
                <w:lang w:val="en-IE"/>
              </w:rPr>
              <w:t xml:space="preserve">as </w:t>
            </w:r>
            <w:r w:rsidRPr="00E53D3D">
              <w:rPr>
                <w:rFonts w:eastAsia="Times New Roman"/>
                <w:lang w:val="en-IE"/>
              </w:rPr>
              <w:t>having positive earnings recorded in the BFL</w:t>
            </w:r>
            <w:r w:rsidR="00B73862">
              <w:rPr>
                <w:rFonts w:eastAsia="Times New Roman"/>
                <w:lang w:val="en-IE"/>
              </w:rPr>
              <w:t>/</w:t>
            </w:r>
            <w:r w:rsidR="00B73862">
              <w:t>BFLBRTI</w:t>
            </w:r>
            <w:r w:rsidRPr="00E53D3D">
              <w:rPr>
                <w:rFonts w:eastAsia="Times New Roman"/>
                <w:lang w:val="en-IE"/>
              </w:rPr>
              <w:t xml:space="preserve"> register</w:t>
            </w:r>
            <w:r w:rsidR="00B73862">
              <w:rPr>
                <w:rFonts w:eastAsia="Times New Roman"/>
                <w:lang w:val="en-IE"/>
              </w:rPr>
              <w:t>s</w:t>
            </w:r>
            <w:r>
              <w:rPr>
                <w:rFonts w:eastAsia="Times New Roman"/>
                <w:lang w:val="en-IE"/>
              </w:rPr>
              <w:t>.</w:t>
            </w:r>
          </w:p>
        </w:tc>
      </w:tr>
      <w:tr w:rsidR="00656477" w:rsidTr="00A617F9">
        <w:trPr>
          <w:trHeight w:val="964"/>
        </w:trPr>
        <w:tc>
          <w:tcPr>
            <w:tcW w:w="1701" w:type="dxa"/>
          </w:tcPr>
          <w:p w:rsidR="00B66E71" w:rsidRDefault="00B66E71" w:rsidP="00E014E2">
            <w:pPr>
              <w:spacing w:after="80"/>
            </w:pPr>
          </w:p>
        </w:tc>
        <w:tc>
          <w:tcPr>
            <w:tcW w:w="5211" w:type="dxa"/>
          </w:tcPr>
          <w:p w:rsidR="00B66E71" w:rsidRDefault="00B66E71" w:rsidP="00F617FF">
            <w:pPr>
              <w:spacing w:after="80"/>
              <w:jc w:val="left"/>
            </w:pPr>
            <w:r>
              <w:t>3.3) NExTWORK will have a positive average impact on weekly earnings of participating youth.</w:t>
            </w:r>
          </w:p>
        </w:tc>
        <w:tc>
          <w:tcPr>
            <w:tcW w:w="1876" w:type="dxa"/>
          </w:tcPr>
          <w:p w:rsidR="00B66E71" w:rsidRDefault="00B66E71" w:rsidP="00E014E2">
            <w:pPr>
              <w:spacing w:after="80"/>
            </w:pPr>
          </w:p>
        </w:tc>
        <w:tc>
          <w:tcPr>
            <w:tcW w:w="5386" w:type="dxa"/>
            <w:gridSpan w:val="2"/>
          </w:tcPr>
          <w:p w:rsidR="00B66E71" w:rsidRDefault="00B66E71" w:rsidP="00E014E2">
            <w:pPr>
              <w:textAlignment w:val="center"/>
            </w:pPr>
            <w:r>
              <w:t xml:space="preserve">Weekly earnings, as </w:t>
            </w:r>
            <w:r w:rsidRPr="00E53D3D">
              <w:rPr>
                <w:rFonts w:eastAsia="Times New Roman"/>
                <w:lang w:val="en-IE"/>
              </w:rPr>
              <w:t>recorded in the BFL</w:t>
            </w:r>
            <w:r w:rsidR="00B73862">
              <w:rPr>
                <w:rFonts w:eastAsia="Times New Roman"/>
                <w:lang w:val="en-IE"/>
              </w:rPr>
              <w:t>/</w:t>
            </w:r>
            <w:r w:rsidR="00B73862">
              <w:t>BFLBRTI</w:t>
            </w:r>
            <w:r w:rsidRPr="00E53D3D">
              <w:rPr>
                <w:rFonts w:eastAsia="Times New Roman"/>
                <w:lang w:val="en-IE"/>
              </w:rPr>
              <w:t xml:space="preserve"> register</w:t>
            </w:r>
            <w:r w:rsidR="00B73862">
              <w:rPr>
                <w:rFonts w:eastAsia="Times New Roman"/>
                <w:lang w:val="en-IE"/>
              </w:rPr>
              <w:t>s</w:t>
            </w:r>
            <w:r>
              <w:rPr>
                <w:rFonts w:eastAsia="Times New Roman"/>
                <w:lang w:val="en-IE"/>
              </w:rPr>
              <w:t>. Earnings for those who have no earnings recorded for a given week will be coded as zero.</w:t>
            </w:r>
          </w:p>
        </w:tc>
      </w:tr>
      <w:tr w:rsidR="00656477" w:rsidTr="00A617F9">
        <w:tc>
          <w:tcPr>
            <w:tcW w:w="1701" w:type="dxa"/>
          </w:tcPr>
          <w:p w:rsidR="00B66E71" w:rsidRDefault="00B66E71" w:rsidP="00F617FF">
            <w:pPr>
              <w:pStyle w:val="ListParagraph"/>
              <w:numPr>
                <w:ilvl w:val="0"/>
                <w:numId w:val="12"/>
              </w:numPr>
              <w:spacing w:after="80" w:line="276" w:lineRule="auto"/>
              <w:ind w:left="240"/>
              <w:jc w:val="left"/>
            </w:pPr>
            <w:r>
              <w:t>Participation in Crime</w:t>
            </w:r>
          </w:p>
        </w:tc>
        <w:tc>
          <w:tcPr>
            <w:tcW w:w="5211" w:type="dxa"/>
          </w:tcPr>
          <w:p w:rsidR="00B66E71" w:rsidRDefault="00B66E71" w:rsidP="00CC5E6C">
            <w:pPr>
              <w:spacing w:after="80"/>
              <w:jc w:val="left"/>
            </w:pPr>
            <w:r>
              <w:t xml:space="preserve">4.1) NExTWORK will </w:t>
            </w:r>
            <w:r w:rsidR="00CC5E6C">
              <w:t xml:space="preserve">reduce the proportion of </w:t>
            </w:r>
            <w:r>
              <w:t>participating youth</w:t>
            </w:r>
            <w:r w:rsidR="00CC5E6C">
              <w:t xml:space="preserve"> charged with a criminal offense</w:t>
            </w:r>
            <w:r>
              <w:t xml:space="preserve">.  </w:t>
            </w:r>
          </w:p>
        </w:tc>
        <w:tc>
          <w:tcPr>
            <w:tcW w:w="1876" w:type="dxa"/>
          </w:tcPr>
          <w:p w:rsidR="00B66E71" w:rsidRDefault="00B66E71" w:rsidP="00FB6770">
            <w:pPr>
              <w:spacing w:after="80"/>
              <w:jc w:val="left"/>
            </w:pPr>
            <w:r>
              <w:t>Being charged with a criminal offense</w:t>
            </w:r>
          </w:p>
        </w:tc>
        <w:tc>
          <w:tcPr>
            <w:tcW w:w="5386" w:type="dxa"/>
            <w:gridSpan w:val="2"/>
          </w:tcPr>
          <w:p w:rsidR="00B66E71" w:rsidRDefault="00B66E71" w:rsidP="00B00DB4">
            <w:pPr>
              <w:textAlignment w:val="center"/>
            </w:pPr>
            <w:r>
              <w:rPr>
                <w:rFonts w:eastAsia="Times New Roman"/>
                <w:lang w:val="en-IE"/>
              </w:rPr>
              <w:t>P</w:t>
            </w:r>
            <w:r w:rsidRPr="00E53D3D">
              <w:rPr>
                <w:rFonts w:eastAsia="Times New Roman"/>
                <w:lang w:val="en-IE"/>
              </w:rPr>
              <w:t>roportion charged with a criminal offense</w:t>
            </w:r>
            <w:r>
              <w:rPr>
                <w:rFonts w:eastAsia="Times New Roman"/>
                <w:lang w:val="en-IE"/>
              </w:rPr>
              <w:t xml:space="preserve"> (excluding minor traffic infractions) subsequent to randomisation</w:t>
            </w:r>
            <w:r w:rsidRPr="00E53D3D">
              <w:rPr>
                <w:rFonts w:eastAsia="Times New Roman"/>
                <w:lang w:val="en-IE"/>
              </w:rPr>
              <w:t>, recorded in the KRS</w:t>
            </w:r>
            <w:r>
              <w:rPr>
                <w:rFonts w:eastAsia="Times New Roman"/>
                <w:lang w:val="en-IE"/>
              </w:rPr>
              <w:t>I</w:t>
            </w:r>
            <w:r w:rsidRPr="00E53D3D">
              <w:rPr>
                <w:rFonts w:eastAsia="Times New Roman"/>
                <w:lang w:val="en-IE"/>
              </w:rPr>
              <w:t xml:space="preserve"> register</w:t>
            </w:r>
          </w:p>
        </w:tc>
      </w:tr>
    </w:tbl>
    <w:p w:rsidR="00FA37CA" w:rsidRDefault="00FA37CA" w:rsidP="00F617FF">
      <w:pPr>
        <w:rPr>
          <w:rFonts w:cs="Arial"/>
          <w:b/>
          <w:u w:val="single"/>
          <w:lang w:val="en-US"/>
        </w:rPr>
        <w:sectPr w:rsidR="00FA37CA" w:rsidSect="002B7BE3">
          <w:pgSz w:w="16840" w:h="11900" w:orient="landscape"/>
          <w:pgMar w:top="1440" w:right="1440" w:bottom="1440" w:left="1440" w:header="720" w:footer="720" w:gutter="0"/>
          <w:cols w:space="720"/>
          <w:docGrid w:linePitch="360"/>
        </w:sectPr>
      </w:pPr>
    </w:p>
    <w:p w:rsidR="00256473" w:rsidRDefault="00605DD2" w:rsidP="00E96E16">
      <w:pPr>
        <w:pStyle w:val="Heading1"/>
      </w:pPr>
      <w:r>
        <w:lastRenderedPageBreak/>
        <w:t>5</w:t>
      </w:r>
      <w:r w:rsidR="003E47FA">
        <w:t xml:space="preserve">. </w:t>
      </w:r>
      <w:r w:rsidR="00E96E16">
        <w:t>Statistical Analysis</w:t>
      </w:r>
    </w:p>
    <w:p w:rsidR="000434D1" w:rsidRDefault="000434D1" w:rsidP="000434D1">
      <w:pPr>
        <w:pStyle w:val="Heading2"/>
      </w:pPr>
      <w:r>
        <w:t>Evaluation Approach</w:t>
      </w:r>
    </w:p>
    <w:p w:rsidR="00541BCA" w:rsidRDefault="0005477C" w:rsidP="00E96E16">
      <w:r>
        <w:t xml:space="preserve">In order to </w:t>
      </w:r>
      <w:r w:rsidR="00003AC8">
        <w:t xml:space="preserve">test </w:t>
      </w:r>
      <w:r>
        <w:t xml:space="preserve">the main study </w:t>
      </w:r>
      <w:r w:rsidR="00003AC8">
        <w:t xml:space="preserve">hypotheses, set out in Table </w:t>
      </w:r>
      <w:r w:rsidR="00EC6BE4">
        <w:t>1</w:t>
      </w:r>
      <w:r w:rsidR="00003AC8">
        <w:t xml:space="preserve">, </w:t>
      </w:r>
      <w:r>
        <w:t>we w</w:t>
      </w:r>
      <w:r w:rsidR="00953271">
        <w:t>ant</w:t>
      </w:r>
      <w:r>
        <w:t xml:space="preserve"> to causally identify the impact of the </w:t>
      </w:r>
      <w:r w:rsidR="00FB5FE0">
        <w:t xml:space="preserve">NExTWORK </w:t>
      </w:r>
      <w:r>
        <w:t xml:space="preserve">programme on </w:t>
      </w:r>
      <w:r w:rsidR="00CD7604">
        <w:t>the four groups</w:t>
      </w:r>
      <w:r>
        <w:t xml:space="preserve"> of outcome. The challenge at the heart of causal impact identification is that ideally we would like to compare the outcomes of individuals who receive the treatment to the outcomes of the </w:t>
      </w:r>
      <w:r>
        <w:rPr>
          <w:i/>
        </w:rPr>
        <w:t>same</w:t>
      </w:r>
      <w:r>
        <w:t xml:space="preserve"> individuals without receiving treatment. That is, for example, we would want to compare employment status of individual A at time </w:t>
      </w:r>
      <w:r w:rsidRPr="0005477C">
        <w:rPr>
          <w:i/>
        </w:rPr>
        <w:t>t</w:t>
      </w:r>
      <w:r>
        <w:t xml:space="preserve">, where t=six months after completing </w:t>
      </w:r>
      <w:r w:rsidR="005D5278">
        <w:t xml:space="preserve">NExTWORK </w:t>
      </w:r>
      <w:r>
        <w:t>to the employment status of individual A</w:t>
      </w:r>
      <w:r w:rsidR="00541BCA">
        <w:t xml:space="preserve"> at time </w:t>
      </w:r>
      <w:r w:rsidR="00541BCA" w:rsidRPr="00541BCA">
        <w:rPr>
          <w:i/>
        </w:rPr>
        <w:t>t</w:t>
      </w:r>
      <w:r w:rsidR="00541BCA">
        <w:t xml:space="preserve"> had he/she attended the standard government programme instead. This true counterfactual is impossible to observe.</w:t>
      </w:r>
    </w:p>
    <w:p w:rsidR="00541BCA" w:rsidRDefault="00541BCA" w:rsidP="00E96E16"/>
    <w:p w:rsidR="00541BCA" w:rsidRDefault="00541BCA" w:rsidP="00E96E16">
      <w:pPr>
        <w:rPr>
          <w:rFonts w:eastAsiaTheme="minorEastAsia"/>
        </w:rPr>
      </w:pPr>
      <w:r>
        <w:t>Formally</w:t>
      </w:r>
      <w:r w:rsidR="0063123F">
        <w:t xml:space="preserve">, we denote treatment status as D, so that D=1 for those who receive the </w:t>
      </w:r>
      <w:r w:rsidR="005D5278">
        <w:t xml:space="preserve">NExTWORK </w:t>
      </w:r>
      <w:r w:rsidR="0063123F">
        <w:t xml:space="preserve">treatment and D=0 for those receiving the default government programme </w:t>
      </w:r>
      <w:r w:rsidR="00FD40C7">
        <w:t xml:space="preserve">and become ineligible for joining </w:t>
      </w:r>
      <w:r w:rsidR="005D5278">
        <w:t>NExTWORK</w:t>
      </w:r>
      <w:r w:rsidR="00FD40C7">
        <w:t xml:space="preserve"> at any future point. The outcome of interest is </w:t>
      </w:r>
      <w:r w:rsidR="00862195">
        <w:t xml:space="preserve">denoted as </w:t>
      </w:r>
      <m:oMath>
        <m:sSub>
          <m:sSubPr>
            <m:ctrlPr>
              <w:rPr>
                <w:rFonts w:ascii="Cambria Math" w:hAnsi="Cambria Math"/>
                <w:i/>
              </w:rPr>
            </m:ctrlPr>
          </m:sSubPr>
          <m:e>
            <m:r>
              <w:rPr>
                <w:rFonts w:ascii="Cambria Math" w:hAnsi="Cambria Math"/>
              </w:rPr>
              <m:t>Y</m:t>
            </m:r>
          </m:e>
          <m:sub>
            <m:r>
              <w:rPr>
                <w:rFonts w:ascii="Cambria Math" w:hAnsi="Cambria Math"/>
              </w:rPr>
              <m:t>t</m:t>
            </m:r>
          </m:sub>
        </m:sSub>
        <m:sSubSup>
          <m:sSubSupPr>
            <m:ctrlPr>
              <w:rPr>
                <w:rFonts w:ascii="Cambria Math" w:hAnsi="Cambria Math"/>
                <w:i/>
              </w:rPr>
            </m:ctrlPr>
          </m:sSubSupPr>
          <m:e>
            <m:r>
              <w:rPr>
                <w:rFonts w:ascii="Cambria Math" w:hAnsi="Cambria Math"/>
              </w:rPr>
              <m:t>}</m:t>
            </m:r>
          </m:e>
          <m:sub>
            <m:r>
              <w:rPr>
                <w:rFonts w:ascii="Cambria Math" w:hAnsi="Cambria Math"/>
              </w:rPr>
              <m:t>t=0</m:t>
            </m:r>
          </m:sub>
          <m:sup>
            <m:r>
              <w:rPr>
                <w:rFonts w:ascii="Cambria Math" w:hAnsi="Cambria Math"/>
              </w:rPr>
              <m:t>T</m:t>
            </m:r>
          </m:sup>
        </m:sSubSup>
      </m:oMath>
      <w:r w:rsidR="00862195">
        <w:rPr>
          <w:rFonts w:eastAsiaTheme="minorEastAsia"/>
        </w:rPr>
        <w:t xml:space="preserve"> where T is the most recent time period for which register data on the relevant outcome are available and t=0 is the time at which the individual is randomised into </w:t>
      </w:r>
      <w:r w:rsidR="005D5278">
        <w:rPr>
          <w:rFonts w:eastAsiaTheme="minorEastAsia"/>
        </w:rPr>
        <w:t>NExTWORK</w:t>
      </w:r>
      <w:r w:rsidR="0086219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t</m:t>
            </m:r>
          </m:sub>
          <m:sup>
            <m:r>
              <w:rPr>
                <w:rFonts w:ascii="Cambria Math" w:eastAsiaTheme="minorEastAsia" w:hAnsi="Cambria Math"/>
              </w:rPr>
              <m:t>1</m:t>
            </m:r>
          </m:sup>
        </m:sSubSup>
      </m:oMath>
      <w:r w:rsidR="00862195">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t</m:t>
            </m:r>
          </m:sub>
          <m:sup>
            <m:r>
              <w:rPr>
                <w:rFonts w:ascii="Cambria Math" w:eastAsiaTheme="minorEastAsia" w:hAnsi="Cambria Math"/>
              </w:rPr>
              <m:t>0</m:t>
            </m:r>
          </m:sup>
        </m:sSubSup>
      </m:oMath>
      <w:r w:rsidR="00862195">
        <w:rPr>
          <w:rFonts w:eastAsiaTheme="minorEastAsia"/>
        </w:rPr>
        <w:t xml:space="preserve"> denote outcomes at time t if joining and not joining </w:t>
      </w:r>
      <w:r w:rsidR="005D5278">
        <w:rPr>
          <w:rFonts w:eastAsiaTheme="minorEastAsia"/>
        </w:rPr>
        <w:t xml:space="preserve">NExTWORK </w:t>
      </w:r>
      <w:r w:rsidR="00862195">
        <w:rPr>
          <w:rFonts w:eastAsiaTheme="minorEastAsia"/>
        </w:rPr>
        <w:t xml:space="preserve">at t=0. </w:t>
      </w:r>
      <w:r w:rsidR="00172F4E">
        <w:rPr>
          <w:rFonts w:eastAsiaTheme="minorEastAsia"/>
        </w:rPr>
        <w:t xml:space="preserve">We are interested in the average impact at each time-point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m:t>
            </m:r>
          </m:sub>
        </m:sSub>
      </m:oMath>
      <w:r w:rsidR="00172F4E">
        <w:rPr>
          <w:rFonts w:eastAsiaTheme="minorEastAsia"/>
        </w:rPr>
        <w:t xml:space="preserve"> for those joining the programme versus those going into the government programme at time t=0:</w:t>
      </w:r>
    </w:p>
    <w:p w:rsidR="00172F4E" w:rsidRDefault="00172F4E" w:rsidP="00E96E16">
      <w:pPr>
        <w:rPr>
          <w:rFonts w:eastAsiaTheme="minorEastAsia"/>
        </w:rPr>
      </w:pPr>
    </w:p>
    <w:p w:rsidR="000B0E2B" w:rsidRDefault="000A4140" w:rsidP="00656477">
      <w:pPr>
        <w:ind w:left="720" w:hanging="720"/>
        <w:jc w:val="center"/>
      </w:pPr>
      <m:oMathPara>
        <m:oMath>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=E</m:t>
          </m:r>
          <m:d>
            <m:dPr>
              <m:endChr m:val="|"/>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d>
          <m:r>
            <w:rPr>
              <w:rFonts w:ascii="Cambria Math" w:hAnsi="Cambria Math"/>
            </w:rPr>
            <m:t>D=1)=E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1</m:t>
                  </m:r>
                </m:sup>
              </m:sSubSup>
            </m:e>
            <m:e>
              <m:r>
                <w:rPr>
                  <w:rFonts w:ascii="Cambria Math" w:hAnsi="Cambria Math"/>
                </w:rPr>
                <m:t>D=1</m:t>
              </m:r>
            </m:e>
          </m:d>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e>
              <m:r>
                <w:rPr>
                  <w:rFonts w:ascii="Cambria Math" w:hAnsi="Cambria Math"/>
                </w:rPr>
                <m:t>D=1</m:t>
              </m:r>
            </m:e>
          </m:d>
        </m:oMath>
      </m:oMathPara>
    </w:p>
    <w:p w:rsidR="00656477" w:rsidRDefault="00656477" w:rsidP="00E96E16"/>
    <w:p w:rsidR="00053AE2" w:rsidRDefault="000B0E2B" w:rsidP="00E96E16">
      <w:pPr>
        <w:rPr>
          <w:rFonts w:eastAsiaTheme="minorEastAsia"/>
        </w:rPr>
      </w:pPr>
      <w:r>
        <w:t xml:space="preserve">for </w:t>
      </w:r>
      <w:r>
        <w:rPr>
          <w:i/>
        </w:rPr>
        <w:t>t</w:t>
      </w:r>
      <w:r w:rsidR="00713BAE">
        <w:rPr>
          <w:i/>
        </w:rPr>
        <w:t xml:space="preserve"> </w:t>
      </w:r>
      <w:r w:rsidR="003824BF">
        <w:t xml:space="preserve">= </w:t>
      </w:r>
      <w:r>
        <w:t>1,</w:t>
      </w:r>
      <w:r w:rsidR="00656477">
        <w:t xml:space="preserve"> </w:t>
      </w:r>
      <w:r>
        <w:t>2,</w:t>
      </w:r>
      <w:r w:rsidR="00656477">
        <w:t xml:space="preserve"> </w:t>
      </w:r>
      <w:r>
        <w:t>...,</w:t>
      </w:r>
      <w:r w:rsidR="00656477">
        <w:t xml:space="preserve"> </w:t>
      </w:r>
      <w:r>
        <w:t>T months since randomisation</w:t>
      </w:r>
      <w:r w:rsidR="00136400">
        <w:t>.</w:t>
      </w:r>
      <w:r>
        <w:rPr>
          <w:rStyle w:val="FootnoteReference"/>
        </w:rPr>
        <w:footnoteReference w:id="15"/>
      </w:r>
      <w:r w:rsidR="00053AE2">
        <w:t xml:space="preserve"> Since the amount of time that an individual spends in treatment is endogenous, we start measurement of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m:t>
            </m:r>
          </m:sub>
        </m:sSub>
      </m:oMath>
      <w:r w:rsidR="00053AE2">
        <w:rPr>
          <w:rFonts w:eastAsiaTheme="minorEastAsia"/>
        </w:rPr>
        <w:t xml:space="preserve"> from the time that </w:t>
      </w:r>
      <w:r w:rsidR="00930E78">
        <w:rPr>
          <w:rFonts w:eastAsiaTheme="minorEastAsia"/>
        </w:rPr>
        <w:t>he/she is</w:t>
      </w:r>
      <w:r w:rsidR="00053AE2">
        <w:rPr>
          <w:rFonts w:eastAsiaTheme="minorEastAsia"/>
        </w:rPr>
        <w:t xml:space="preserve"> randomised into the programme rather than from the </w:t>
      </w:r>
      <w:r w:rsidR="00930E78">
        <w:rPr>
          <w:rFonts w:eastAsiaTheme="minorEastAsia"/>
        </w:rPr>
        <w:t>time of programme completion</w:t>
      </w:r>
      <w:r w:rsidR="00053AE2">
        <w:rPr>
          <w:rFonts w:eastAsiaTheme="minorEastAsia"/>
        </w:rPr>
        <w:t xml:space="preserve">. That is, whatever happens after the randomisation, including programme lock-in effects, </w:t>
      </w:r>
      <w:r w:rsidR="008C2EE6">
        <w:rPr>
          <w:rFonts w:eastAsiaTheme="minorEastAsia"/>
        </w:rPr>
        <w:t>is</w:t>
      </w:r>
      <w:r w:rsidR="00053AE2">
        <w:rPr>
          <w:rFonts w:eastAsiaTheme="minorEastAsia"/>
        </w:rPr>
        <w:t xml:space="preserve"> treated as part of the impact.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m:t>
            </m:r>
          </m:sub>
        </m:sSub>
      </m:oMath>
      <w:r w:rsidR="00053AE2">
        <w:rPr>
          <w:rFonts w:eastAsiaTheme="minorEastAsia"/>
        </w:rPr>
        <w:t xml:space="preserve"> measures the intent to treat (ITT) effect rather than the Treatment on the Treated (ToT) effect</w:t>
      </w:r>
      <w:r w:rsidR="0005016F">
        <w:rPr>
          <w:rFonts w:eastAsiaTheme="minorEastAsia"/>
        </w:rPr>
        <w:t>,</w:t>
      </w:r>
      <w:r w:rsidR="00053AE2">
        <w:rPr>
          <w:rFonts w:eastAsiaTheme="minorEastAsia"/>
        </w:rPr>
        <w:t xml:space="preserve"> captur</w:t>
      </w:r>
      <w:r w:rsidR="0005016F">
        <w:rPr>
          <w:rFonts w:eastAsiaTheme="minorEastAsia"/>
        </w:rPr>
        <w:t>ing</w:t>
      </w:r>
      <w:r w:rsidR="00053AE2">
        <w:rPr>
          <w:rFonts w:eastAsiaTheme="minorEastAsia"/>
        </w:rPr>
        <w:t xml:space="preserve"> outcomes of everyone eligible for the treatment rather than just those who </w:t>
      </w:r>
      <w:r w:rsidR="0005016F">
        <w:rPr>
          <w:rFonts w:eastAsiaTheme="minorEastAsia"/>
        </w:rPr>
        <w:t xml:space="preserve">end-up receiving </w:t>
      </w:r>
      <w:r w:rsidR="00053AE2">
        <w:rPr>
          <w:rFonts w:eastAsiaTheme="minorEastAsia"/>
        </w:rPr>
        <w:t xml:space="preserve">the treatment. We </w:t>
      </w:r>
      <w:r w:rsidR="008C2EE6">
        <w:rPr>
          <w:rFonts w:eastAsiaTheme="minorEastAsia"/>
        </w:rPr>
        <w:t xml:space="preserve">anticipate that there will be a </w:t>
      </w:r>
      <w:r w:rsidR="00053AE2">
        <w:rPr>
          <w:rFonts w:eastAsiaTheme="minorEastAsia"/>
        </w:rPr>
        <w:t xml:space="preserve">non-negligible level of non-compliance and therefore </w:t>
      </w:r>
      <w:r w:rsidR="008C2EE6">
        <w:rPr>
          <w:rFonts w:eastAsiaTheme="minorEastAsia"/>
        </w:rPr>
        <w:t>ITT will not equal ToT.</w:t>
      </w:r>
      <w:r w:rsidR="00080579">
        <w:rPr>
          <w:rFonts w:eastAsiaTheme="minorEastAsia"/>
        </w:rPr>
        <w:t xml:space="preserve"> </w:t>
      </w:r>
      <w:r w:rsidR="00BC734A">
        <w:rPr>
          <w:rFonts w:eastAsiaTheme="minorEastAsia"/>
        </w:rPr>
        <w:t>W</w:t>
      </w:r>
      <w:r w:rsidR="00080579">
        <w:rPr>
          <w:rFonts w:eastAsiaTheme="minorEastAsia"/>
        </w:rPr>
        <w:t xml:space="preserve">e will </w:t>
      </w:r>
      <w:r w:rsidR="00BC734A">
        <w:rPr>
          <w:rFonts w:eastAsiaTheme="minorEastAsia"/>
        </w:rPr>
        <w:t xml:space="preserve">therefore </w:t>
      </w:r>
      <w:r w:rsidR="00080579">
        <w:rPr>
          <w:rFonts w:eastAsiaTheme="minorEastAsia"/>
        </w:rPr>
        <w:t xml:space="preserve">also </w:t>
      </w:r>
      <w:r w:rsidR="00D36754">
        <w:rPr>
          <w:rFonts w:eastAsiaTheme="minorEastAsia"/>
        </w:rPr>
        <w:t>perform an instrumental variable regression, using</w:t>
      </w:r>
      <w:r w:rsidR="00000078">
        <w:rPr>
          <w:rFonts w:eastAsiaTheme="minorEastAsia"/>
        </w:rPr>
        <w:t xml:space="preserve"> </w:t>
      </w:r>
      <w:r w:rsidR="00D36754">
        <w:rPr>
          <w:rFonts w:eastAsiaTheme="minorEastAsia"/>
        </w:rPr>
        <w:t xml:space="preserve">randomisation into the </w:t>
      </w:r>
      <w:r w:rsidR="00000078">
        <w:rPr>
          <w:rFonts w:eastAsiaTheme="minorEastAsia"/>
        </w:rPr>
        <w:t>treatment as an instrument for treatment</w:t>
      </w:r>
      <w:r w:rsidR="00D36754">
        <w:rPr>
          <w:rFonts w:eastAsiaTheme="minorEastAsia"/>
        </w:rPr>
        <w:t>, in order to estimate the size of th</w:t>
      </w:r>
      <w:r w:rsidR="00616BB6">
        <w:rPr>
          <w:rFonts w:eastAsiaTheme="minorEastAsia"/>
        </w:rPr>
        <w:t>e</w:t>
      </w:r>
      <w:r w:rsidR="00D36754">
        <w:rPr>
          <w:rFonts w:eastAsiaTheme="minorEastAsia"/>
        </w:rPr>
        <w:t xml:space="preserve"> ToT effect.</w:t>
      </w:r>
      <w:r w:rsidR="008C2EE6">
        <w:rPr>
          <w:rFonts w:eastAsiaTheme="minorEastAsia"/>
        </w:rPr>
        <w:t xml:space="preserve"> </w:t>
      </w:r>
    </w:p>
    <w:p w:rsidR="000B0E2B" w:rsidRDefault="000B0E2B" w:rsidP="00E96E16"/>
    <w:p w:rsidR="008C2EE6" w:rsidRDefault="008C2EE6" w:rsidP="00656477">
      <w:pPr>
        <w:rPr>
          <w:rFonts w:eastAsiaTheme="minorEastAsia"/>
        </w:rPr>
      </w:pPr>
      <w:r>
        <w:t xml:space="preserve">The causal inference problem is that while we can </w:t>
      </w:r>
      <w:r w:rsidR="00656477">
        <w:t>identify</w:t>
      </w:r>
      <w:r w:rsidR="00C27838">
        <w:rPr>
          <w:rFonts w:eastAsiaTheme="minorEastAsia"/>
        </w:rPr>
        <w:t xml:space="preserve"> </w:t>
      </w:r>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1</m:t>
                </m:r>
              </m:sup>
            </m:sSubSup>
          </m:e>
          <m:e>
            <m:r>
              <w:rPr>
                <w:rFonts w:ascii="Cambria Math" w:hAnsi="Cambria Math"/>
              </w:rPr>
              <m:t>D=1</m:t>
            </m:r>
          </m:e>
        </m:d>
      </m:oMath>
      <w:r>
        <w:rPr>
          <w:rFonts w:eastAsiaTheme="minorEastAsia"/>
        </w:rPr>
        <w:t>, which is the expected value of the outcome variable in the treatment group</w:t>
      </w:r>
      <w:r w:rsidR="00A5754E">
        <w:rPr>
          <w:rFonts w:eastAsiaTheme="minorEastAsia"/>
        </w:rPr>
        <w:t xml:space="preserve"> on receiving treatment</w:t>
      </w:r>
      <w:r>
        <w:rPr>
          <w:rFonts w:eastAsiaTheme="minorEastAsia"/>
        </w:rPr>
        <w:t xml:space="preserve">, it is not possible to </w:t>
      </w:r>
      <w:r w:rsidR="00F44FC9">
        <w:rPr>
          <w:rFonts w:eastAsiaTheme="minorEastAsia"/>
        </w:rPr>
        <w:t>identify</w:t>
      </w:r>
      <w:r>
        <w:rPr>
          <w:rFonts w:eastAsiaTheme="minorEastAsia"/>
        </w:rPr>
        <w:t xml:space="preserve"> the expected value of the outcome variable in the treatment group had the programme not existed (</w:t>
      </w:r>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e>
            <m:r>
              <w:rPr>
                <w:rFonts w:ascii="Cambria Math" w:hAnsi="Cambria Math"/>
              </w:rPr>
              <m:t>D=1</m:t>
            </m:r>
          </m:e>
        </m:d>
        <m:r>
          <w:rPr>
            <w:rFonts w:ascii="Cambria Math" w:hAnsi="Cambria Math"/>
          </w:rPr>
          <m:t xml:space="preserve"> </m:t>
        </m:r>
      </m:oMath>
      <w:r w:rsidR="00A5754E">
        <w:rPr>
          <w:rFonts w:eastAsiaTheme="minorEastAsia"/>
        </w:rPr>
        <w:t>)</w:t>
      </w:r>
      <w:r w:rsidR="00F44FC9">
        <w:rPr>
          <w:rFonts w:eastAsiaTheme="minorEastAsia"/>
        </w:rPr>
        <w:t xml:space="preserve"> from the data</w:t>
      </w:r>
      <w:r w:rsidR="00A5754E">
        <w:rPr>
          <w:rFonts w:eastAsiaTheme="minorEastAsia"/>
        </w:rPr>
        <w:t xml:space="preserve">; we can only identify </w:t>
      </w:r>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e>
            <m:r>
              <w:rPr>
                <w:rFonts w:ascii="Cambria Math" w:hAnsi="Cambria Math"/>
              </w:rPr>
              <m:t>D=0</m:t>
            </m:r>
          </m:e>
        </m:d>
      </m:oMath>
      <w:r w:rsidR="00A5754E">
        <w:rPr>
          <w:rFonts w:eastAsiaTheme="minorEastAsia"/>
        </w:rPr>
        <w:t xml:space="preserve"> i.e. </w:t>
      </w:r>
      <w:r w:rsidR="00F44FC9">
        <w:rPr>
          <w:rFonts w:eastAsiaTheme="minorEastAsia"/>
        </w:rPr>
        <w:t xml:space="preserve">expected value of the </w:t>
      </w:r>
      <w:r w:rsidR="00A5754E">
        <w:rPr>
          <w:rFonts w:eastAsiaTheme="minorEastAsia"/>
        </w:rPr>
        <w:t xml:space="preserve">outcome variable in the control group </w:t>
      </w:r>
      <w:r w:rsidR="00121010">
        <w:rPr>
          <w:rFonts w:eastAsiaTheme="minorEastAsia"/>
        </w:rPr>
        <w:t xml:space="preserve">(those who did not receive the </w:t>
      </w:r>
      <w:r w:rsidR="00A5754E">
        <w:rPr>
          <w:rFonts w:eastAsiaTheme="minorEastAsia"/>
        </w:rPr>
        <w:t>treatmen</w:t>
      </w:r>
      <w:r w:rsidR="00616BB6">
        <w:rPr>
          <w:rFonts w:eastAsiaTheme="minorEastAsia"/>
        </w:rPr>
        <w:t>t</w:t>
      </w:r>
      <w:r w:rsidR="00121010">
        <w:rPr>
          <w:rFonts w:eastAsiaTheme="minorEastAsia"/>
        </w:rPr>
        <w:t>)</w:t>
      </w:r>
      <w:r w:rsidR="00A5754E">
        <w:rPr>
          <w:rFonts w:eastAsiaTheme="minorEastAsia"/>
        </w:rPr>
        <w:t>.</w:t>
      </w:r>
      <w:r w:rsidR="006B0840">
        <w:rPr>
          <w:rFonts w:eastAsiaTheme="minorEastAsia"/>
        </w:rPr>
        <w:t xml:space="preserve"> I</w:t>
      </w:r>
      <w:r w:rsidR="00A5754E">
        <w:rPr>
          <w:rFonts w:eastAsiaTheme="minorEastAsia"/>
        </w:rPr>
        <w:t>f w</w:t>
      </w:r>
      <w:r w:rsidR="00E85E4B">
        <w:rPr>
          <w:rFonts w:eastAsiaTheme="minorEastAsia"/>
        </w:rPr>
        <w:t xml:space="preserve">e can make a credible case that </w:t>
      </w:r>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e>
            <m:r>
              <w:rPr>
                <w:rFonts w:ascii="Cambria Math" w:hAnsi="Cambria Math"/>
              </w:rPr>
              <m:t>D=0</m:t>
            </m:r>
          </m:e>
        </m:d>
      </m:oMath>
      <w:r w:rsidR="00A5754E">
        <w:rPr>
          <w:rFonts w:eastAsiaTheme="minorEastAsia"/>
        </w:rPr>
        <w:t>=</w:t>
      </w:r>
      <m:oMath>
        <m:r>
          <w:rPr>
            <w:rFonts w:ascii="Cambria Math" w:hAnsi="Cambria Math"/>
          </w:rPr>
          <m:t xml:space="preserve"> 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e>
            <m:r>
              <w:rPr>
                <w:rFonts w:ascii="Cambria Math" w:hAnsi="Cambria Math"/>
              </w:rPr>
              <m:t>D=1</m:t>
            </m:r>
          </m:e>
        </m:d>
      </m:oMath>
      <w:r w:rsidR="00A5754E">
        <w:rPr>
          <w:rFonts w:eastAsiaTheme="minorEastAsia"/>
        </w:rPr>
        <w:t xml:space="preserve"> then we c</w:t>
      </w:r>
      <w:r w:rsidR="00E85E4B">
        <w:rPr>
          <w:rFonts w:eastAsiaTheme="minorEastAsia"/>
        </w:rPr>
        <w:t xml:space="preserve">an use the former to </w:t>
      </w:r>
      <w:r w:rsidR="00A5754E">
        <w:rPr>
          <w:rFonts w:eastAsiaTheme="minorEastAsia"/>
        </w:rPr>
        <w:t xml:space="preserve">estimate </w:t>
      </w:r>
      <m:oMath>
        <m:sSub>
          <m:sSubPr>
            <m:ctrlPr>
              <w:rPr>
                <w:rFonts w:ascii="Cambria Math" w:hAnsi="Cambria Math"/>
                <w:i/>
              </w:rPr>
            </m:ctrlPr>
          </m:sSubPr>
          <m:e>
            <m:r>
              <w:rPr>
                <w:rFonts w:ascii="Cambria Math" w:hAnsi="Cambria Math"/>
              </w:rPr>
              <m:t>∆</m:t>
            </m:r>
          </m:e>
          <m:sub>
            <m:r>
              <w:rPr>
                <w:rFonts w:ascii="Cambria Math" w:hAnsi="Cambria Math"/>
              </w:rPr>
              <m:t>t</m:t>
            </m:r>
          </m:sub>
        </m:sSub>
      </m:oMath>
      <w:r w:rsidR="00A5754E">
        <w:rPr>
          <w:rFonts w:eastAsiaTheme="minorEastAsia"/>
        </w:rPr>
        <w:t xml:space="preserve">. </w:t>
      </w:r>
      <w:r w:rsidR="00E85E4B">
        <w:rPr>
          <w:rFonts w:eastAsiaTheme="minorEastAsia"/>
        </w:rPr>
        <w:t xml:space="preserve">To make this case we have to be able to believe that  </w:t>
      </w: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oMath>
      <w:r w:rsidR="00E85E4B">
        <w:rPr>
          <w:rFonts w:eastAsiaTheme="minorEastAsia"/>
        </w:rPr>
        <w:t xml:space="preserve"> is independent of the treatment status i.e. </w:t>
      </w:r>
      <w:r w:rsidR="00656477">
        <w:rPr>
          <w:rFonts w:eastAsiaTheme="minorEastAsia"/>
        </w:rPr>
        <w:t>that</w:t>
      </w: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r>
          <w:rPr>
            <w:rFonts w:ascii="Cambria Math" w:hAnsi="Cambria Math"/>
          </w:rPr>
          <m:t xml:space="preserve"> ⊥D</m:t>
        </m:r>
      </m:oMath>
      <w:r w:rsidR="00E85E4B">
        <w:rPr>
          <w:rFonts w:eastAsiaTheme="minorEastAsia"/>
        </w:rPr>
        <w:t xml:space="preserve">. In a real-life situation we would not be able to make this assumption without at least conditioning on observable characteristics since participation in any programme is a </w:t>
      </w:r>
      <w:r w:rsidR="00E85E4B">
        <w:rPr>
          <w:rFonts w:eastAsiaTheme="minorEastAsia"/>
        </w:rPr>
        <w:lastRenderedPageBreak/>
        <w:t>choice</w:t>
      </w:r>
      <w:r w:rsidR="00BF023E">
        <w:rPr>
          <w:rFonts w:eastAsiaTheme="minorEastAsia"/>
        </w:rPr>
        <w:t xml:space="preserve"> (bearing in mind that social assistance payments will be conditional</w:t>
      </w:r>
      <w:r w:rsidR="00E85E4B">
        <w:rPr>
          <w:rFonts w:eastAsiaTheme="minorEastAsia"/>
        </w:rPr>
        <w:t xml:space="preserve"> </w:t>
      </w:r>
      <w:r w:rsidR="00BF023E">
        <w:rPr>
          <w:rFonts w:eastAsiaTheme="minorEastAsia"/>
        </w:rPr>
        <w:t xml:space="preserve">on such choice) </w:t>
      </w:r>
      <w:r w:rsidR="00E85E4B">
        <w:rPr>
          <w:rFonts w:eastAsiaTheme="minorEastAsia"/>
        </w:rPr>
        <w:t xml:space="preserve">and individuals who make this choice are likely to differ from those who do not along characteristics that also affect </w:t>
      </w: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oMath>
      <w:r w:rsidR="00F44FC9">
        <w:rPr>
          <w:rFonts w:eastAsiaTheme="minorEastAsia"/>
        </w:rPr>
        <w:t xml:space="preserve">. This is the reason why a key feature of our study design is random allocation of eligible individuals into the programme (as described above). The randomisation, if implemented successfully, ensures that the average of </w:t>
      </w:r>
      <w:r w:rsidR="000434D1">
        <w:rPr>
          <w:rFonts w:eastAsiaTheme="minorEastAsia"/>
        </w:rPr>
        <w:t>outcome variable among non-participants is a good approximation of the expected value of the outcomes among the participants had the programme not existed.</w:t>
      </w:r>
    </w:p>
    <w:p w:rsidR="000434D1" w:rsidRDefault="000434D1" w:rsidP="00E96E16">
      <w:pPr>
        <w:rPr>
          <w:rFonts w:eastAsiaTheme="minorEastAsia"/>
        </w:rPr>
      </w:pPr>
    </w:p>
    <w:p w:rsidR="000434D1" w:rsidRDefault="000434D1" w:rsidP="00E96E16">
      <w:pPr>
        <w:rPr>
          <w:rFonts w:eastAsiaTheme="minorEastAsia"/>
        </w:rPr>
      </w:pPr>
      <w:r>
        <w:rPr>
          <w:rFonts w:eastAsiaTheme="minorEastAsia"/>
        </w:rPr>
        <w:t xml:space="preserve">If this is the case we can say that </w:t>
      </w:r>
    </w:p>
    <w:p w:rsidR="000434D1" w:rsidRDefault="000A4140" w:rsidP="000434D1">
      <w:pPr>
        <w:ind w:left="720" w:hanging="720"/>
      </w:pPr>
      <m:oMath>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=E</m:t>
        </m:r>
        <m:d>
          <m:dPr>
            <m:endChr m:val="|"/>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d>
        <m:r>
          <w:rPr>
            <w:rFonts w:ascii="Cambria Math" w:hAnsi="Cambria Math"/>
          </w:rPr>
          <m:t>D=1)=E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1</m:t>
                </m:r>
              </m:sup>
            </m:sSubSup>
          </m:e>
          <m:e>
            <m:r>
              <w:rPr>
                <w:rFonts w:ascii="Cambria Math" w:hAnsi="Cambria Math"/>
              </w:rPr>
              <m:t>D=1</m:t>
            </m:r>
          </m:e>
        </m:d>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e>
            <m:r>
              <w:rPr>
                <w:rFonts w:ascii="Cambria Math" w:hAnsi="Cambria Math"/>
              </w:rPr>
              <m:t>D=1</m:t>
            </m:r>
          </m:e>
        </m:d>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1</m:t>
                </m:r>
              </m:sup>
            </m:sSubSup>
          </m:e>
          <m:e>
            <m:r>
              <w:rPr>
                <w:rFonts w:ascii="Cambria Math" w:hAnsi="Cambria Math"/>
              </w:rPr>
              <m:t>D=1</m:t>
            </m:r>
          </m:e>
        </m:d>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0</m:t>
                </m:r>
              </m:sup>
            </m:sSubSup>
          </m:e>
          <m:e>
            <m:r>
              <w:rPr>
                <w:rFonts w:ascii="Cambria Math" w:hAnsi="Cambria Math"/>
              </w:rPr>
              <m:t>D=0</m:t>
            </m:r>
          </m:e>
        </m:d>
        <m:r>
          <w:rPr>
            <w:rFonts w:ascii="Cambria Math" w:hAnsi="Cambria Math"/>
          </w:rPr>
          <m:t xml:space="preserve"> </m:t>
        </m:r>
      </m:oMath>
      <w:r w:rsidR="000434D1">
        <w:t xml:space="preserve"> </w:t>
      </w:r>
    </w:p>
    <w:p w:rsidR="000434D1" w:rsidRDefault="000434D1" w:rsidP="00E96E16">
      <w:pPr>
        <w:rPr>
          <w:rFonts w:eastAsiaTheme="minorEastAsia"/>
        </w:rPr>
      </w:pPr>
    </w:p>
    <w:p w:rsidR="000434D1" w:rsidRDefault="000434D1" w:rsidP="00E96E16">
      <w:pPr>
        <w:rPr>
          <w:rFonts w:eastAsiaTheme="minorEastAsia"/>
        </w:rPr>
      </w:pPr>
      <w:r>
        <w:rPr>
          <w:rFonts w:eastAsiaTheme="minorEastAsia"/>
        </w:rPr>
        <w:t xml:space="preserve">Both terms can then be identified from the data. </w:t>
      </w:r>
    </w:p>
    <w:p w:rsidR="000434D1" w:rsidRDefault="000434D1" w:rsidP="00E96E16">
      <w:pPr>
        <w:rPr>
          <w:rFonts w:eastAsiaTheme="minorEastAsia"/>
        </w:rPr>
      </w:pPr>
    </w:p>
    <w:p w:rsidR="00A77B94" w:rsidRDefault="00713BAE" w:rsidP="000E790B">
      <w:pPr>
        <w:pStyle w:val="Heading2"/>
        <w:rPr>
          <w:rFonts w:eastAsiaTheme="minorEastAsia"/>
        </w:rPr>
      </w:pPr>
      <w:bookmarkStart w:id="7" w:name="_Hlk492045927"/>
      <w:r>
        <w:t>Estimation</w:t>
      </w:r>
      <w:bookmarkEnd w:id="7"/>
    </w:p>
    <w:p w:rsidR="00B81F56" w:rsidRDefault="00B81F56" w:rsidP="00B81F56">
      <w:r>
        <w:t xml:space="preserve">Our outcomes </w:t>
      </w:r>
      <w:r w:rsidR="00F27FFD">
        <w:t xml:space="preserve">are measured using </w:t>
      </w:r>
      <w:r>
        <w:t>continuous</w:t>
      </w:r>
      <w:r w:rsidR="008916A6">
        <w:t xml:space="preserve"> and </w:t>
      </w:r>
      <w:r>
        <w:t xml:space="preserve">binary measures. </w:t>
      </w:r>
      <w:r w:rsidR="00F27FFD">
        <w:t>Programme impact</w:t>
      </w:r>
      <w:r w:rsidR="001A32F3">
        <w:t>s</w:t>
      </w:r>
      <w:r w:rsidR="00F27FFD">
        <w:t xml:space="preserve"> on c</w:t>
      </w:r>
      <w:r>
        <w:t>ontinuous outcomes (e.g. average weekly earnings</w:t>
      </w:r>
      <w:r w:rsidR="00B44EAE">
        <w:t xml:space="preserve">; cumulative </w:t>
      </w:r>
      <w:r>
        <w:t>time in paid employmen</w:t>
      </w:r>
      <w:r w:rsidR="00F27FFD">
        <w:t>t</w:t>
      </w:r>
      <w:r>
        <w:t xml:space="preserve">) will </w:t>
      </w:r>
      <w:r w:rsidR="00894511">
        <w:t xml:space="preserve">be </w:t>
      </w:r>
      <w:r>
        <w:t>estimate</w:t>
      </w:r>
      <w:r w:rsidR="00894511">
        <w:t>d</w:t>
      </w:r>
      <w:r>
        <w:t xml:space="preserve"> using </w:t>
      </w:r>
      <w:r w:rsidR="00F610BF">
        <w:t>o</w:t>
      </w:r>
      <w:r>
        <w:t xml:space="preserve">rdinary </w:t>
      </w:r>
      <w:r w:rsidR="00F610BF">
        <w:t>l</w:t>
      </w:r>
      <w:r>
        <w:t xml:space="preserve">east </w:t>
      </w:r>
      <w:r w:rsidR="00F610BF">
        <w:t>s</w:t>
      </w:r>
      <w:r>
        <w:t>quares</w:t>
      </w:r>
      <w:r w:rsidR="001A32F3">
        <w:t xml:space="preserve"> (OLS)</w:t>
      </w:r>
      <w:r w:rsidR="00894511">
        <w:t xml:space="preserve"> regression</w:t>
      </w:r>
      <w:r w:rsidR="00A010CA">
        <w:t>;</w:t>
      </w:r>
      <w:r>
        <w:t xml:space="preserve"> </w:t>
      </w:r>
      <w:r w:rsidR="00A010CA">
        <w:t xml:space="preserve">we </w:t>
      </w:r>
      <w:r>
        <w:t xml:space="preserve">will </w:t>
      </w:r>
      <w:r w:rsidR="00A010CA">
        <w:t xml:space="preserve">use </w:t>
      </w:r>
      <w:r w:rsidR="00552CE1">
        <w:t xml:space="preserve">the </w:t>
      </w:r>
      <w:r>
        <w:t xml:space="preserve">Logit model </w:t>
      </w:r>
      <w:r w:rsidR="00552CE1">
        <w:t xml:space="preserve">to estimate impacts on </w:t>
      </w:r>
      <w:r>
        <w:t>binary outcome</w:t>
      </w:r>
      <w:r w:rsidR="00894511">
        <w:t>s</w:t>
      </w:r>
      <w:r>
        <w:t xml:space="preserve"> (e.g. whether employed/in qualifying education).  </w:t>
      </w:r>
    </w:p>
    <w:p w:rsidR="00894511" w:rsidRDefault="00894511" w:rsidP="00B81F56"/>
    <w:p w:rsidR="00706EE2" w:rsidRDefault="008E31AF" w:rsidP="00022856">
      <w:r>
        <w:t>In addition to treatment status, o</w:t>
      </w:r>
      <w:r w:rsidR="00C23505">
        <w:t xml:space="preserve">ur main model </w:t>
      </w:r>
      <w:r>
        <w:t xml:space="preserve">will include controls for baseline measure of the outcome variable (where </w:t>
      </w:r>
      <w:r w:rsidR="00292C24">
        <w:t>applicable)</w:t>
      </w:r>
      <w:r w:rsidR="007B4435">
        <w:t xml:space="preserve">, municipality </w:t>
      </w:r>
      <w:r w:rsidR="00A657D0">
        <w:t>indicator</w:t>
      </w:r>
      <w:r w:rsidR="00292C24">
        <w:t xml:space="preserve"> and controls for any </w:t>
      </w:r>
      <w:r w:rsidR="00834AFE">
        <w:t>core individual or background characteristics found to be imb</w:t>
      </w:r>
      <w:r w:rsidR="00022856">
        <w:t>a</w:t>
      </w:r>
      <w:r w:rsidR="00834AFE">
        <w:t xml:space="preserve">lanced between treatment and control at baseline. </w:t>
      </w:r>
      <w:r w:rsidR="00022856">
        <w:t xml:space="preserve">We will also estimate models which </w:t>
      </w:r>
      <w:r w:rsidR="00526C7A">
        <w:t>includ</w:t>
      </w:r>
      <w:r w:rsidR="00022856">
        <w:t>e additional</w:t>
      </w:r>
      <w:r w:rsidR="00526C7A">
        <w:t xml:space="preserve"> covariates </w:t>
      </w:r>
      <w:r w:rsidR="00022856">
        <w:t xml:space="preserve">that </w:t>
      </w:r>
      <w:r w:rsidR="00526C7A">
        <w:t>can help to improve precision of our estimates</w:t>
      </w:r>
      <w:r w:rsidR="009932C0">
        <w:t>, such as</w:t>
      </w:r>
      <w:r w:rsidR="00526C7A">
        <w:t xml:space="preserve"> gender, age, background characteristics (immigration history, education</w:t>
      </w:r>
      <w:r w:rsidR="00DB1823">
        <w:t xml:space="preserve">, </w:t>
      </w:r>
      <w:r w:rsidR="00CE586E">
        <w:t>medical diagnoses</w:t>
      </w:r>
      <w:r w:rsidR="00526C7A">
        <w:t xml:space="preserve"> etc.), parental income (both contemporaneous and lifetime) and other parental characteristics (such as history of criminal convictions or psychological referrals). </w:t>
      </w:r>
    </w:p>
    <w:p w:rsidR="00706EE2" w:rsidRDefault="00706EE2" w:rsidP="00022856"/>
    <w:p w:rsidR="00BE11DF" w:rsidRDefault="00757B67" w:rsidP="00022856">
      <w:r>
        <w:t xml:space="preserve">Our main estimating equation </w:t>
      </w:r>
      <w:r w:rsidR="00BE11DF">
        <w:t>is as follows</w:t>
      </w:r>
      <w:r w:rsidR="0025225C">
        <w:t>:</w:t>
      </w:r>
    </w:p>
    <w:p w:rsidR="0025225C" w:rsidRDefault="000A4140" w:rsidP="000E790B">
      <w:pPr>
        <w:spacing w:before="120" w:after="120"/>
      </w:pPr>
      <m:oMathPara>
        <m:oMath>
          <m:sSub>
            <m:sSubPr>
              <m:ctrlPr>
                <w:rPr>
                  <w:rFonts w:ascii="Cambria Math" w:hAnsi="Cambria Math"/>
                  <w:i/>
                </w:rPr>
              </m:ctrlPr>
            </m:sSubPr>
            <m:e>
              <m:r>
                <w:rPr>
                  <w:rFonts w:ascii="Cambria Math" w:hAnsi="Cambria Math"/>
                </w:rPr>
                <m:t>y</m:t>
              </m:r>
            </m:e>
            <m:sub>
              <m:r>
                <w:rPr>
                  <w:rFonts w:ascii="Cambria Math" w:hAnsi="Cambria Math"/>
                </w:rPr>
                <m:t>imt</m:t>
              </m:r>
            </m:sub>
          </m:sSub>
          <m:r>
            <w:rPr>
              <w:rFonts w:ascii="Cambria Math" w:hAnsi="Cambria Math"/>
            </w:rPr>
            <m:t>=α+</m:t>
          </m:r>
          <m:sSub>
            <m:sSubPr>
              <m:ctrlPr>
                <w:rPr>
                  <w:rFonts w:ascii="Cambria Math" w:hAnsi="Cambria Math"/>
                  <w:i/>
                </w:rPr>
              </m:ctrlPr>
            </m:sSubPr>
            <m:e>
              <m:r>
                <w:rPr>
                  <w:rFonts w:ascii="Cambria Math" w:hAnsi="Cambria Math"/>
                </w:rPr>
                <m:t>βy</m:t>
              </m:r>
            </m:e>
            <m:sub>
              <m:r>
                <w:rPr>
                  <w:rFonts w:ascii="Cambria Math" w:hAnsi="Cambria Math"/>
                </w:rPr>
                <m:t>im0</m:t>
              </m:r>
            </m:sub>
          </m:sSub>
          <m:r>
            <w:rPr>
              <w:rFonts w:ascii="Cambria Math" w:hAnsi="Cambria Math"/>
            </w:rPr>
            <m:t>+</m:t>
          </m:r>
          <m:sSub>
            <m:sSubPr>
              <m:ctrlPr>
                <w:rPr>
                  <w:rFonts w:ascii="Cambria Math" w:hAnsi="Cambria Math"/>
                  <w:i/>
                </w:rPr>
              </m:ctrlPr>
            </m:sSubPr>
            <m:e>
              <m:r>
                <w:rPr>
                  <w:rFonts w:ascii="Cambria Math" w:hAnsi="Cambria Math"/>
                </w:rPr>
                <m:t>γT</m:t>
              </m:r>
            </m:e>
            <m:sub>
              <m:r>
                <w:rPr>
                  <w:rFonts w:ascii="Cambria Math" w:hAnsi="Cambria Math"/>
                </w:rPr>
                <m:t>im</m:t>
              </m:r>
            </m:sub>
          </m:sSub>
          <m:r>
            <w:rPr>
              <w:rFonts w:ascii="Cambria Math" w:hAnsi="Cambria Math"/>
            </w:rPr>
            <m:t>+</m:t>
          </m:r>
          <m:sSub>
            <m:sSubPr>
              <m:ctrlPr>
                <w:rPr>
                  <w:rFonts w:ascii="Cambria Math" w:hAnsi="Cambria Math"/>
                  <w:i/>
                </w:rPr>
              </m:ctrlPr>
            </m:sSubPr>
            <m:e>
              <m:r>
                <w:rPr>
                  <w:rFonts w:ascii="Cambria Math" w:hAnsi="Cambria Math"/>
                </w:rPr>
                <m:t>δX</m:t>
              </m:r>
            </m:e>
            <m:sub>
              <m:r>
                <w:rPr>
                  <w:rFonts w:ascii="Cambria Math" w:hAnsi="Cambria Math"/>
                </w:rPr>
                <m:t>im0</m:t>
              </m:r>
            </m:sub>
          </m:sSub>
          <m:r>
            <w:rPr>
              <w:rFonts w:ascii="Cambria Math" w:hAnsi="Cambria Math"/>
            </w:rPr>
            <m:t>+</m:t>
          </m:r>
          <m:sSub>
            <m:sSubPr>
              <m:ctrlPr>
                <w:rPr>
                  <w:rFonts w:ascii="Cambria Math" w:hAnsi="Cambria Math"/>
                  <w:i/>
                </w:rPr>
              </m:ctrlPr>
            </m:sSubPr>
            <m:e>
              <m:r>
                <w:rPr>
                  <w:rFonts w:ascii="Cambria Math" w:hAnsi="Cambria Math"/>
                </w:rPr>
                <m:t>θM</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m:t>
              </m:r>
            </m:sub>
          </m:sSub>
        </m:oMath>
      </m:oMathPara>
    </w:p>
    <w:p w:rsidR="009F7BB9" w:rsidRPr="006002A3" w:rsidRDefault="007633D1" w:rsidP="00022856">
      <w:pPr>
        <w:rPr>
          <w:rFonts w:eastAsiaTheme="minorEastAsia"/>
        </w:rPr>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imt</m:t>
            </m:r>
          </m:sub>
        </m:sSub>
      </m:oMath>
      <w:r>
        <w:rPr>
          <w:rFonts w:eastAsiaTheme="minorEastAsia"/>
        </w:rPr>
        <w:t xml:space="preserve"> </w:t>
      </w:r>
      <w:r w:rsidR="004E5D29">
        <w:rPr>
          <w:rFonts w:eastAsiaTheme="minorEastAsia"/>
        </w:rPr>
        <w:t xml:space="preserve">is one of the outcomes listed in Table 2 for individual </w:t>
      </w:r>
      <w:proofErr w:type="spellStart"/>
      <w:r w:rsidR="004E5D29">
        <w:rPr>
          <w:rFonts w:eastAsiaTheme="minorEastAsia"/>
          <w:i/>
        </w:rPr>
        <w:t>i</w:t>
      </w:r>
      <w:proofErr w:type="spellEnd"/>
      <w:r w:rsidR="004E5D29">
        <w:rPr>
          <w:rFonts w:eastAsiaTheme="minorEastAsia"/>
        </w:rPr>
        <w:t xml:space="preserve"> in municipality </w:t>
      </w:r>
      <w:r w:rsidR="004E5D29">
        <w:rPr>
          <w:rFonts w:eastAsiaTheme="minorEastAsia"/>
          <w:i/>
        </w:rPr>
        <w:t>m</w:t>
      </w:r>
      <w:r w:rsidR="00EF5BAB">
        <w:rPr>
          <w:rFonts w:eastAsiaTheme="minorEastAsia"/>
          <w:i/>
        </w:rPr>
        <w:t xml:space="preserve"> </w:t>
      </w:r>
      <w:r w:rsidR="00EF5BAB">
        <w:rPr>
          <w:rFonts w:eastAsiaTheme="minorEastAsia"/>
        </w:rPr>
        <w:t xml:space="preserve">at time </w:t>
      </w:r>
      <w:r w:rsidR="00EF5BAB" w:rsidRPr="000E790B">
        <w:rPr>
          <w:rFonts w:eastAsiaTheme="minorEastAsia"/>
          <w:i/>
        </w:rPr>
        <w:t>t</w:t>
      </w:r>
      <w:r w:rsidR="00EF5BAB">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im0</m:t>
            </m:r>
          </m:sub>
        </m:sSub>
      </m:oMath>
      <w:r w:rsidR="00B0602E">
        <w:rPr>
          <w:rFonts w:eastAsiaTheme="minorEastAsia"/>
        </w:rPr>
        <w:t xml:space="preserve"> is the baseline measure of the same outcome; </w:t>
      </w:r>
      <m:oMath>
        <m:sSub>
          <m:sSubPr>
            <m:ctrlPr>
              <w:rPr>
                <w:rFonts w:ascii="Cambria Math" w:hAnsi="Cambria Math"/>
                <w:i/>
              </w:rPr>
            </m:ctrlPr>
          </m:sSubPr>
          <m:e>
            <m:r>
              <w:rPr>
                <w:rFonts w:ascii="Cambria Math" w:hAnsi="Cambria Math"/>
              </w:rPr>
              <m:t>γT</m:t>
            </m:r>
          </m:e>
          <m:sub>
            <m:r>
              <w:rPr>
                <w:rFonts w:ascii="Cambria Math" w:hAnsi="Cambria Math"/>
              </w:rPr>
              <m:t>im</m:t>
            </m:r>
          </m:sub>
        </m:sSub>
      </m:oMath>
      <w:r w:rsidR="00B0602E">
        <w:rPr>
          <w:rFonts w:eastAsiaTheme="minorEastAsia"/>
        </w:rPr>
        <w:t xml:space="preserve"> is the treatment status of </w:t>
      </w:r>
      <w:r w:rsidR="006002A3">
        <w:rPr>
          <w:rFonts w:eastAsiaTheme="minorEastAsia"/>
        </w:rPr>
        <w:t xml:space="preserve">individual </w:t>
      </w:r>
      <w:proofErr w:type="spellStart"/>
      <w:r w:rsidR="006002A3">
        <w:rPr>
          <w:rFonts w:eastAsiaTheme="minorEastAsia"/>
          <w:i/>
        </w:rPr>
        <w:t>i</w:t>
      </w:r>
      <w:proofErr w:type="spellEnd"/>
      <w:r w:rsidR="006002A3">
        <w:rPr>
          <w:rFonts w:eastAsiaTheme="minorEastAsia"/>
          <w:i/>
        </w:rPr>
        <w:t xml:space="preserve"> </w:t>
      </w:r>
      <w:r w:rsidR="006002A3">
        <w:rPr>
          <w:rFonts w:eastAsiaTheme="minorEastAsia"/>
        </w:rPr>
        <w:t xml:space="preserve">in municipality </w:t>
      </w:r>
      <w:r w:rsidR="006002A3">
        <w:rPr>
          <w:rFonts w:eastAsiaTheme="minorEastAsia"/>
          <w:i/>
        </w:rPr>
        <w:t>m</w:t>
      </w:r>
      <w:r w:rsidR="006002A3">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im0</m:t>
            </m:r>
          </m:sub>
        </m:sSub>
      </m:oMath>
      <w:r w:rsidR="006002A3">
        <w:rPr>
          <w:rFonts w:eastAsiaTheme="minorEastAsia"/>
        </w:rPr>
        <w:t xml:space="preserve"> is </w:t>
      </w:r>
      <w:r w:rsidR="007872D4">
        <w:rPr>
          <w:rFonts w:eastAsiaTheme="minorEastAsia"/>
        </w:rPr>
        <w:t>a vector of characteristics that are not balanced between treatment and control at baseline</w:t>
      </w:r>
      <w:r w:rsidR="00344C78">
        <w:rPr>
          <w:rFonts w:eastAsiaTheme="minorEastAsia"/>
        </w:rPr>
        <w:t xml:space="preserve">; </w:t>
      </w:r>
      <m:oMath>
        <m:sSub>
          <m:sSubPr>
            <m:ctrlPr>
              <w:rPr>
                <w:rFonts w:ascii="Cambria Math" w:hAnsi="Cambria Math"/>
                <w:i/>
              </w:rPr>
            </m:ctrlPr>
          </m:sSubPr>
          <m:e>
            <m:r>
              <w:rPr>
                <w:rFonts w:ascii="Cambria Math" w:hAnsi="Cambria Math"/>
              </w:rPr>
              <m:t>θM</m:t>
            </m:r>
          </m:e>
          <m:sub>
            <m:r>
              <w:rPr>
                <w:rFonts w:ascii="Cambria Math" w:hAnsi="Cambria Math"/>
              </w:rPr>
              <m:t>m</m:t>
            </m:r>
          </m:sub>
        </m:sSub>
      </m:oMath>
      <w:r w:rsidR="00344C78">
        <w:rPr>
          <w:rFonts w:eastAsiaTheme="minorEastAsia"/>
        </w:rPr>
        <w:t xml:space="preserve"> is a </w:t>
      </w:r>
      <w:r w:rsidR="00625FFF">
        <w:rPr>
          <w:rFonts w:eastAsiaTheme="minorEastAsia"/>
        </w:rPr>
        <w:t xml:space="preserve">municipality indicator. </w:t>
      </w:r>
    </w:p>
    <w:p w:rsidR="00EF5BAB" w:rsidRDefault="00EF5BAB" w:rsidP="00022856"/>
    <w:p w:rsidR="00EF5BAB" w:rsidRDefault="00975A6F" w:rsidP="00022856">
      <w:r>
        <w:t>This model w</w:t>
      </w:r>
      <w:r w:rsidR="00EF5BAB">
        <w:t xml:space="preserve">ill </w:t>
      </w:r>
      <w:r>
        <w:t xml:space="preserve">be </w:t>
      </w:r>
      <w:r w:rsidR="00EF5BAB">
        <w:t>estimate</w:t>
      </w:r>
      <w:r>
        <w:t>d</w:t>
      </w:r>
      <w:r w:rsidR="00EF5BAB">
        <w:t xml:space="preserve"> </w:t>
      </w:r>
      <w:r>
        <w:t>at each time-point when new register data become available and the coefficients will be plotted to study the evolution of programme impacts over time</w:t>
      </w:r>
      <w:r w:rsidR="00B0602E">
        <w:t>.</w:t>
      </w:r>
    </w:p>
    <w:p w:rsidR="00B0602E" w:rsidRPr="00EF5BAB" w:rsidRDefault="00B0602E" w:rsidP="00022856"/>
    <w:p w:rsidR="00D2523B" w:rsidRDefault="00D2523B" w:rsidP="00022856">
      <w:r>
        <w:t>In addition</w:t>
      </w:r>
      <w:r w:rsidR="008039C9">
        <w:t xml:space="preserve">, we will assess the effect of mediators (as discussed above) through estimation of equation 2: </w:t>
      </w:r>
    </w:p>
    <w:p w:rsidR="00540082" w:rsidRDefault="000A4140" w:rsidP="009F7BB9">
      <w:pPr>
        <w:spacing w:before="120" w:after="120"/>
      </w:pPr>
      <m:oMathPara>
        <m:oMath>
          <m:sSub>
            <m:sSubPr>
              <m:ctrlPr>
                <w:rPr>
                  <w:rFonts w:ascii="Cambria Math" w:hAnsi="Cambria Math"/>
                  <w:i/>
                </w:rPr>
              </m:ctrlPr>
            </m:sSubPr>
            <m:e>
              <m:r>
                <w:rPr>
                  <w:rFonts w:ascii="Cambria Math" w:hAnsi="Cambria Math"/>
                </w:rPr>
                <m:t>y</m:t>
              </m:r>
            </m:e>
            <m:sub>
              <m:r>
                <w:rPr>
                  <w:rFonts w:ascii="Cambria Math" w:hAnsi="Cambria Math"/>
                </w:rPr>
                <m:t>imt</m:t>
              </m:r>
            </m:sub>
          </m:sSub>
          <m:r>
            <w:rPr>
              <w:rFonts w:ascii="Cambria Math" w:hAnsi="Cambria Math"/>
            </w:rPr>
            <m:t>=α+</m:t>
          </m:r>
          <m:sSub>
            <m:sSubPr>
              <m:ctrlPr>
                <w:rPr>
                  <w:rFonts w:ascii="Cambria Math" w:hAnsi="Cambria Math"/>
                  <w:i/>
                </w:rPr>
              </m:ctrlPr>
            </m:sSubPr>
            <m:e>
              <m:r>
                <w:rPr>
                  <w:rFonts w:ascii="Cambria Math" w:hAnsi="Cambria Math"/>
                </w:rPr>
                <m:t>βy</m:t>
              </m:r>
            </m:e>
            <m:sub>
              <m:r>
                <w:rPr>
                  <w:rFonts w:ascii="Cambria Math" w:hAnsi="Cambria Math"/>
                </w:rPr>
                <m:t>im0</m:t>
              </m:r>
            </m:sub>
          </m:sSub>
          <m:r>
            <w:rPr>
              <w:rFonts w:ascii="Cambria Math" w:hAnsi="Cambria Math"/>
            </w:rPr>
            <m:t>+</m:t>
          </m:r>
          <m:sSub>
            <m:sSubPr>
              <m:ctrlPr>
                <w:rPr>
                  <w:rFonts w:ascii="Cambria Math" w:hAnsi="Cambria Math"/>
                  <w:i/>
                </w:rPr>
              </m:ctrlPr>
            </m:sSubPr>
            <m:e>
              <m:r>
                <w:rPr>
                  <w:rFonts w:ascii="Cambria Math" w:hAnsi="Cambria Math"/>
                </w:rPr>
                <m:t>πT</m:t>
              </m:r>
            </m:e>
            <m:sub>
              <m:r>
                <w:rPr>
                  <w:rFonts w:ascii="Cambria Math" w:hAnsi="Cambria Math"/>
                </w:rPr>
                <m:t>im</m:t>
              </m:r>
            </m:sub>
          </m:sSub>
          <m:r>
            <w:rPr>
              <w:rFonts w:ascii="Cambria Math" w:hAnsi="Cambria Math"/>
            </w:rPr>
            <m:t>+</m:t>
          </m:r>
          <m:sSub>
            <m:sSubPr>
              <m:ctrlPr>
                <w:rPr>
                  <w:rFonts w:ascii="Cambria Math" w:hAnsi="Cambria Math"/>
                  <w:i/>
                </w:rPr>
              </m:ctrlPr>
            </m:sSubPr>
            <m:e>
              <m:r>
                <w:rPr>
                  <w:rFonts w:ascii="Cambria Math" w:hAnsi="Cambria Math"/>
                </w:rPr>
                <m:t>ρZ</m:t>
              </m:r>
            </m:e>
            <m:sub>
              <m:r>
                <w:rPr>
                  <w:rFonts w:ascii="Cambria Math" w:hAnsi="Cambria Math"/>
                </w:rPr>
                <m:t>imt</m:t>
              </m:r>
            </m:sub>
          </m:sSub>
          <m:r>
            <w:rPr>
              <w:rFonts w:ascii="Cambria Math" w:hAnsi="Cambria Math"/>
            </w:rPr>
            <m:t>+</m:t>
          </m:r>
          <m:sSub>
            <m:sSubPr>
              <m:ctrlPr>
                <w:rPr>
                  <w:rFonts w:ascii="Cambria Math" w:hAnsi="Cambria Math"/>
                  <w:i/>
                </w:rPr>
              </m:ctrlPr>
            </m:sSubPr>
            <m:e>
              <m:r>
                <w:rPr>
                  <w:rFonts w:ascii="Cambria Math" w:hAnsi="Cambria Math"/>
                </w:rPr>
                <m:t>δX</m:t>
              </m:r>
            </m:e>
            <m:sub>
              <m:r>
                <w:rPr>
                  <w:rFonts w:ascii="Cambria Math" w:hAnsi="Cambria Math"/>
                </w:rPr>
                <m:t>im0</m:t>
              </m:r>
            </m:sub>
          </m:sSub>
          <m:r>
            <w:rPr>
              <w:rFonts w:ascii="Cambria Math" w:hAnsi="Cambria Math"/>
            </w:rPr>
            <m:t>+</m:t>
          </m:r>
          <m:sSub>
            <m:sSubPr>
              <m:ctrlPr>
                <w:rPr>
                  <w:rFonts w:ascii="Cambria Math" w:hAnsi="Cambria Math"/>
                  <w:i/>
                </w:rPr>
              </m:ctrlPr>
            </m:sSubPr>
            <m:e>
              <m:r>
                <w:rPr>
                  <w:rFonts w:ascii="Cambria Math" w:hAnsi="Cambria Math"/>
                </w:rPr>
                <m:t>θM</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m:t>
              </m:r>
            </m:sub>
          </m:sSub>
        </m:oMath>
      </m:oMathPara>
    </w:p>
    <w:p w:rsidR="00706EE2" w:rsidRDefault="00EA16A0" w:rsidP="00022856">
      <w:r>
        <w:t xml:space="preserve">Where </w:t>
      </w:r>
      <m:oMath>
        <m:sSub>
          <m:sSubPr>
            <m:ctrlPr>
              <w:rPr>
                <w:rFonts w:ascii="Cambria Math" w:hAnsi="Cambria Math"/>
                <w:i/>
              </w:rPr>
            </m:ctrlPr>
          </m:sSubPr>
          <m:e>
            <m:r>
              <w:rPr>
                <w:rFonts w:ascii="Cambria Math" w:hAnsi="Cambria Math"/>
              </w:rPr>
              <m:t>Z</m:t>
            </m:r>
          </m:e>
          <m:sub>
            <m:r>
              <w:rPr>
                <w:rFonts w:ascii="Cambria Math" w:hAnsi="Cambria Math"/>
              </w:rPr>
              <m:t>imt</m:t>
            </m:r>
          </m:sub>
        </m:sSub>
      </m:oMath>
      <w:r>
        <w:rPr>
          <w:rFonts w:eastAsiaTheme="minorEastAsia"/>
        </w:rPr>
        <w:t xml:space="preserve"> is </w:t>
      </w:r>
      <w:r w:rsidR="00C113E8">
        <w:rPr>
          <w:rFonts w:eastAsiaTheme="minorEastAsia"/>
        </w:rPr>
        <w:t xml:space="preserve">a potential </w:t>
      </w:r>
      <w:proofErr w:type="gramStart"/>
      <w:r w:rsidR="00C113E8">
        <w:rPr>
          <w:rFonts w:eastAsiaTheme="minorEastAsia"/>
        </w:rPr>
        <w:t>mediator</w:t>
      </w:r>
      <w:r w:rsidR="001A27A2">
        <w:rPr>
          <w:rFonts w:eastAsiaTheme="minorEastAsia"/>
        </w:rPr>
        <w:t>.</w:t>
      </w:r>
      <w:proofErr w:type="gramEnd"/>
      <w:r w:rsidR="001A27A2">
        <w:rPr>
          <w:rFonts w:eastAsiaTheme="minorEastAsia"/>
        </w:rPr>
        <w:t xml:space="preserve"> Mediation power is tested by </w:t>
      </w:r>
      <w:r w:rsidR="00D036CC">
        <w:rPr>
          <w:rFonts w:eastAsiaTheme="minorEastAsia"/>
        </w:rPr>
        <w:t xml:space="preserve">testing the hypothesis that </w:t>
      </w:r>
      <m:oMath>
        <m:r>
          <w:rPr>
            <w:rFonts w:ascii="Cambria Math" w:hAnsi="Cambria Math"/>
          </w:rPr>
          <m:t>π=γ</m:t>
        </m:r>
      </m:oMath>
      <w:r w:rsidR="00D036CC">
        <w:rPr>
          <w:rFonts w:eastAsiaTheme="minorEastAsia"/>
        </w:rPr>
        <w:t>.</w:t>
      </w:r>
      <w:r w:rsidR="00D003C7">
        <w:rPr>
          <w:rFonts w:eastAsiaTheme="minorEastAsia"/>
        </w:rPr>
        <w:t xml:space="preserve"> A rejecti</w:t>
      </w:r>
      <w:r w:rsidR="00226F6B">
        <w:rPr>
          <w:rFonts w:eastAsiaTheme="minorEastAsia"/>
        </w:rPr>
        <w:t>o</w:t>
      </w:r>
      <w:r w:rsidR="00D003C7">
        <w:rPr>
          <w:rFonts w:eastAsiaTheme="minorEastAsia"/>
        </w:rPr>
        <w:t xml:space="preserve">n of this hypothesis is consistent with </w:t>
      </w:r>
      <w:r w:rsidR="00D003C7">
        <w:rPr>
          <w:rFonts w:eastAsiaTheme="minorEastAsia"/>
          <w:i/>
        </w:rPr>
        <w:t>Z</w:t>
      </w:r>
      <w:r w:rsidR="00D003C7">
        <w:rPr>
          <w:rFonts w:eastAsiaTheme="minorEastAsia"/>
        </w:rPr>
        <w:t xml:space="preserve"> being a relevant mediator</w:t>
      </w:r>
      <w:r w:rsidR="00226F6B">
        <w:rPr>
          <w:rFonts w:eastAsiaTheme="minorEastAsia"/>
        </w:rPr>
        <w:t xml:space="preserve"> of the impact of </w:t>
      </w:r>
      <w:r w:rsidR="00226F6B">
        <w:rPr>
          <w:rFonts w:eastAsiaTheme="minorEastAsia"/>
          <w:i/>
        </w:rPr>
        <w:t>T</w:t>
      </w:r>
      <w:r w:rsidR="00226F6B">
        <w:rPr>
          <w:rFonts w:eastAsiaTheme="minorEastAsia"/>
        </w:rPr>
        <w:t xml:space="preserve"> on outcome </w:t>
      </w:r>
      <w:r w:rsidR="00226F6B">
        <w:rPr>
          <w:rFonts w:eastAsiaTheme="minorEastAsia"/>
          <w:i/>
        </w:rPr>
        <w:t>y</w:t>
      </w:r>
      <w:r w:rsidR="00226F6B">
        <w:rPr>
          <w:rFonts w:eastAsiaTheme="minorEastAsia"/>
        </w:rPr>
        <w:t>.</w:t>
      </w:r>
      <w:r w:rsidR="00D003C7">
        <w:rPr>
          <w:rFonts w:eastAsiaTheme="minorEastAsia"/>
        </w:rPr>
        <w:t xml:space="preserve"> </w:t>
      </w:r>
      <w:r w:rsidR="00D036CC">
        <w:rPr>
          <w:rFonts w:eastAsiaTheme="minorEastAsia"/>
        </w:rPr>
        <w:t xml:space="preserve"> </w:t>
      </w:r>
    </w:p>
    <w:p w:rsidR="008039C9" w:rsidRDefault="008039C9" w:rsidP="00022856"/>
    <w:p w:rsidR="00617D8F" w:rsidRDefault="00BE11DF" w:rsidP="00022856">
      <w:r>
        <w:lastRenderedPageBreak/>
        <w:t xml:space="preserve">The analysis will be conducted </w:t>
      </w:r>
      <w:r w:rsidR="00D2523B">
        <w:t xml:space="preserve">using Stata. </w:t>
      </w:r>
      <w:r w:rsidR="0056576F">
        <w:t xml:space="preserve">We will not use as dependent or independent variables any indicator variable that has a prevalence rate of below </w:t>
      </w:r>
      <w:r w:rsidR="00302E2E">
        <w:t>5</w:t>
      </w:r>
      <w:r w:rsidR="0056576F">
        <w:t xml:space="preserve">% or above </w:t>
      </w:r>
      <w:r w:rsidR="00302E2E">
        <w:t>95</w:t>
      </w:r>
      <w:r w:rsidR="0056576F">
        <w:t xml:space="preserve">%. More broadly, we will not use any variables in the analysis that have the same answer for at least </w:t>
      </w:r>
      <w:r w:rsidR="00302E2E">
        <w:t>95</w:t>
      </w:r>
      <w:r w:rsidR="0056576F">
        <w:t xml:space="preserve">% of the sample. </w:t>
      </w:r>
    </w:p>
    <w:p w:rsidR="00894511" w:rsidRDefault="00894511" w:rsidP="00B81F56"/>
    <w:p w:rsidR="002B7307" w:rsidRDefault="009565F8" w:rsidP="00E96E16">
      <w:r>
        <w:t xml:space="preserve">We analyse several treatment effects which creates a risk of identifying spurious treatment effects by chance if we apply the standard one hypothesis at a time approach to hypothesis testing. </w:t>
      </w:r>
      <w:r w:rsidR="002B7307">
        <w:t xml:space="preserve">We will explicitly account for the multiplicity of hypotheses being tested by adjusting p-values </w:t>
      </w:r>
      <w:r w:rsidR="00216C5E">
        <w:t xml:space="preserve">(e.g. </w:t>
      </w:r>
      <w:r w:rsidR="002B7307">
        <w:t>the step-dow</w:t>
      </w:r>
      <w:r w:rsidR="00302E2E">
        <w:t xml:space="preserve">n procedure developed by Romano &amp; </w:t>
      </w:r>
      <w:r w:rsidR="002B7307">
        <w:t>Wolf</w:t>
      </w:r>
      <w:r w:rsidR="00302E2E">
        <w:t xml:space="preserve">, </w:t>
      </w:r>
      <w:r w:rsidR="00302E2E">
        <w:rPr>
          <w:noProof/>
        </w:rPr>
        <w:t>2005,  2011)</w:t>
      </w:r>
      <w:r w:rsidR="002B7307">
        <w:t xml:space="preserve"> </w:t>
      </w:r>
      <w:r w:rsidR="00216C5E">
        <w:t xml:space="preserve">for </w:t>
      </w:r>
      <w:r w:rsidR="002B7307">
        <w:t>each group of related outcomes</w:t>
      </w:r>
      <w:r w:rsidR="003760A1">
        <w:t xml:space="preserve"> – as group</w:t>
      </w:r>
      <w:r w:rsidR="008F4F17">
        <w:t>ed</w:t>
      </w:r>
      <w:r w:rsidR="003760A1">
        <w:t xml:space="preserve"> in Table </w:t>
      </w:r>
      <w:r w:rsidR="00EC6BE4">
        <w:t>1</w:t>
      </w:r>
      <w:r w:rsidR="00617D8F">
        <w:t>.</w:t>
      </w:r>
    </w:p>
    <w:p w:rsidR="00FE7A80" w:rsidRPr="00FE7A80" w:rsidRDefault="00FE7A80" w:rsidP="00FE7A80"/>
    <w:p w:rsidR="00FA37CA" w:rsidRDefault="00FA37CA" w:rsidP="00FA37CA">
      <w:pPr>
        <w:pStyle w:val="Heading2"/>
      </w:pPr>
      <w:r>
        <w:t>Sample size and power calculations</w:t>
      </w:r>
    </w:p>
    <w:p w:rsidR="00AE702A" w:rsidRDefault="00FA37CA" w:rsidP="00FA37CA">
      <w:r>
        <w:t xml:space="preserve">The intervention has capacity to enrol </w:t>
      </w:r>
      <w:r w:rsidR="00552C6D">
        <w:t xml:space="preserve">45 </w:t>
      </w:r>
      <w:r>
        <w:t xml:space="preserve">full-time equivalent youth </w:t>
      </w:r>
      <w:r w:rsidR="00083811">
        <w:t>per year in each municipality</w:t>
      </w:r>
      <w:r w:rsidR="00552C6D">
        <w:t xml:space="preserve">. Given an expected average enrolment length of six months, this means that approximately </w:t>
      </w:r>
      <w:r w:rsidR="00083811">
        <w:t>90 youth per year</w:t>
      </w:r>
      <w:r w:rsidR="00552C6D">
        <w:t xml:space="preserve"> are expected to participate in the programme in each municipality over the study period</w:t>
      </w:r>
      <w:r w:rsidR="007B3A11">
        <w:t>.</w:t>
      </w:r>
      <w:r w:rsidR="00083811">
        <w:t xml:space="preserve"> </w:t>
      </w:r>
      <w:r w:rsidR="00AE702A">
        <w:t>This means that we currently</w:t>
      </w:r>
      <w:r>
        <w:t xml:space="preserve"> expect an overall treatment group size of </w:t>
      </w:r>
      <w:r w:rsidR="00D07F16">
        <w:t>at least</w:t>
      </w:r>
      <w:r>
        <w:t xml:space="preserve"> </w:t>
      </w:r>
      <w:r w:rsidR="00E45946">
        <w:t xml:space="preserve">900 </w:t>
      </w:r>
      <w:r>
        <w:t>youth</w:t>
      </w:r>
      <w:r w:rsidR="00083811">
        <w:t xml:space="preserve"> across 5 municipalities</w:t>
      </w:r>
      <w:r>
        <w:t>.</w:t>
      </w:r>
      <w:r w:rsidR="00AE702A">
        <w:t xml:space="preserve"> </w:t>
      </w:r>
      <w:r>
        <w:t xml:space="preserve">It is intended that at least one youth be enrolled in the control group for each in the treatment group, with the possibility to enrol more than this in Copenhagen. </w:t>
      </w:r>
    </w:p>
    <w:p w:rsidR="00FA37CA" w:rsidRDefault="00FA37CA" w:rsidP="00FA37CA"/>
    <w:p w:rsidR="00FA37CA" w:rsidRDefault="00FA37CA" w:rsidP="00FA37CA">
      <w:r>
        <w:t xml:space="preserve">Table </w:t>
      </w:r>
      <w:r w:rsidR="00695D66">
        <w:t>2</w:t>
      </w:r>
      <w:r>
        <w:t xml:space="preserve"> contains estimates of the minimum detectable effect (MDE) of the intervention on the outcomes described above, assuming a two-sided alpha of 0.05, power of 0.80 and equally sized treatment/control groups of </w:t>
      </w:r>
      <w:r w:rsidR="00E45946">
        <w:t xml:space="preserve">900 </w:t>
      </w:r>
      <w:r>
        <w:t xml:space="preserve">youth. These are calculated using moments derived from a pseudo-treatment group, created by drawing a random sample of </w:t>
      </w:r>
      <w:r w:rsidR="00AB0DC4">
        <w:t xml:space="preserve">180 </w:t>
      </w:r>
      <w:r>
        <w:t>youth from those living in</w:t>
      </w:r>
      <w:r w:rsidR="00AB0DC4">
        <w:t xml:space="preserve"> each of</w:t>
      </w:r>
      <w:r>
        <w:t xml:space="preserve"> </w:t>
      </w:r>
      <w:r w:rsidR="00E45946">
        <w:t xml:space="preserve">Copenhagen, Horsens, </w:t>
      </w:r>
      <w:r>
        <w:t>Roskilde</w:t>
      </w:r>
      <w:r w:rsidR="00AB0DC4">
        <w:t>, S</w:t>
      </w:r>
      <w:r w:rsidR="00AB0DC4" w:rsidRPr="007B6817">
        <w:t>ø</w:t>
      </w:r>
      <w:r w:rsidR="00AB0DC4">
        <w:t>nderbo</w:t>
      </w:r>
      <w:r w:rsidR="000A4140">
        <w:fldChar w:fldCharType="begin"/>
      </w:r>
      <w:r w:rsidR="00AB0DC4">
        <w:instrText xml:space="preserve"> o,/ </w:instrText>
      </w:r>
      <w:r w:rsidR="000A4140">
        <w:fldChar w:fldCharType="end"/>
      </w:r>
      <w:r w:rsidR="00AB0DC4">
        <w:t>rg</w:t>
      </w:r>
      <w:r>
        <w:t xml:space="preserve"> and </w:t>
      </w:r>
      <w:proofErr w:type="spellStart"/>
      <w:r w:rsidR="00E45946">
        <w:t>Vejle</w:t>
      </w:r>
      <w:proofErr w:type="spellEnd"/>
      <w:r w:rsidR="00E45946">
        <w:t xml:space="preserve"> </w:t>
      </w:r>
      <w:r>
        <w:t xml:space="preserve">in 2014 who would have met the criteria to be eligible for treatment. The columns show the outcome proportion (or mean) and MDE for the group at different horizons from the time of randomisation. For example, these show that given the trial’s design we will likely be able to detect effects of at least </w:t>
      </w:r>
      <w:r w:rsidR="00E45946" w:rsidRPr="00D07F16">
        <w:t>2</w:t>
      </w:r>
      <w:r w:rsidR="00302E2E">
        <w:t>1</w:t>
      </w:r>
      <w:r>
        <w:t xml:space="preserve">%, </w:t>
      </w:r>
      <w:r w:rsidR="00E45946">
        <w:t>1</w:t>
      </w:r>
      <w:r w:rsidR="00302E2E">
        <w:t>6</w:t>
      </w:r>
      <w:r>
        <w:t xml:space="preserve">%, and </w:t>
      </w:r>
      <w:r w:rsidR="00E45946">
        <w:t>1</w:t>
      </w:r>
      <w:r w:rsidR="000158E6">
        <w:t>1</w:t>
      </w:r>
      <w:r>
        <w:t xml:space="preserve">% on the proportion of youth no longer claiming </w:t>
      </w:r>
      <w:r w:rsidR="000158E6">
        <w:t>social assistance</w:t>
      </w:r>
      <w:r>
        <w:t xml:space="preserve"> 26, 52 and 1</w:t>
      </w:r>
      <w:r w:rsidR="00555E6C">
        <w:t>30</w:t>
      </w:r>
      <w:r>
        <w:t xml:space="preserve"> weeks following randomization respectively.</w:t>
      </w:r>
      <w:r>
        <w:rPr>
          <w:rStyle w:val="FootnoteReference"/>
        </w:rPr>
        <w:footnoteReference w:id="16"/>
      </w:r>
      <w:r w:rsidR="00A75CE3">
        <w:t xml:space="preserve"> The MDEs for almost all </w:t>
      </w:r>
      <w:r>
        <w:t xml:space="preserve">outcomes are much lower proportionally at longer horizons because of the greater variation in </w:t>
      </w:r>
      <w:r w:rsidR="00BB73D4">
        <w:t>these outcomes</w:t>
      </w:r>
      <w:r w:rsidR="00302E2E">
        <w:t xml:space="preserve"> over longer horizons.</w:t>
      </w:r>
    </w:p>
    <w:p w:rsidR="00FA37CA" w:rsidRDefault="00FA37CA" w:rsidP="00FA37CA"/>
    <w:p w:rsidR="00FA37CA" w:rsidRDefault="00FA37CA" w:rsidP="00FA37CA"/>
    <w:p w:rsidR="00FA37CA" w:rsidRPr="002277AD" w:rsidRDefault="00FA37CA" w:rsidP="00FA37CA">
      <w:pPr>
        <w:pStyle w:val="Caption"/>
        <w:keepNext/>
        <w:keepLines/>
        <w:widowControl w:val="0"/>
        <w:rPr>
          <w:b/>
          <w:i w:val="0"/>
        </w:rPr>
      </w:pPr>
      <w:r>
        <w:rPr>
          <w:b/>
          <w:i w:val="0"/>
        </w:rPr>
        <w:lastRenderedPageBreak/>
        <w:t xml:space="preserve">Table </w:t>
      </w:r>
      <w:r w:rsidR="00695D66">
        <w:rPr>
          <w:b/>
          <w:i w:val="0"/>
        </w:rPr>
        <w:t>2</w:t>
      </w:r>
      <w:r>
        <w:rPr>
          <w:b/>
          <w:i w:val="0"/>
        </w:rPr>
        <w:t xml:space="preserve">: Baseline means/proportions &amp; </w:t>
      </w:r>
      <w:r w:rsidRPr="002277AD">
        <w:rPr>
          <w:b/>
          <w:i w:val="0"/>
        </w:rPr>
        <w:t>Minimum Detectable Effect (MDE) of intervention on outcomes</w:t>
      </w:r>
    </w:p>
    <w:tbl>
      <w:tblPr>
        <w:tblStyle w:val="PlainTable21"/>
        <w:tblW w:w="5001" w:type="pct"/>
        <w:tblBorders>
          <w:top w:val="single" w:sz="4" w:space="0" w:color="auto"/>
          <w:bottom w:val="single" w:sz="4" w:space="0" w:color="auto"/>
        </w:tblBorders>
        <w:tblLook w:val="04A0"/>
      </w:tblPr>
      <w:tblGrid>
        <w:gridCol w:w="2478"/>
        <w:gridCol w:w="1129"/>
        <w:gridCol w:w="1077"/>
        <w:gridCol w:w="222"/>
        <w:gridCol w:w="1077"/>
        <w:gridCol w:w="977"/>
        <w:gridCol w:w="222"/>
        <w:gridCol w:w="1077"/>
        <w:gridCol w:w="979"/>
      </w:tblGrid>
      <w:tr w:rsidR="00FA37CA" w:rsidRPr="00B01FDE" w:rsidTr="006A6B57">
        <w:trPr>
          <w:cnfStyle w:val="100000000000"/>
          <w:trHeight w:val="265"/>
        </w:trPr>
        <w:tc>
          <w:tcPr>
            <w:cnfStyle w:val="001000000000"/>
            <w:tcW w:w="1341" w:type="pct"/>
            <w:tcBorders>
              <w:top w:val="single" w:sz="4" w:space="0" w:color="auto"/>
              <w:bottom w:val="nil"/>
            </w:tcBorders>
            <w:shd w:val="clear" w:color="auto" w:fill="auto"/>
          </w:tcPr>
          <w:p w:rsidR="00FA37CA" w:rsidRPr="00B01FDE" w:rsidRDefault="00FA37CA" w:rsidP="002B7BE3">
            <w:pPr>
              <w:keepNext/>
              <w:keepLines/>
              <w:widowControl w:val="0"/>
              <w:rPr>
                <w:sz w:val="20"/>
                <w:szCs w:val="20"/>
              </w:rPr>
            </w:pPr>
          </w:p>
        </w:tc>
        <w:tc>
          <w:tcPr>
            <w:tcW w:w="3659" w:type="pct"/>
            <w:gridSpan w:val="8"/>
            <w:tcBorders>
              <w:top w:val="single" w:sz="4" w:space="0" w:color="auto"/>
              <w:bottom w:val="nil"/>
            </w:tcBorders>
            <w:shd w:val="clear" w:color="auto" w:fill="auto"/>
          </w:tcPr>
          <w:p w:rsidR="00FA37CA" w:rsidRPr="00B01FDE" w:rsidRDefault="00FA37CA" w:rsidP="002B7BE3">
            <w:pPr>
              <w:keepNext/>
              <w:keepLines/>
              <w:widowControl w:val="0"/>
              <w:jc w:val="center"/>
              <w:cnfStyle w:val="100000000000"/>
              <w:rPr>
                <w:sz w:val="20"/>
                <w:szCs w:val="20"/>
              </w:rPr>
            </w:pPr>
            <w:r>
              <w:rPr>
                <w:sz w:val="20"/>
                <w:szCs w:val="20"/>
              </w:rPr>
              <w:t>Time since randomised into pseudo-treatment group</w:t>
            </w:r>
          </w:p>
        </w:tc>
      </w:tr>
      <w:tr w:rsidR="00FA37CA" w:rsidRPr="00B01FDE" w:rsidTr="006A6B57">
        <w:trPr>
          <w:cnfStyle w:val="000000100000"/>
          <w:trHeight w:val="265"/>
        </w:trPr>
        <w:tc>
          <w:tcPr>
            <w:cnfStyle w:val="001000000000"/>
            <w:tcW w:w="1341" w:type="pct"/>
            <w:tcBorders>
              <w:top w:val="nil"/>
              <w:bottom w:val="nil"/>
            </w:tcBorders>
            <w:shd w:val="clear" w:color="auto" w:fill="auto"/>
          </w:tcPr>
          <w:p w:rsidR="00FA37CA" w:rsidRPr="00B01FDE" w:rsidRDefault="00FA37CA" w:rsidP="002B7BE3">
            <w:pPr>
              <w:keepNext/>
              <w:keepLines/>
              <w:widowControl w:val="0"/>
              <w:rPr>
                <w:sz w:val="20"/>
                <w:szCs w:val="20"/>
              </w:rPr>
            </w:pPr>
          </w:p>
        </w:tc>
        <w:tc>
          <w:tcPr>
            <w:tcW w:w="1194" w:type="pct"/>
            <w:gridSpan w:val="2"/>
            <w:tcBorders>
              <w:top w:val="nil"/>
              <w:bottom w:val="nil"/>
            </w:tcBorders>
            <w:shd w:val="clear" w:color="auto" w:fill="auto"/>
          </w:tcPr>
          <w:p w:rsidR="00FA37CA" w:rsidRPr="00B01FDE" w:rsidRDefault="00FA37CA" w:rsidP="002B7BE3">
            <w:pPr>
              <w:keepNext/>
              <w:keepLines/>
              <w:widowControl w:val="0"/>
              <w:jc w:val="center"/>
              <w:cnfStyle w:val="000000100000"/>
              <w:rPr>
                <w:b/>
                <w:sz w:val="20"/>
                <w:szCs w:val="20"/>
              </w:rPr>
            </w:pPr>
            <w:r w:rsidRPr="00B01FDE">
              <w:rPr>
                <w:b/>
                <w:sz w:val="20"/>
                <w:szCs w:val="20"/>
              </w:rPr>
              <w:t>26 weeks</w:t>
            </w:r>
          </w:p>
        </w:tc>
        <w:tc>
          <w:tcPr>
            <w:tcW w:w="120" w:type="pct"/>
            <w:tcBorders>
              <w:top w:val="nil"/>
              <w:bottom w:val="nil"/>
            </w:tcBorders>
          </w:tcPr>
          <w:p w:rsidR="00FA37CA" w:rsidRPr="00B01FDE" w:rsidRDefault="00FA37CA" w:rsidP="002B7BE3">
            <w:pPr>
              <w:keepNext/>
              <w:keepLines/>
              <w:widowControl w:val="0"/>
              <w:jc w:val="center"/>
              <w:cnfStyle w:val="000000100000"/>
              <w:rPr>
                <w:b/>
                <w:sz w:val="20"/>
                <w:szCs w:val="20"/>
              </w:rPr>
            </w:pPr>
          </w:p>
        </w:tc>
        <w:tc>
          <w:tcPr>
            <w:tcW w:w="1112" w:type="pct"/>
            <w:gridSpan w:val="2"/>
            <w:tcBorders>
              <w:top w:val="nil"/>
              <w:bottom w:val="nil"/>
            </w:tcBorders>
            <w:shd w:val="clear" w:color="auto" w:fill="auto"/>
          </w:tcPr>
          <w:p w:rsidR="00FA37CA" w:rsidRPr="00B01FDE" w:rsidRDefault="00FA37CA" w:rsidP="002B7BE3">
            <w:pPr>
              <w:keepNext/>
              <w:keepLines/>
              <w:widowControl w:val="0"/>
              <w:jc w:val="center"/>
              <w:cnfStyle w:val="000000100000"/>
              <w:rPr>
                <w:b/>
                <w:sz w:val="20"/>
                <w:szCs w:val="20"/>
              </w:rPr>
            </w:pPr>
            <w:r w:rsidRPr="00B01FDE">
              <w:rPr>
                <w:b/>
                <w:sz w:val="20"/>
                <w:szCs w:val="20"/>
              </w:rPr>
              <w:t>52 weeks</w:t>
            </w:r>
          </w:p>
        </w:tc>
        <w:tc>
          <w:tcPr>
            <w:tcW w:w="120" w:type="pct"/>
            <w:tcBorders>
              <w:top w:val="nil"/>
              <w:bottom w:val="nil"/>
            </w:tcBorders>
          </w:tcPr>
          <w:p w:rsidR="00FA37CA" w:rsidRPr="00B01FDE" w:rsidRDefault="00FA37CA" w:rsidP="002B7BE3">
            <w:pPr>
              <w:keepNext/>
              <w:keepLines/>
              <w:widowControl w:val="0"/>
              <w:jc w:val="center"/>
              <w:cnfStyle w:val="000000100000"/>
              <w:rPr>
                <w:b/>
                <w:sz w:val="20"/>
                <w:szCs w:val="20"/>
              </w:rPr>
            </w:pPr>
          </w:p>
        </w:tc>
        <w:tc>
          <w:tcPr>
            <w:tcW w:w="1113" w:type="pct"/>
            <w:gridSpan w:val="2"/>
            <w:tcBorders>
              <w:top w:val="nil"/>
              <w:bottom w:val="nil"/>
            </w:tcBorders>
            <w:shd w:val="clear" w:color="auto" w:fill="auto"/>
          </w:tcPr>
          <w:p w:rsidR="00FA37CA" w:rsidRPr="00B01FDE" w:rsidRDefault="00FA37CA" w:rsidP="002E5C42">
            <w:pPr>
              <w:keepNext/>
              <w:keepLines/>
              <w:widowControl w:val="0"/>
              <w:jc w:val="center"/>
              <w:cnfStyle w:val="000000100000"/>
              <w:rPr>
                <w:b/>
                <w:sz w:val="20"/>
                <w:szCs w:val="20"/>
              </w:rPr>
            </w:pPr>
            <w:r w:rsidRPr="00B01FDE">
              <w:rPr>
                <w:b/>
                <w:sz w:val="20"/>
                <w:szCs w:val="20"/>
              </w:rPr>
              <w:t>1</w:t>
            </w:r>
            <w:r w:rsidR="002E5C42">
              <w:rPr>
                <w:b/>
                <w:sz w:val="20"/>
                <w:szCs w:val="20"/>
              </w:rPr>
              <w:t>30</w:t>
            </w:r>
            <w:r w:rsidRPr="00B01FDE">
              <w:rPr>
                <w:b/>
                <w:sz w:val="20"/>
                <w:szCs w:val="20"/>
              </w:rPr>
              <w:t xml:space="preserve"> weeks</w:t>
            </w:r>
          </w:p>
        </w:tc>
      </w:tr>
      <w:tr w:rsidR="001C12CE" w:rsidRPr="00B01FDE" w:rsidTr="00585DAC">
        <w:trPr>
          <w:trHeight w:val="265"/>
        </w:trPr>
        <w:tc>
          <w:tcPr>
            <w:cnfStyle w:val="001000000000"/>
            <w:tcW w:w="1341" w:type="pct"/>
            <w:tcBorders>
              <w:top w:val="nil"/>
            </w:tcBorders>
            <w:shd w:val="clear" w:color="auto" w:fill="auto"/>
          </w:tcPr>
          <w:p w:rsidR="00FA37CA" w:rsidRPr="00B01FDE" w:rsidRDefault="00FA37CA" w:rsidP="002B7BE3">
            <w:pPr>
              <w:keepNext/>
              <w:keepLines/>
              <w:widowControl w:val="0"/>
              <w:rPr>
                <w:sz w:val="20"/>
                <w:szCs w:val="20"/>
              </w:rPr>
            </w:pPr>
          </w:p>
        </w:tc>
        <w:tc>
          <w:tcPr>
            <w:tcW w:w="611" w:type="pct"/>
            <w:tcBorders>
              <w:top w:val="nil"/>
              <w:bottom w:val="single" w:sz="4" w:space="0" w:color="auto"/>
            </w:tcBorders>
            <w:shd w:val="clear" w:color="auto" w:fill="auto"/>
          </w:tcPr>
          <w:p w:rsidR="00FA37CA" w:rsidRPr="00B01FDE" w:rsidRDefault="00FA37CA" w:rsidP="002B7BE3">
            <w:pPr>
              <w:keepNext/>
              <w:keepLines/>
              <w:widowControl w:val="0"/>
              <w:jc w:val="center"/>
              <w:cnfStyle w:val="000000000000"/>
              <w:rPr>
                <w:sz w:val="20"/>
                <w:szCs w:val="20"/>
              </w:rPr>
            </w:pPr>
            <w:r w:rsidRPr="00B01FDE">
              <w:rPr>
                <w:sz w:val="20"/>
                <w:szCs w:val="20"/>
              </w:rPr>
              <w:t>Baseline</w:t>
            </w:r>
          </w:p>
        </w:tc>
        <w:tc>
          <w:tcPr>
            <w:tcW w:w="583" w:type="pct"/>
            <w:tcBorders>
              <w:top w:val="nil"/>
              <w:bottom w:val="single" w:sz="4" w:space="0" w:color="auto"/>
            </w:tcBorders>
            <w:shd w:val="clear" w:color="auto" w:fill="auto"/>
          </w:tcPr>
          <w:p w:rsidR="00FA37CA" w:rsidRPr="00B01FDE" w:rsidRDefault="00FA37CA" w:rsidP="002B7BE3">
            <w:pPr>
              <w:keepNext/>
              <w:keepLines/>
              <w:widowControl w:val="0"/>
              <w:jc w:val="center"/>
              <w:cnfStyle w:val="000000000000"/>
              <w:rPr>
                <w:sz w:val="20"/>
                <w:szCs w:val="20"/>
              </w:rPr>
            </w:pPr>
            <w:r w:rsidRPr="00B01FDE">
              <w:rPr>
                <w:sz w:val="20"/>
                <w:szCs w:val="20"/>
              </w:rPr>
              <w:t>MDE</w:t>
            </w:r>
          </w:p>
        </w:tc>
        <w:tc>
          <w:tcPr>
            <w:tcW w:w="120" w:type="pct"/>
            <w:tcBorders>
              <w:top w:val="nil"/>
              <w:bottom w:val="nil"/>
            </w:tcBorders>
          </w:tcPr>
          <w:p w:rsidR="00FA37CA" w:rsidRPr="00B01FDE" w:rsidRDefault="00FA37CA" w:rsidP="002B7BE3">
            <w:pPr>
              <w:keepNext/>
              <w:keepLines/>
              <w:widowControl w:val="0"/>
              <w:jc w:val="center"/>
              <w:cnfStyle w:val="000000000000"/>
              <w:rPr>
                <w:sz w:val="20"/>
                <w:szCs w:val="20"/>
              </w:rPr>
            </w:pPr>
          </w:p>
        </w:tc>
        <w:tc>
          <w:tcPr>
            <w:tcW w:w="583" w:type="pct"/>
            <w:tcBorders>
              <w:top w:val="nil"/>
              <w:bottom w:val="single" w:sz="4" w:space="0" w:color="auto"/>
            </w:tcBorders>
            <w:shd w:val="clear" w:color="auto" w:fill="auto"/>
          </w:tcPr>
          <w:p w:rsidR="00FA37CA" w:rsidRPr="00B01FDE" w:rsidRDefault="00FA37CA" w:rsidP="002B7BE3">
            <w:pPr>
              <w:keepNext/>
              <w:keepLines/>
              <w:widowControl w:val="0"/>
              <w:jc w:val="center"/>
              <w:cnfStyle w:val="000000000000"/>
              <w:rPr>
                <w:sz w:val="20"/>
                <w:szCs w:val="20"/>
              </w:rPr>
            </w:pPr>
            <w:r w:rsidRPr="00B01FDE">
              <w:rPr>
                <w:sz w:val="20"/>
                <w:szCs w:val="20"/>
              </w:rPr>
              <w:t>Baseline</w:t>
            </w:r>
          </w:p>
        </w:tc>
        <w:tc>
          <w:tcPr>
            <w:tcW w:w="529" w:type="pct"/>
            <w:tcBorders>
              <w:top w:val="nil"/>
              <w:bottom w:val="single" w:sz="4" w:space="0" w:color="auto"/>
            </w:tcBorders>
            <w:shd w:val="clear" w:color="auto" w:fill="auto"/>
          </w:tcPr>
          <w:p w:rsidR="00FA37CA" w:rsidRPr="00B01FDE" w:rsidRDefault="00FA37CA" w:rsidP="002B7BE3">
            <w:pPr>
              <w:keepNext/>
              <w:keepLines/>
              <w:widowControl w:val="0"/>
              <w:jc w:val="center"/>
              <w:cnfStyle w:val="000000000000"/>
              <w:rPr>
                <w:sz w:val="20"/>
                <w:szCs w:val="20"/>
              </w:rPr>
            </w:pPr>
            <w:r w:rsidRPr="00B01FDE">
              <w:rPr>
                <w:sz w:val="20"/>
                <w:szCs w:val="20"/>
              </w:rPr>
              <w:t>MDE</w:t>
            </w:r>
          </w:p>
        </w:tc>
        <w:tc>
          <w:tcPr>
            <w:tcW w:w="120" w:type="pct"/>
            <w:tcBorders>
              <w:top w:val="nil"/>
              <w:bottom w:val="nil"/>
            </w:tcBorders>
          </w:tcPr>
          <w:p w:rsidR="00FA37CA" w:rsidRPr="00B01FDE" w:rsidRDefault="00FA37CA" w:rsidP="002B7BE3">
            <w:pPr>
              <w:keepNext/>
              <w:keepLines/>
              <w:widowControl w:val="0"/>
              <w:jc w:val="center"/>
              <w:cnfStyle w:val="000000000000"/>
              <w:rPr>
                <w:sz w:val="20"/>
                <w:szCs w:val="20"/>
              </w:rPr>
            </w:pPr>
          </w:p>
        </w:tc>
        <w:tc>
          <w:tcPr>
            <w:tcW w:w="583" w:type="pct"/>
            <w:tcBorders>
              <w:top w:val="nil"/>
              <w:bottom w:val="single" w:sz="4" w:space="0" w:color="auto"/>
            </w:tcBorders>
            <w:shd w:val="clear" w:color="auto" w:fill="auto"/>
          </w:tcPr>
          <w:p w:rsidR="00FA37CA" w:rsidRPr="00B01FDE" w:rsidRDefault="00FA37CA" w:rsidP="002B7BE3">
            <w:pPr>
              <w:keepNext/>
              <w:keepLines/>
              <w:widowControl w:val="0"/>
              <w:jc w:val="center"/>
              <w:cnfStyle w:val="000000000000"/>
              <w:rPr>
                <w:sz w:val="20"/>
                <w:szCs w:val="20"/>
              </w:rPr>
            </w:pPr>
            <w:r w:rsidRPr="00B01FDE">
              <w:rPr>
                <w:sz w:val="20"/>
                <w:szCs w:val="20"/>
              </w:rPr>
              <w:t>Baseline</w:t>
            </w:r>
          </w:p>
        </w:tc>
        <w:tc>
          <w:tcPr>
            <w:tcW w:w="530" w:type="pct"/>
            <w:tcBorders>
              <w:top w:val="nil"/>
              <w:bottom w:val="single" w:sz="4" w:space="0" w:color="auto"/>
            </w:tcBorders>
            <w:shd w:val="clear" w:color="auto" w:fill="auto"/>
          </w:tcPr>
          <w:p w:rsidR="00FA37CA" w:rsidRPr="00B01FDE" w:rsidRDefault="00FA37CA" w:rsidP="002B7BE3">
            <w:pPr>
              <w:keepNext/>
              <w:keepLines/>
              <w:widowControl w:val="0"/>
              <w:jc w:val="center"/>
              <w:cnfStyle w:val="000000000000"/>
              <w:rPr>
                <w:sz w:val="20"/>
                <w:szCs w:val="20"/>
              </w:rPr>
            </w:pPr>
            <w:r w:rsidRPr="00B01FDE">
              <w:rPr>
                <w:sz w:val="20"/>
                <w:szCs w:val="20"/>
              </w:rPr>
              <w:t>MDE</w:t>
            </w:r>
          </w:p>
        </w:tc>
      </w:tr>
      <w:tr w:rsidR="006A6B57" w:rsidRPr="00B01FDE" w:rsidTr="00585DAC">
        <w:trPr>
          <w:cnfStyle w:val="000000100000"/>
          <w:trHeight w:val="255"/>
        </w:trPr>
        <w:tc>
          <w:tcPr>
            <w:cnfStyle w:val="001000000000"/>
            <w:tcW w:w="1341" w:type="pct"/>
            <w:tcBorders>
              <w:bottom w:val="nil"/>
            </w:tcBorders>
            <w:shd w:val="clear" w:color="auto" w:fill="auto"/>
          </w:tcPr>
          <w:p w:rsidR="006A6B57" w:rsidRPr="00B01FDE" w:rsidRDefault="006A6B57" w:rsidP="002B7BE3">
            <w:pPr>
              <w:keepNext/>
              <w:keepLines/>
              <w:widowControl w:val="0"/>
              <w:rPr>
                <w:sz w:val="20"/>
                <w:szCs w:val="20"/>
              </w:rPr>
            </w:pPr>
            <w:r w:rsidRPr="00B01FDE">
              <w:rPr>
                <w:sz w:val="20"/>
                <w:szCs w:val="20"/>
              </w:rPr>
              <w:t>Primary Outcomes</w:t>
            </w:r>
          </w:p>
        </w:tc>
        <w:tc>
          <w:tcPr>
            <w:tcW w:w="611" w:type="pct"/>
            <w:tcBorders>
              <w:top w:val="single" w:sz="4" w:space="0" w:color="auto"/>
              <w:bottom w:val="nil"/>
            </w:tcBorders>
            <w:shd w:val="clear" w:color="auto" w:fill="auto"/>
            <w:vAlign w:val="bottom"/>
          </w:tcPr>
          <w:p w:rsidR="006A6B57" w:rsidRDefault="006A6B57">
            <w:pPr>
              <w:jc w:val="right"/>
              <w:cnfStyle w:val="000000100000"/>
              <w:rPr>
                <w:rFonts w:ascii="Calibri" w:hAnsi="Calibri"/>
                <w:color w:val="000000"/>
                <w:sz w:val="22"/>
                <w:szCs w:val="22"/>
              </w:rPr>
            </w:pPr>
          </w:p>
        </w:tc>
        <w:tc>
          <w:tcPr>
            <w:tcW w:w="583" w:type="pct"/>
            <w:tcBorders>
              <w:top w:val="nil"/>
              <w:bottom w:val="nil"/>
            </w:tcBorders>
            <w:shd w:val="clear" w:color="auto" w:fill="auto"/>
            <w:vAlign w:val="bottom"/>
          </w:tcPr>
          <w:p w:rsidR="006A6B57" w:rsidRDefault="006A6B57">
            <w:pPr>
              <w:jc w:val="right"/>
              <w:cnfStyle w:val="000000100000"/>
              <w:rPr>
                <w:rFonts w:ascii="Calibri" w:hAnsi="Calibri"/>
                <w:color w:val="000000"/>
                <w:sz w:val="22"/>
                <w:szCs w:val="22"/>
              </w:rPr>
            </w:pPr>
          </w:p>
        </w:tc>
        <w:tc>
          <w:tcPr>
            <w:tcW w:w="120" w:type="pct"/>
            <w:tcBorders>
              <w:top w:val="nil"/>
              <w:bottom w:val="nil"/>
            </w:tcBorders>
            <w:vAlign w:val="bottom"/>
          </w:tcPr>
          <w:p w:rsidR="006A6B57" w:rsidRDefault="006A6B57">
            <w:pPr>
              <w:cnfStyle w:val="000000100000"/>
              <w:rPr>
                <w:rFonts w:ascii="Calibri" w:hAnsi="Calibri"/>
                <w:color w:val="000000"/>
                <w:sz w:val="22"/>
                <w:szCs w:val="22"/>
              </w:rPr>
            </w:pPr>
          </w:p>
        </w:tc>
        <w:tc>
          <w:tcPr>
            <w:tcW w:w="583" w:type="pct"/>
            <w:tcBorders>
              <w:top w:val="nil"/>
              <w:bottom w:val="nil"/>
            </w:tcBorders>
            <w:shd w:val="clear" w:color="auto" w:fill="auto"/>
            <w:vAlign w:val="bottom"/>
          </w:tcPr>
          <w:p w:rsidR="006A6B57" w:rsidRDefault="006A6B57">
            <w:pPr>
              <w:jc w:val="right"/>
              <w:cnfStyle w:val="000000100000"/>
              <w:rPr>
                <w:rFonts w:ascii="Calibri" w:hAnsi="Calibri"/>
                <w:color w:val="000000"/>
                <w:sz w:val="22"/>
                <w:szCs w:val="22"/>
              </w:rPr>
            </w:pPr>
          </w:p>
        </w:tc>
        <w:tc>
          <w:tcPr>
            <w:tcW w:w="529" w:type="pct"/>
            <w:tcBorders>
              <w:top w:val="nil"/>
              <w:bottom w:val="nil"/>
            </w:tcBorders>
            <w:shd w:val="clear" w:color="auto" w:fill="auto"/>
            <w:vAlign w:val="bottom"/>
          </w:tcPr>
          <w:p w:rsidR="006A6B57" w:rsidRDefault="006A6B57">
            <w:pPr>
              <w:jc w:val="right"/>
              <w:cnfStyle w:val="000000100000"/>
              <w:rPr>
                <w:rFonts w:ascii="Calibri" w:hAnsi="Calibri"/>
                <w:color w:val="000000"/>
                <w:sz w:val="22"/>
                <w:szCs w:val="22"/>
              </w:rPr>
            </w:pPr>
          </w:p>
        </w:tc>
        <w:tc>
          <w:tcPr>
            <w:tcW w:w="120" w:type="pct"/>
            <w:tcBorders>
              <w:top w:val="nil"/>
              <w:bottom w:val="nil"/>
            </w:tcBorders>
            <w:vAlign w:val="bottom"/>
          </w:tcPr>
          <w:p w:rsidR="006A6B57" w:rsidRDefault="006A6B57">
            <w:pPr>
              <w:cnfStyle w:val="000000100000"/>
              <w:rPr>
                <w:rFonts w:ascii="Calibri" w:hAnsi="Calibri"/>
                <w:color w:val="000000"/>
                <w:sz w:val="22"/>
                <w:szCs w:val="22"/>
              </w:rPr>
            </w:pPr>
          </w:p>
        </w:tc>
        <w:tc>
          <w:tcPr>
            <w:tcW w:w="583" w:type="pct"/>
            <w:tcBorders>
              <w:top w:val="single" w:sz="4" w:space="0" w:color="auto"/>
              <w:bottom w:val="nil"/>
            </w:tcBorders>
            <w:shd w:val="clear" w:color="auto" w:fill="auto"/>
            <w:vAlign w:val="bottom"/>
          </w:tcPr>
          <w:p w:rsidR="006A6B57" w:rsidRDefault="006A6B57">
            <w:pPr>
              <w:jc w:val="right"/>
              <w:cnfStyle w:val="000000100000"/>
              <w:rPr>
                <w:rFonts w:ascii="Calibri" w:hAnsi="Calibri"/>
                <w:color w:val="000000"/>
                <w:sz w:val="22"/>
                <w:szCs w:val="22"/>
              </w:rPr>
            </w:pPr>
          </w:p>
        </w:tc>
        <w:tc>
          <w:tcPr>
            <w:tcW w:w="530" w:type="pct"/>
            <w:tcBorders>
              <w:top w:val="single" w:sz="4" w:space="0" w:color="auto"/>
              <w:bottom w:val="nil"/>
            </w:tcBorders>
            <w:shd w:val="clear" w:color="auto" w:fill="auto"/>
            <w:vAlign w:val="bottom"/>
          </w:tcPr>
          <w:p w:rsidR="006A6B57" w:rsidRDefault="006A6B57">
            <w:pPr>
              <w:jc w:val="right"/>
              <w:cnfStyle w:val="000000100000"/>
              <w:rPr>
                <w:rFonts w:ascii="Calibri" w:hAnsi="Calibri"/>
                <w:color w:val="000000"/>
                <w:sz w:val="22"/>
                <w:szCs w:val="22"/>
              </w:rPr>
            </w:pPr>
          </w:p>
        </w:tc>
      </w:tr>
      <w:tr w:rsidR="00FC4000" w:rsidRPr="00B01FDE" w:rsidTr="00585DAC">
        <w:trPr>
          <w:trHeight w:val="255"/>
        </w:trPr>
        <w:tc>
          <w:tcPr>
            <w:cnfStyle w:val="001000000000"/>
            <w:tcW w:w="1341" w:type="pct"/>
            <w:tcBorders>
              <w:top w:val="nil"/>
              <w:bottom w:val="nil"/>
            </w:tcBorders>
            <w:shd w:val="clear" w:color="auto" w:fill="auto"/>
          </w:tcPr>
          <w:p w:rsidR="00FC4000" w:rsidRPr="00254A27" w:rsidRDefault="00FC4000" w:rsidP="00FC4000">
            <w:pPr>
              <w:keepNext/>
              <w:keepLines/>
              <w:widowControl w:val="0"/>
              <w:rPr>
                <w:sz w:val="20"/>
                <w:szCs w:val="20"/>
              </w:rPr>
            </w:pPr>
            <w:r w:rsidRPr="00254A27">
              <w:rPr>
                <w:b w:val="0"/>
                <w:sz w:val="20"/>
                <w:szCs w:val="20"/>
              </w:rPr>
              <w:t xml:space="preserve">% no longer claiming </w:t>
            </w:r>
            <w:r>
              <w:rPr>
                <w:b w:val="0"/>
                <w:sz w:val="20"/>
                <w:szCs w:val="20"/>
              </w:rPr>
              <w:t>social assistance</w:t>
            </w:r>
          </w:p>
        </w:tc>
        <w:tc>
          <w:tcPr>
            <w:tcW w:w="611"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0.307</w:t>
            </w: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0.063</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0.409</w:t>
            </w:r>
          </w:p>
        </w:tc>
        <w:tc>
          <w:tcPr>
            <w:tcW w:w="529"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0.066</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rsidP="007B1334">
            <w:pPr>
              <w:jc w:val="right"/>
              <w:cnfStyle w:val="000000000000"/>
              <w:rPr>
                <w:rFonts w:ascii="Calibri" w:hAnsi="Calibri"/>
                <w:color w:val="000000"/>
                <w:sz w:val="20"/>
                <w:szCs w:val="20"/>
              </w:rPr>
            </w:pPr>
            <w:r w:rsidRPr="00FC4000">
              <w:rPr>
                <w:rFonts w:ascii="Calibri" w:hAnsi="Calibri"/>
                <w:color w:val="000000"/>
                <w:sz w:val="20"/>
                <w:szCs w:val="20"/>
              </w:rPr>
              <w:t>0.5</w:t>
            </w:r>
            <w:r w:rsidR="007B1334">
              <w:rPr>
                <w:rFonts w:ascii="Calibri" w:hAnsi="Calibri"/>
                <w:color w:val="000000"/>
                <w:sz w:val="20"/>
                <w:szCs w:val="20"/>
              </w:rPr>
              <w:t>80</w:t>
            </w:r>
          </w:p>
        </w:tc>
        <w:tc>
          <w:tcPr>
            <w:tcW w:w="530" w:type="pct"/>
            <w:tcBorders>
              <w:top w:val="nil"/>
              <w:bottom w:val="nil"/>
            </w:tcBorders>
            <w:shd w:val="clear" w:color="auto" w:fill="auto"/>
            <w:vAlign w:val="bottom"/>
          </w:tcPr>
          <w:p w:rsidR="00FC4000" w:rsidRPr="00FC4000" w:rsidRDefault="00FC4000" w:rsidP="007B1334">
            <w:pPr>
              <w:jc w:val="right"/>
              <w:cnfStyle w:val="000000000000"/>
              <w:rPr>
                <w:rFonts w:ascii="Calibri" w:hAnsi="Calibri"/>
                <w:color w:val="000000"/>
                <w:sz w:val="20"/>
                <w:szCs w:val="20"/>
              </w:rPr>
            </w:pPr>
            <w:r w:rsidRPr="00FC4000">
              <w:rPr>
                <w:rFonts w:ascii="Calibri" w:hAnsi="Calibri"/>
                <w:color w:val="000000"/>
                <w:sz w:val="20"/>
                <w:szCs w:val="20"/>
              </w:rPr>
              <w:t>0.06</w:t>
            </w:r>
            <w:r w:rsidR="007B1334">
              <w:rPr>
                <w:rFonts w:ascii="Calibri" w:hAnsi="Calibri"/>
                <w:color w:val="000000"/>
                <w:sz w:val="20"/>
                <w:szCs w:val="20"/>
              </w:rPr>
              <w:t>4</w:t>
            </w:r>
          </w:p>
        </w:tc>
      </w:tr>
      <w:tr w:rsidR="00FC4000" w:rsidRPr="00B01FDE" w:rsidTr="00585DAC">
        <w:trPr>
          <w:cnfStyle w:val="000000100000"/>
          <w:trHeight w:val="251"/>
        </w:trPr>
        <w:tc>
          <w:tcPr>
            <w:cnfStyle w:val="001000000000"/>
            <w:tcW w:w="1341" w:type="pct"/>
            <w:tcBorders>
              <w:top w:val="nil"/>
              <w:bottom w:val="nil"/>
            </w:tcBorders>
            <w:shd w:val="clear" w:color="auto" w:fill="auto"/>
          </w:tcPr>
          <w:p w:rsidR="00FC4000" w:rsidRPr="00254A27" w:rsidRDefault="00FC4000" w:rsidP="002B7BE3">
            <w:pPr>
              <w:keepNext/>
              <w:keepLines/>
              <w:widowControl w:val="0"/>
              <w:rPr>
                <w:sz w:val="20"/>
                <w:szCs w:val="20"/>
              </w:rPr>
            </w:pPr>
            <w:r w:rsidRPr="00254A27">
              <w:rPr>
                <w:b w:val="0"/>
                <w:sz w:val="20"/>
                <w:szCs w:val="20"/>
              </w:rPr>
              <w:t>cumulative weeks claiming social assistance</w:t>
            </w:r>
            <w:r w:rsidRPr="00254A27">
              <w:rPr>
                <w:rStyle w:val="FootnoteReference"/>
                <w:b w:val="0"/>
                <w:sz w:val="20"/>
                <w:szCs w:val="20"/>
              </w:rPr>
              <w:footnoteReference w:id="17"/>
            </w:r>
          </w:p>
        </w:tc>
        <w:tc>
          <w:tcPr>
            <w:tcW w:w="611"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20.855</w:t>
            </w:r>
          </w:p>
        </w:tc>
        <w:tc>
          <w:tcPr>
            <w:tcW w:w="583"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-1.062</w:t>
            </w:r>
          </w:p>
        </w:tc>
        <w:tc>
          <w:tcPr>
            <w:tcW w:w="120" w:type="pct"/>
            <w:tcBorders>
              <w:top w:val="nil"/>
              <w:bottom w:val="nil"/>
            </w:tcBorders>
            <w:vAlign w:val="bottom"/>
          </w:tcPr>
          <w:p w:rsidR="00FC4000" w:rsidRPr="00FC4000" w:rsidRDefault="00FC4000">
            <w:pPr>
              <w:jc w:val="right"/>
              <w:cnfStyle w:val="0000001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37.330</w:t>
            </w:r>
          </w:p>
        </w:tc>
        <w:tc>
          <w:tcPr>
            <w:tcW w:w="529"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-2.338</w:t>
            </w:r>
          </w:p>
        </w:tc>
        <w:tc>
          <w:tcPr>
            <w:tcW w:w="120" w:type="pct"/>
            <w:tcBorders>
              <w:top w:val="nil"/>
              <w:bottom w:val="nil"/>
            </w:tcBorders>
            <w:vAlign w:val="bottom"/>
          </w:tcPr>
          <w:p w:rsidR="00FC4000" w:rsidRPr="00FC4000" w:rsidRDefault="00FC4000">
            <w:pPr>
              <w:jc w:val="right"/>
              <w:cnfStyle w:val="0000001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7B1334">
            <w:pPr>
              <w:jc w:val="right"/>
              <w:cnfStyle w:val="000000100000"/>
              <w:rPr>
                <w:rFonts w:ascii="Calibri" w:hAnsi="Calibri"/>
                <w:color w:val="000000"/>
                <w:sz w:val="20"/>
                <w:szCs w:val="20"/>
              </w:rPr>
            </w:pPr>
            <w:r>
              <w:rPr>
                <w:rFonts w:ascii="Calibri" w:hAnsi="Calibri"/>
                <w:color w:val="000000"/>
                <w:sz w:val="20"/>
                <w:szCs w:val="20"/>
              </w:rPr>
              <w:t>76.352</w:t>
            </w:r>
          </w:p>
        </w:tc>
        <w:tc>
          <w:tcPr>
            <w:tcW w:w="530" w:type="pct"/>
            <w:tcBorders>
              <w:top w:val="nil"/>
              <w:bottom w:val="nil"/>
            </w:tcBorders>
            <w:shd w:val="clear" w:color="auto" w:fill="auto"/>
            <w:vAlign w:val="bottom"/>
          </w:tcPr>
          <w:p w:rsidR="00FC4000" w:rsidRPr="00FC4000" w:rsidRDefault="00FC4000" w:rsidP="007B1334">
            <w:pPr>
              <w:jc w:val="right"/>
              <w:cnfStyle w:val="000000100000"/>
              <w:rPr>
                <w:rFonts w:ascii="Calibri" w:hAnsi="Calibri"/>
                <w:color w:val="000000"/>
                <w:sz w:val="20"/>
                <w:szCs w:val="20"/>
              </w:rPr>
            </w:pPr>
            <w:r w:rsidRPr="00FC4000">
              <w:rPr>
                <w:rFonts w:ascii="Calibri" w:hAnsi="Calibri"/>
                <w:color w:val="000000"/>
                <w:sz w:val="20"/>
                <w:szCs w:val="20"/>
              </w:rPr>
              <w:t>-</w:t>
            </w:r>
            <w:r w:rsidR="007B1334">
              <w:rPr>
                <w:rFonts w:ascii="Calibri" w:hAnsi="Calibri"/>
                <w:color w:val="000000"/>
                <w:sz w:val="20"/>
                <w:szCs w:val="20"/>
              </w:rPr>
              <w:t>6.019</w:t>
            </w:r>
          </w:p>
        </w:tc>
      </w:tr>
      <w:tr w:rsidR="00FC4000" w:rsidRPr="00B01FDE" w:rsidTr="00585DAC">
        <w:trPr>
          <w:trHeight w:val="251"/>
        </w:trPr>
        <w:tc>
          <w:tcPr>
            <w:cnfStyle w:val="001000000000"/>
            <w:tcW w:w="1341" w:type="pct"/>
            <w:tcBorders>
              <w:top w:val="nil"/>
              <w:bottom w:val="nil"/>
            </w:tcBorders>
            <w:shd w:val="clear" w:color="auto" w:fill="auto"/>
          </w:tcPr>
          <w:p w:rsidR="00FC4000" w:rsidRPr="00254A27" w:rsidRDefault="00FC4000" w:rsidP="002B7BE3">
            <w:pPr>
              <w:keepNext/>
              <w:keepLines/>
              <w:widowControl w:val="0"/>
              <w:rPr>
                <w:b w:val="0"/>
                <w:sz w:val="20"/>
                <w:szCs w:val="20"/>
              </w:rPr>
            </w:pPr>
            <w:r w:rsidRPr="00254A27">
              <w:rPr>
                <w:b w:val="0"/>
                <w:sz w:val="20"/>
                <w:szCs w:val="20"/>
              </w:rPr>
              <w:t>% in paid employment</w:t>
            </w:r>
          </w:p>
        </w:tc>
        <w:tc>
          <w:tcPr>
            <w:tcW w:w="611"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0.120</w:t>
            </w: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0.046</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0.156</w:t>
            </w:r>
          </w:p>
        </w:tc>
        <w:tc>
          <w:tcPr>
            <w:tcW w:w="529"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0.051</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rsidP="007B1334">
            <w:pPr>
              <w:jc w:val="right"/>
              <w:cnfStyle w:val="000000000000"/>
              <w:rPr>
                <w:rFonts w:ascii="Calibri" w:hAnsi="Calibri"/>
                <w:color w:val="000000"/>
                <w:sz w:val="20"/>
                <w:szCs w:val="20"/>
              </w:rPr>
            </w:pPr>
            <w:r w:rsidRPr="00FC4000">
              <w:rPr>
                <w:rFonts w:ascii="Calibri" w:hAnsi="Calibri"/>
                <w:color w:val="000000"/>
                <w:sz w:val="20"/>
                <w:szCs w:val="20"/>
              </w:rPr>
              <w:t>0.2</w:t>
            </w:r>
            <w:r w:rsidR="007B1334">
              <w:rPr>
                <w:rFonts w:ascii="Calibri" w:hAnsi="Calibri"/>
                <w:color w:val="000000"/>
                <w:sz w:val="20"/>
                <w:szCs w:val="20"/>
              </w:rPr>
              <w:t>30</w:t>
            </w:r>
          </w:p>
        </w:tc>
        <w:tc>
          <w:tcPr>
            <w:tcW w:w="530" w:type="pct"/>
            <w:tcBorders>
              <w:top w:val="nil"/>
              <w:bottom w:val="nil"/>
            </w:tcBorders>
            <w:shd w:val="clear" w:color="auto" w:fill="auto"/>
            <w:vAlign w:val="bottom"/>
          </w:tcPr>
          <w:p w:rsidR="00FC4000" w:rsidRPr="00FC4000" w:rsidRDefault="00FC4000" w:rsidP="007B1334">
            <w:pPr>
              <w:jc w:val="right"/>
              <w:cnfStyle w:val="000000000000"/>
              <w:rPr>
                <w:rFonts w:ascii="Calibri" w:hAnsi="Calibri"/>
                <w:color w:val="000000"/>
                <w:sz w:val="20"/>
                <w:szCs w:val="20"/>
              </w:rPr>
            </w:pPr>
            <w:r w:rsidRPr="00FC4000">
              <w:rPr>
                <w:rFonts w:ascii="Calibri" w:hAnsi="Calibri"/>
                <w:color w:val="000000"/>
                <w:sz w:val="20"/>
                <w:szCs w:val="20"/>
              </w:rPr>
              <w:t>0.05</w:t>
            </w:r>
            <w:r w:rsidR="007B1334">
              <w:rPr>
                <w:rFonts w:ascii="Calibri" w:hAnsi="Calibri"/>
                <w:color w:val="000000"/>
                <w:sz w:val="20"/>
                <w:szCs w:val="20"/>
              </w:rPr>
              <w:t>8</w:t>
            </w:r>
          </w:p>
        </w:tc>
      </w:tr>
      <w:tr w:rsidR="00FC4000" w:rsidRPr="00B01FDE" w:rsidTr="00585DAC">
        <w:trPr>
          <w:cnfStyle w:val="000000100000"/>
          <w:trHeight w:val="251"/>
        </w:trPr>
        <w:tc>
          <w:tcPr>
            <w:cnfStyle w:val="001000000000"/>
            <w:tcW w:w="1341" w:type="pct"/>
            <w:tcBorders>
              <w:top w:val="nil"/>
              <w:bottom w:val="nil"/>
            </w:tcBorders>
            <w:shd w:val="clear" w:color="auto" w:fill="auto"/>
          </w:tcPr>
          <w:p w:rsidR="00FC4000" w:rsidRPr="00254A27" w:rsidRDefault="00FC4000" w:rsidP="002B7BE3">
            <w:pPr>
              <w:keepNext/>
              <w:keepLines/>
              <w:widowControl w:val="0"/>
              <w:rPr>
                <w:b w:val="0"/>
                <w:sz w:val="20"/>
                <w:szCs w:val="20"/>
              </w:rPr>
            </w:pPr>
            <w:r w:rsidRPr="00254A27">
              <w:rPr>
                <w:b w:val="0"/>
                <w:sz w:val="20"/>
                <w:szCs w:val="20"/>
              </w:rPr>
              <w:t>cumulative weeks in employment</w:t>
            </w:r>
          </w:p>
        </w:tc>
        <w:tc>
          <w:tcPr>
            <w:tcW w:w="611"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2.563</w:t>
            </w:r>
          </w:p>
        </w:tc>
        <w:tc>
          <w:tcPr>
            <w:tcW w:w="583"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0.861</w:t>
            </w:r>
          </w:p>
        </w:tc>
        <w:tc>
          <w:tcPr>
            <w:tcW w:w="120" w:type="pct"/>
            <w:tcBorders>
              <w:top w:val="nil"/>
              <w:bottom w:val="nil"/>
            </w:tcBorders>
            <w:vAlign w:val="bottom"/>
          </w:tcPr>
          <w:p w:rsidR="00FC4000" w:rsidRPr="00FC4000" w:rsidRDefault="00FC4000">
            <w:pPr>
              <w:jc w:val="right"/>
              <w:cnfStyle w:val="0000001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6.165</w:t>
            </w:r>
          </w:p>
        </w:tc>
        <w:tc>
          <w:tcPr>
            <w:tcW w:w="529" w:type="pct"/>
            <w:tcBorders>
              <w:top w:val="nil"/>
              <w:bottom w:val="nil"/>
            </w:tcBorders>
            <w:shd w:val="clear" w:color="auto" w:fill="auto"/>
            <w:vAlign w:val="bottom"/>
          </w:tcPr>
          <w:p w:rsidR="00FC4000" w:rsidRPr="00FC4000" w:rsidRDefault="00FC4000">
            <w:pPr>
              <w:jc w:val="right"/>
              <w:cnfStyle w:val="000000100000"/>
              <w:rPr>
                <w:rFonts w:ascii="Calibri" w:hAnsi="Calibri"/>
                <w:color w:val="000000"/>
                <w:sz w:val="20"/>
                <w:szCs w:val="20"/>
              </w:rPr>
            </w:pPr>
            <w:r w:rsidRPr="00FC4000">
              <w:rPr>
                <w:rFonts w:ascii="Calibri" w:hAnsi="Calibri"/>
                <w:color w:val="000000"/>
                <w:sz w:val="20"/>
                <w:szCs w:val="20"/>
              </w:rPr>
              <w:t>1.759</w:t>
            </w:r>
          </w:p>
        </w:tc>
        <w:tc>
          <w:tcPr>
            <w:tcW w:w="120" w:type="pct"/>
            <w:tcBorders>
              <w:top w:val="nil"/>
              <w:bottom w:val="nil"/>
            </w:tcBorders>
            <w:vAlign w:val="bottom"/>
          </w:tcPr>
          <w:p w:rsidR="00FC4000" w:rsidRPr="00FC4000" w:rsidRDefault="00FC4000">
            <w:pPr>
              <w:jc w:val="right"/>
              <w:cnfStyle w:val="0000001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7B1334">
            <w:pPr>
              <w:jc w:val="right"/>
              <w:cnfStyle w:val="000000100000"/>
              <w:rPr>
                <w:rFonts w:ascii="Calibri" w:hAnsi="Calibri"/>
                <w:color w:val="000000"/>
                <w:sz w:val="20"/>
                <w:szCs w:val="20"/>
              </w:rPr>
            </w:pPr>
            <w:r>
              <w:rPr>
                <w:rFonts w:ascii="Calibri" w:hAnsi="Calibri"/>
                <w:color w:val="000000"/>
                <w:sz w:val="20"/>
                <w:szCs w:val="20"/>
              </w:rPr>
              <w:t>21.497</w:t>
            </w:r>
          </w:p>
        </w:tc>
        <w:tc>
          <w:tcPr>
            <w:tcW w:w="530" w:type="pct"/>
            <w:tcBorders>
              <w:top w:val="nil"/>
              <w:bottom w:val="nil"/>
            </w:tcBorders>
            <w:shd w:val="clear" w:color="auto" w:fill="auto"/>
            <w:vAlign w:val="bottom"/>
          </w:tcPr>
          <w:p w:rsidR="00FC4000" w:rsidRPr="00FC4000" w:rsidRDefault="007B1334">
            <w:pPr>
              <w:jc w:val="right"/>
              <w:cnfStyle w:val="000000100000"/>
              <w:rPr>
                <w:rFonts w:ascii="Calibri" w:hAnsi="Calibri"/>
                <w:color w:val="000000"/>
                <w:sz w:val="20"/>
                <w:szCs w:val="20"/>
              </w:rPr>
            </w:pPr>
            <w:r>
              <w:rPr>
                <w:rFonts w:ascii="Calibri" w:hAnsi="Calibri"/>
                <w:color w:val="000000"/>
                <w:sz w:val="20"/>
                <w:szCs w:val="20"/>
              </w:rPr>
              <w:t>4.694</w:t>
            </w:r>
          </w:p>
        </w:tc>
      </w:tr>
      <w:tr w:rsidR="00FC4000" w:rsidRPr="00B01FDE" w:rsidTr="00585DAC">
        <w:trPr>
          <w:trHeight w:val="251"/>
        </w:trPr>
        <w:tc>
          <w:tcPr>
            <w:cnfStyle w:val="001000000000"/>
            <w:tcW w:w="1341" w:type="pct"/>
            <w:tcBorders>
              <w:top w:val="nil"/>
              <w:bottom w:val="nil"/>
            </w:tcBorders>
            <w:shd w:val="clear" w:color="auto" w:fill="auto"/>
          </w:tcPr>
          <w:p w:rsidR="00FC4000" w:rsidRPr="00254A27" w:rsidRDefault="00FC4000" w:rsidP="002B7BE3">
            <w:pPr>
              <w:keepNext/>
              <w:keepLines/>
              <w:widowControl w:val="0"/>
              <w:rPr>
                <w:b w:val="0"/>
                <w:sz w:val="20"/>
                <w:szCs w:val="20"/>
              </w:rPr>
            </w:pPr>
            <w:r w:rsidRPr="00254A27">
              <w:rPr>
                <w:b w:val="0"/>
                <w:sz w:val="20"/>
                <w:szCs w:val="20"/>
              </w:rPr>
              <w:t>average weekly earnings (DKK)</w:t>
            </w:r>
          </w:p>
        </w:tc>
        <w:tc>
          <w:tcPr>
            <w:tcW w:w="611"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466.074</w:t>
            </w: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222.261</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631.377</w:t>
            </w:r>
          </w:p>
        </w:tc>
        <w:tc>
          <w:tcPr>
            <w:tcW w:w="529"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259.003</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7B1334">
            <w:pPr>
              <w:jc w:val="right"/>
              <w:cnfStyle w:val="000000000000"/>
              <w:rPr>
                <w:rFonts w:ascii="Calibri" w:hAnsi="Calibri"/>
                <w:color w:val="000000"/>
                <w:sz w:val="20"/>
                <w:szCs w:val="20"/>
              </w:rPr>
            </w:pPr>
            <w:r>
              <w:rPr>
                <w:rFonts w:ascii="Calibri" w:hAnsi="Calibri"/>
                <w:color w:val="000000"/>
                <w:sz w:val="20"/>
                <w:szCs w:val="20"/>
              </w:rPr>
              <w:t>1061.719</w:t>
            </w:r>
          </w:p>
        </w:tc>
        <w:tc>
          <w:tcPr>
            <w:tcW w:w="530" w:type="pct"/>
            <w:tcBorders>
              <w:top w:val="nil"/>
              <w:bottom w:val="nil"/>
            </w:tcBorders>
            <w:shd w:val="clear" w:color="auto" w:fill="auto"/>
            <w:vAlign w:val="bottom"/>
          </w:tcPr>
          <w:p w:rsidR="00FC4000" w:rsidRPr="00FC4000" w:rsidRDefault="007B1334">
            <w:pPr>
              <w:jc w:val="right"/>
              <w:cnfStyle w:val="000000000000"/>
              <w:rPr>
                <w:rFonts w:ascii="Calibri" w:hAnsi="Calibri"/>
                <w:color w:val="000000"/>
                <w:sz w:val="20"/>
                <w:szCs w:val="20"/>
              </w:rPr>
            </w:pPr>
            <w:r>
              <w:rPr>
                <w:rFonts w:ascii="Calibri" w:hAnsi="Calibri"/>
                <w:color w:val="000000"/>
                <w:sz w:val="20"/>
                <w:szCs w:val="20"/>
              </w:rPr>
              <w:t>336.849</w:t>
            </w:r>
          </w:p>
        </w:tc>
      </w:tr>
      <w:tr w:rsidR="00FC4000" w:rsidRPr="00B01FDE" w:rsidTr="00585DAC">
        <w:trPr>
          <w:cnfStyle w:val="000000100000"/>
          <w:trHeight w:val="251"/>
        </w:trPr>
        <w:tc>
          <w:tcPr>
            <w:cnfStyle w:val="001000000000"/>
            <w:tcW w:w="1341" w:type="pct"/>
            <w:tcBorders>
              <w:top w:val="nil"/>
              <w:bottom w:val="nil"/>
            </w:tcBorders>
            <w:shd w:val="clear" w:color="auto" w:fill="auto"/>
          </w:tcPr>
          <w:p w:rsidR="00FC4000" w:rsidRPr="00254A27" w:rsidRDefault="00FC4000" w:rsidP="0016192B">
            <w:pPr>
              <w:keepNext/>
              <w:keepLines/>
              <w:widowControl w:val="0"/>
              <w:rPr>
                <w:b w:val="0"/>
                <w:sz w:val="20"/>
                <w:szCs w:val="20"/>
              </w:rPr>
            </w:pPr>
            <w:r w:rsidRPr="00254A27">
              <w:rPr>
                <w:b w:val="0"/>
                <w:sz w:val="20"/>
                <w:szCs w:val="20"/>
              </w:rPr>
              <w:t>% completed qualifying education</w:t>
            </w:r>
          </w:p>
        </w:tc>
        <w:tc>
          <w:tcPr>
            <w:tcW w:w="611" w:type="pct"/>
            <w:tcBorders>
              <w:top w:val="nil"/>
              <w:bottom w:val="nil"/>
            </w:tcBorders>
            <w:shd w:val="clear" w:color="auto" w:fill="auto"/>
            <w:vAlign w:val="bottom"/>
          </w:tcPr>
          <w:p w:rsidR="00FC4000" w:rsidRPr="00FC4000" w:rsidRDefault="00FC4000" w:rsidP="0075238F">
            <w:pPr>
              <w:jc w:val="right"/>
              <w:cnfStyle w:val="000000100000"/>
              <w:rPr>
                <w:rFonts w:ascii="Calibri" w:hAnsi="Calibri"/>
                <w:color w:val="000000"/>
                <w:sz w:val="20"/>
                <w:szCs w:val="20"/>
              </w:rPr>
            </w:pPr>
            <w:r w:rsidRPr="00FC4000">
              <w:rPr>
                <w:rFonts w:ascii="Calibri" w:hAnsi="Calibri"/>
                <w:color w:val="000000"/>
                <w:sz w:val="20"/>
                <w:szCs w:val="20"/>
              </w:rPr>
              <w:t>0.</w:t>
            </w:r>
            <w:r w:rsidR="0075238F">
              <w:rPr>
                <w:rFonts w:ascii="Calibri" w:hAnsi="Calibri"/>
                <w:color w:val="000000"/>
                <w:sz w:val="20"/>
                <w:szCs w:val="20"/>
              </w:rPr>
              <w:t>098</w:t>
            </w:r>
          </w:p>
        </w:tc>
        <w:tc>
          <w:tcPr>
            <w:tcW w:w="583" w:type="pct"/>
            <w:tcBorders>
              <w:top w:val="nil"/>
              <w:bottom w:val="nil"/>
            </w:tcBorders>
            <w:shd w:val="clear" w:color="auto" w:fill="auto"/>
            <w:vAlign w:val="bottom"/>
          </w:tcPr>
          <w:p w:rsidR="00FC4000" w:rsidRPr="00FC4000" w:rsidRDefault="00FC4000" w:rsidP="0075238F">
            <w:pPr>
              <w:jc w:val="right"/>
              <w:cnfStyle w:val="000000100000"/>
              <w:rPr>
                <w:rFonts w:ascii="Calibri" w:hAnsi="Calibri"/>
                <w:color w:val="000000"/>
                <w:sz w:val="20"/>
                <w:szCs w:val="20"/>
              </w:rPr>
            </w:pPr>
            <w:r w:rsidRPr="00FC4000">
              <w:rPr>
                <w:rFonts w:ascii="Calibri" w:hAnsi="Calibri"/>
                <w:color w:val="000000"/>
                <w:sz w:val="20"/>
                <w:szCs w:val="20"/>
              </w:rPr>
              <w:t>0.</w:t>
            </w:r>
            <w:r w:rsidR="0075238F" w:rsidRPr="00FC4000">
              <w:rPr>
                <w:rFonts w:ascii="Calibri" w:hAnsi="Calibri"/>
                <w:color w:val="000000"/>
                <w:sz w:val="20"/>
                <w:szCs w:val="20"/>
              </w:rPr>
              <w:t>04</w:t>
            </w:r>
            <w:r w:rsidR="0075238F">
              <w:rPr>
                <w:rFonts w:ascii="Calibri" w:hAnsi="Calibri"/>
                <w:color w:val="000000"/>
                <w:sz w:val="20"/>
                <w:szCs w:val="20"/>
              </w:rPr>
              <w:t>3</w:t>
            </w:r>
          </w:p>
        </w:tc>
        <w:tc>
          <w:tcPr>
            <w:tcW w:w="120" w:type="pct"/>
            <w:tcBorders>
              <w:top w:val="nil"/>
              <w:bottom w:val="nil"/>
            </w:tcBorders>
            <w:vAlign w:val="bottom"/>
          </w:tcPr>
          <w:p w:rsidR="00FC4000" w:rsidRPr="00FC4000" w:rsidRDefault="00FC4000">
            <w:pPr>
              <w:cnfStyle w:val="0000001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rsidP="0075238F">
            <w:pPr>
              <w:jc w:val="right"/>
              <w:cnfStyle w:val="000000100000"/>
              <w:rPr>
                <w:rFonts w:ascii="Calibri" w:hAnsi="Calibri"/>
                <w:color w:val="000000"/>
                <w:sz w:val="20"/>
                <w:szCs w:val="20"/>
              </w:rPr>
            </w:pPr>
            <w:r w:rsidRPr="00FC4000">
              <w:rPr>
                <w:rFonts w:ascii="Calibri" w:hAnsi="Calibri"/>
                <w:color w:val="000000"/>
                <w:sz w:val="20"/>
                <w:szCs w:val="20"/>
              </w:rPr>
              <w:t>0.</w:t>
            </w:r>
            <w:r w:rsidR="0075238F">
              <w:rPr>
                <w:rFonts w:ascii="Calibri" w:hAnsi="Calibri"/>
                <w:color w:val="000000"/>
                <w:sz w:val="20"/>
                <w:szCs w:val="20"/>
              </w:rPr>
              <w:t>099</w:t>
            </w:r>
          </w:p>
        </w:tc>
        <w:tc>
          <w:tcPr>
            <w:tcW w:w="529" w:type="pct"/>
            <w:tcBorders>
              <w:top w:val="nil"/>
              <w:bottom w:val="nil"/>
            </w:tcBorders>
            <w:shd w:val="clear" w:color="auto" w:fill="auto"/>
            <w:vAlign w:val="bottom"/>
          </w:tcPr>
          <w:p w:rsidR="00FC4000" w:rsidRPr="00FC4000" w:rsidRDefault="00FC4000" w:rsidP="0075238F">
            <w:pPr>
              <w:jc w:val="right"/>
              <w:cnfStyle w:val="000000100000"/>
              <w:rPr>
                <w:rFonts w:ascii="Calibri" w:hAnsi="Calibri"/>
                <w:color w:val="000000"/>
                <w:sz w:val="20"/>
                <w:szCs w:val="20"/>
              </w:rPr>
            </w:pPr>
            <w:r w:rsidRPr="00FC4000">
              <w:rPr>
                <w:rFonts w:ascii="Calibri" w:hAnsi="Calibri"/>
                <w:color w:val="000000"/>
                <w:sz w:val="20"/>
                <w:szCs w:val="20"/>
              </w:rPr>
              <w:t>0.</w:t>
            </w:r>
            <w:r w:rsidR="0075238F" w:rsidRPr="00FC4000">
              <w:rPr>
                <w:rFonts w:ascii="Calibri" w:hAnsi="Calibri"/>
                <w:color w:val="000000"/>
                <w:sz w:val="20"/>
                <w:szCs w:val="20"/>
              </w:rPr>
              <w:t>04</w:t>
            </w:r>
            <w:r w:rsidR="0075238F">
              <w:rPr>
                <w:rFonts w:ascii="Calibri" w:hAnsi="Calibri"/>
                <w:color w:val="000000"/>
                <w:sz w:val="20"/>
                <w:szCs w:val="20"/>
              </w:rPr>
              <w:t>3</w:t>
            </w:r>
          </w:p>
        </w:tc>
        <w:tc>
          <w:tcPr>
            <w:tcW w:w="120" w:type="pct"/>
            <w:tcBorders>
              <w:top w:val="nil"/>
              <w:bottom w:val="nil"/>
            </w:tcBorders>
            <w:vAlign w:val="bottom"/>
          </w:tcPr>
          <w:p w:rsidR="00FC4000" w:rsidRPr="00FC4000" w:rsidRDefault="00FC4000">
            <w:pPr>
              <w:cnfStyle w:val="0000001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rsidP="007B1334">
            <w:pPr>
              <w:jc w:val="right"/>
              <w:cnfStyle w:val="000000100000"/>
              <w:rPr>
                <w:rFonts w:ascii="Calibri" w:hAnsi="Calibri"/>
                <w:color w:val="000000"/>
                <w:sz w:val="20"/>
                <w:szCs w:val="20"/>
              </w:rPr>
            </w:pPr>
            <w:r w:rsidRPr="00FC4000">
              <w:rPr>
                <w:rFonts w:ascii="Calibri" w:hAnsi="Calibri"/>
                <w:color w:val="000000"/>
                <w:sz w:val="20"/>
                <w:szCs w:val="20"/>
              </w:rPr>
              <w:t>0.</w:t>
            </w:r>
            <w:r w:rsidR="0075238F" w:rsidRPr="00FC4000">
              <w:rPr>
                <w:rFonts w:ascii="Calibri" w:hAnsi="Calibri"/>
                <w:color w:val="000000"/>
                <w:sz w:val="20"/>
                <w:szCs w:val="20"/>
              </w:rPr>
              <w:t>1</w:t>
            </w:r>
            <w:r w:rsidR="007B1334">
              <w:rPr>
                <w:rFonts w:ascii="Calibri" w:hAnsi="Calibri"/>
                <w:color w:val="000000"/>
                <w:sz w:val="20"/>
                <w:szCs w:val="20"/>
              </w:rPr>
              <w:t>10</w:t>
            </w:r>
          </w:p>
        </w:tc>
        <w:tc>
          <w:tcPr>
            <w:tcW w:w="530" w:type="pct"/>
            <w:tcBorders>
              <w:top w:val="nil"/>
              <w:bottom w:val="nil"/>
            </w:tcBorders>
            <w:shd w:val="clear" w:color="auto" w:fill="auto"/>
            <w:vAlign w:val="bottom"/>
          </w:tcPr>
          <w:p w:rsidR="00FC4000" w:rsidRPr="00FC4000" w:rsidRDefault="00FC4000" w:rsidP="007B1334">
            <w:pPr>
              <w:jc w:val="right"/>
              <w:cnfStyle w:val="000000100000"/>
              <w:rPr>
                <w:rFonts w:ascii="Calibri" w:hAnsi="Calibri"/>
                <w:color w:val="000000"/>
                <w:sz w:val="20"/>
                <w:szCs w:val="20"/>
              </w:rPr>
            </w:pPr>
            <w:r w:rsidRPr="00FC4000">
              <w:rPr>
                <w:rFonts w:ascii="Calibri" w:hAnsi="Calibri"/>
                <w:color w:val="000000"/>
                <w:sz w:val="20"/>
                <w:szCs w:val="20"/>
              </w:rPr>
              <w:t>0.</w:t>
            </w:r>
            <w:r w:rsidR="0075238F" w:rsidRPr="00FC4000">
              <w:rPr>
                <w:rFonts w:ascii="Calibri" w:hAnsi="Calibri"/>
                <w:color w:val="000000"/>
                <w:sz w:val="20"/>
                <w:szCs w:val="20"/>
              </w:rPr>
              <w:t>04</w:t>
            </w:r>
            <w:r w:rsidR="007B1334">
              <w:rPr>
                <w:rFonts w:ascii="Calibri" w:hAnsi="Calibri"/>
                <w:color w:val="000000"/>
                <w:sz w:val="20"/>
                <w:szCs w:val="20"/>
              </w:rPr>
              <w:t>5</w:t>
            </w:r>
          </w:p>
        </w:tc>
      </w:tr>
      <w:tr w:rsidR="00FC4000" w:rsidRPr="00B01FDE" w:rsidTr="00FC4000">
        <w:trPr>
          <w:trHeight w:val="251"/>
        </w:trPr>
        <w:tc>
          <w:tcPr>
            <w:cnfStyle w:val="001000000000"/>
            <w:tcW w:w="1341" w:type="pct"/>
            <w:tcBorders>
              <w:top w:val="nil"/>
              <w:bottom w:val="nil"/>
            </w:tcBorders>
            <w:shd w:val="clear" w:color="auto" w:fill="auto"/>
          </w:tcPr>
          <w:p w:rsidR="00FC4000" w:rsidRPr="00254A27" w:rsidRDefault="00FC4000" w:rsidP="00585DAC">
            <w:pPr>
              <w:keepNext/>
              <w:keepLines/>
              <w:widowControl w:val="0"/>
              <w:rPr>
                <w:b w:val="0"/>
                <w:sz w:val="20"/>
                <w:szCs w:val="20"/>
              </w:rPr>
            </w:pPr>
            <w:r w:rsidRPr="00254A27">
              <w:rPr>
                <w:b w:val="0"/>
                <w:sz w:val="20"/>
                <w:szCs w:val="20"/>
              </w:rPr>
              <w:t>% Non-speeding criminal conviction</w:t>
            </w:r>
          </w:p>
        </w:tc>
        <w:tc>
          <w:tcPr>
            <w:tcW w:w="611"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0.075</w:t>
            </w: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-0.031</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0.130</w:t>
            </w:r>
          </w:p>
        </w:tc>
        <w:tc>
          <w:tcPr>
            <w:tcW w:w="529" w:type="pct"/>
            <w:tcBorders>
              <w:top w:val="nil"/>
              <w:bottom w:val="nil"/>
            </w:tcBorders>
            <w:shd w:val="clear" w:color="auto" w:fill="auto"/>
            <w:vAlign w:val="bottom"/>
          </w:tcPr>
          <w:p w:rsidR="00FC4000" w:rsidRPr="00FC4000" w:rsidRDefault="00FC4000">
            <w:pPr>
              <w:jc w:val="right"/>
              <w:cnfStyle w:val="000000000000"/>
              <w:rPr>
                <w:rFonts w:ascii="Calibri" w:hAnsi="Calibri"/>
                <w:color w:val="000000"/>
                <w:sz w:val="20"/>
                <w:szCs w:val="20"/>
              </w:rPr>
            </w:pPr>
            <w:r w:rsidRPr="00FC4000">
              <w:rPr>
                <w:rFonts w:ascii="Calibri" w:hAnsi="Calibri"/>
                <w:color w:val="000000"/>
                <w:sz w:val="20"/>
                <w:szCs w:val="20"/>
              </w:rPr>
              <w:t>-0.041</w:t>
            </w:r>
          </w:p>
        </w:tc>
        <w:tc>
          <w:tcPr>
            <w:tcW w:w="120" w:type="pct"/>
            <w:tcBorders>
              <w:top w:val="nil"/>
              <w:bottom w:val="nil"/>
            </w:tcBorders>
            <w:vAlign w:val="bottom"/>
          </w:tcPr>
          <w:p w:rsidR="00FC4000" w:rsidRPr="00FC4000" w:rsidRDefault="00FC4000">
            <w:pPr>
              <w:jc w:val="right"/>
              <w:cnfStyle w:val="000000000000"/>
              <w:rPr>
                <w:rFonts w:ascii="Calibri" w:hAnsi="Calibri"/>
                <w:color w:val="000000"/>
                <w:sz w:val="20"/>
                <w:szCs w:val="20"/>
              </w:rPr>
            </w:pPr>
          </w:p>
        </w:tc>
        <w:tc>
          <w:tcPr>
            <w:tcW w:w="583" w:type="pct"/>
            <w:tcBorders>
              <w:top w:val="nil"/>
              <w:bottom w:val="nil"/>
            </w:tcBorders>
            <w:shd w:val="clear" w:color="auto" w:fill="auto"/>
            <w:vAlign w:val="bottom"/>
          </w:tcPr>
          <w:p w:rsidR="00FC4000" w:rsidRPr="00FC4000" w:rsidRDefault="00FC4000" w:rsidP="007B1334">
            <w:pPr>
              <w:jc w:val="right"/>
              <w:cnfStyle w:val="000000000000"/>
              <w:rPr>
                <w:rFonts w:ascii="Calibri" w:hAnsi="Calibri"/>
                <w:color w:val="000000"/>
                <w:sz w:val="20"/>
                <w:szCs w:val="20"/>
              </w:rPr>
            </w:pPr>
            <w:r w:rsidRPr="00FC4000">
              <w:rPr>
                <w:rFonts w:ascii="Calibri" w:hAnsi="Calibri"/>
                <w:color w:val="000000"/>
                <w:sz w:val="20"/>
                <w:szCs w:val="20"/>
              </w:rPr>
              <w:t>0.</w:t>
            </w:r>
            <w:r w:rsidR="007B1334">
              <w:rPr>
                <w:rFonts w:ascii="Calibri" w:hAnsi="Calibri"/>
                <w:color w:val="000000"/>
                <w:sz w:val="20"/>
                <w:szCs w:val="20"/>
              </w:rPr>
              <w:t>211</w:t>
            </w:r>
          </w:p>
        </w:tc>
        <w:tc>
          <w:tcPr>
            <w:tcW w:w="530" w:type="pct"/>
            <w:tcBorders>
              <w:top w:val="nil"/>
              <w:bottom w:val="nil"/>
            </w:tcBorders>
            <w:shd w:val="clear" w:color="auto" w:fill="auto"/>
            <w:vAlign w:val="bottom"/>
          </w:tcPr>
          <w:p w:rsidR="00FC4000" w:rsidRPr="00FC4000" w:rsidRDefault="00FC4000" w:rsidP="002E5161">
            <w:pPr>
              <w:jc w:val="right"/>
              <w:cnfStyle w:val="000000000000"/>
              <w:rPr>
                <w:rFonts w:ascii="Calibri" w:hAnsi="Calibri"/>
                <w:color w:val="000000"/>
                <w:sz w:val="20"/>
                <w:szCs w:val="20"/>
              </w:rPr>
            </w:pPr>
            <w:r w:rsidRPr="00FC4000">
              <w:rPr>
                <w:rFonts w:ascii="Calibri" w:hAnsi="Calibri"/>
                <w:color w:val="000000"/>
                <w:sz w:val="20"/>
                <w:szCs w:val="20"/>
              </w:rPr>
              <w:t>-0.0</w:t>
            </w:r>
            <w:r w:rsidR="002E5161">
              <w:rPr>
                <w:rFonts w:ascii="Calibri" w:hAnsi="Calibri"/>
                <w:color w:val="000000"/>
                <w:sz w:val="20"/>
                <w:szCs w:val="20"/>
              </w:rPr>
              <w:t>51</w:t>
            </w:r>
          </w:p>
        </w:tc>
      </w:tr>
    </w:tbl>
    <w:p w:rsidR="00FA37CA" w:rsidRPr="00254A27" w:rsidRDefault="00FA37CA" w:rsidP="00FA37CA">
      <w:pPr>
        <w:keepNext/>
        <w:keepLines/>
        <w:widowControl w:val="0"/>
        <w:rPr>
          <w:sz w:val="18"/>
          <w:szCs w:val="20"/>
        </w:rPr>
      </w:pPr>
      <w:r w:rsidRPr="00254A27">
        <w:rPr>
          <w:sz w:val="18"/>
          <w:szCs w:val="20"/>
        </w:rPr>
        <w:t xml:space="preserve">Note: two-sided hypothesis test assuming alpha of 0.05, power of 0.80 and equally sized groups of </w:t>
      </w:r>
      <w:r w:rsidR="00E45946" w:rsidRPr="00254A27">
        <w:rPr>
          <w:sz w:val="18"/>
          <w:szCs w:val="20"/>
        </w:rPr>
        <w:t>90</w:t>
      </w:r>
      <w:r w:rsidRPr="00254A27">
        <w:rPr>
          <w:sz w:val="18"/>
          <w:szCs w:val="20"/>
        </w:rPr>
        <w:t>0 youth.</w:t>
      </w:r>
      <w:r w:rsidRPr="00254A27">
        <w:rPr>
          <w:sz w:val="18"/>
          <w:szCs w:val="20"/>
        </w:rPr>
        <w:br/>
        <w:t xml:space="preserve">Source: Authors’ calculations using Stata’s built-in </w:t>
      </w:r>
      <w:r w:rsidRPr="00254A27">
        <w:rPr>
          <w:rFonts w:ascii="Courier New" w:hAnsi="Courier New" w:cs="Courier New"/>
          <w:sz w:val="18"/>
          <w:szCs w:val="20"/>
        </w:rPr>
        <w:t>power</w:t>
      </w:r>
      <w:r w:rsidRPr="00254A27">
        <w:rPr>
          <w:sz w:val="18"/>
          <w:szCs w:val="20"/>
        </w:rPr>
        <w:t xml:space="preserve"> command and register data from Statistics Denmark.  </w:t>
      </w:r>
    </w:p>
    <w:p w:rsidR="00FA37CA" w:rsidRDefault="00FA37CA" w:rsidP="00FA37CA"/>
    <w:p w:rsidR="00FA37CA" w:rsidRDefault="00FA37CA" w:rsidP="00FA37CA">
      <w:r>
        <w:t xml:space="preserve">These MDEs </w:t>
      </w:r>
      <w:r w:rsidR="00DE1CEE">
        <w:t xml:space="preserve">could </w:t>
      </w:r>
      <w:r>
        <w:t xml:space="preserve">be further reduced </w:t>
      </w:r>
      <w:r w:rsidR="00DE1CEE">
        <w:t xml:space="preserve">if the </w:t>
      </w:r>
      <w:r>
        <w:t>relative size of the control group</w:t>
      </w:r>
      <w:r w:rsidR="00DE1CEE">
        <w:t xml:space="preserve"> in Copenhagen can be increased</w:t>
      </w:r>
      <w:r>
        <w:t xml:space="preserve">. Table B1 in the Appendix shows that increasing the ratio of the control group size to treatment group size from 1:1 to 2:1 reduces the MDE for our first primary outcome (the proportion of youth no longer claiming </w:t>
      </w:r>
      <w:r w:rsidR="00FB0C90">
        <w:t>benefits</w:t>
      </w:r>
      <w:r>
        <w:t xml:space="preserve">) assessed 26 weeks following randomization from </w:t>
      </w:r>
      <w:r w:rsidR="006A6B57">
        <w:t>0.</w:t>
      </w:r>
      <w:r w:rsidR="00FB0C90">
        <w:t xml:space="preserve">061 </w:t>
      </w:r>
      <w:r>
        <w:t xml:space="preserve">to </w:t>
      </w:r>
      <w:r w:rsidR="006A6B57">
        <w:t>0.</w:t>
      </w:r>
      <w:r w:rsidR="00FB0C90">
        <w:t>058</w:t>
      </w:r>
      <w:r>
        <w:t xml:space="preserve">; a reduction in the proportional effect size from </w:t>
      </w:r>
      <w:r w:rsidR="00FB0C90">
        <w:t>23</w:t>
      </w:r>
      <w:r>
        <w:t xml:space="preserve">% to </w:t>
      </w:r>
      <w:r w:rsidR="00FB0C90">
        <w:t>22</w:t>
      </w:r>
      <w:r>
        <w:t>%. These gains in power are proportionally biggest for outcomes with relatively high MDE</w:t>
      </w:r>
      <w:r w:rsidR="005E4779">
        <w:t>s</w:t>
      </w:r>
      <w:r>
        <w:t>.</w:t>
      </w:r>
    </w:p>
    <w:p w:rsidR="00FA37CA" w:rsidRDefault="00FA37CA" w:rsidP="00FA37CA"/>
    <w:p w:rsidR="00FA37CA" w:rsidRDefault="00FA37CA" w:rsidP="00FA37CA">
      <w:r>
        <w:t>Other common strategies to boost power offer less substantial gains. Simulations suggest that including covariates in the empirical estimation of the ITT will increase power only slightly (see Appendix B1). Similarly, although our register data includes repeated (for the most part, weekly) measures of our outcome measures, exploiting these is unlikely to result in large power gains because our measures appear to be quite strongly autocorrelated.</w:t>
      </w:r>
      <w:r>
        <w:rPr>
          <w:rStyle w:val="FootnoteReference"/>
        </w:rPr>
        <w:footnoteReference w:id="18"/>
      </w:r>
    </w:p>
    <w:p w:rsidR="00FA37CA" w:rsidRDefault="00FA37CA" w:rsidP="00FA37CA"/>
    <w:p w:rsidR="00FA37CA" w:rsidRDefault="00FA37CA" w:rsidP="009565F8"/>
    <w:p w:rsidR="0099576F" w:rsidRPr="00EC6BE4" w:rsidRDefault="00605DD2" w:rsidP="00226651">
      <w:pPr>
        <w:pStyle w:val="Heading1"/>
      </w:pPr>
      <w:r>
        <w:t>6</w:t>
      </w:r>
      <w:r w:rsidR="003E47FA" w:rsidRPr="00411FC7">
        <w:t xml:space="preserve">. </w:t>
      </w:r>
      <w:r w:rsidR="00226651" w:rsidRPr="00EC6BE4">
        <w:t>Trial Monitoring</w:t>
      </w:r>
      <w:r w:rsidR="002A1814" w:rsidRPr="00EC6BE4">
        <w:t xml:space="preserve"> &amp; Ethics</w:t>
      </w:r>
    </w:p>
    <w:p w:rsidR="002A1814" w:rsidRPr="00EC6BE4" w:rsidRDefault="002A1814" w:rsidP="002A1814">
      <w:pPr>
        <w:rPr>
          <w:rFonts w:cs="Times New Roman"/>
          <w:lang w:val="en-US"/>
        </w:rPr>
      </w:pPr>
    </w:p>
    <w:p w:rsidR="002A1814" w:rsidRPr="00EC6BE4" w:rsidRDefault="002A1814" w:rsidP="002A1814">
      <w:pPr>
        <w:rPr>
          <w:rFonts w:cs="Times New Roman"/>
          <w:lang w:val="en-US"/>
        </w:rPr>
      </w:pPr>
      <w:r w:rsidRPr="00EC6BE4">
        <w:rPr>
          <w:rFonts w:cs="Times New Roman"/>
          <w:b/>
          <w:lang w:val="en-US"/>
        </w:rPr>
        <w:t>Ethics</w:t>
      </w:r>
      <w:r w:rsidRPr="00EC6BE4">
        <w:rPr>
          <w:rFonts w:cs="Times New Roman"/>
          <w:lang w:val="en-US"/>
        </w:rPr>
        <w:t xml:space="preserve">: </w:t>
      </w:r>
    </w:p>
    <w:p w:rsidR="002A1814" w:rsidRPr="00EC6BE4" w:rsidRDefault="002A1814" w:rsidP="002A1814">
      <w:pPr>
        <w:rPr>
          <w:rFonts w:cs="Times New Roman"/>
          <w:lang w:val="en-US"/>
        </w:rPr>
      </w:pPr>
      <w:r w:rsidRPr="00EC6BE4">
        <w:rPr>
          <w:rFonts w:cs="Times New Roman"/>
          <w:lang w:val="en-US"/>
        </w:rPr>
        <w:t>The project has been approved by the Danish Data Protection Agency as is the standard procedure for randomized controlled trials conducted in Denmark within the social sciences (file number 2017-41-5108). Because the project is not related to health sciences it does not require further ethics approvals.</w:t>
      </w:r>
    </w:p>
    <w:p w:rsidR="00CF3A59" w:rsidRDefault="00CF3A59" w:rsidP="002A1814">
      <w:pPr>
        <w:rPr>
          <w:rFonts w:cs="Times New Roman"/>
          <w:b/>
          <w:lang w:val="en-US"/>
        </w:rPr>
      </w:pPr>
    </w:p>
    <w:p w:rsidR="002A1814" w:rsidRPr="00EC6BE4" w:rsidRDefault="002A1814" w:rsidP="002A1814">
      <w:pPr>
        <w:rPr>
          <w:rFonts w:cs="Times New Roman"/>
          <w:lang w:val="en-US"/>
        </w:rPr>
      </w:pPr>
      <w:r w:rsidRPr="00EC6BE4">
        <w:rPr>
          <w:rFonts w:cs="Times New Roman"/>
          <w:b/>
          <w:lang w:val="en-US"/>
        </w:rPr>
        <w:t>Consent</w:t>
      </w:r>
      <w:r w:rsidRPr="00EC6BE4">
        <w:rPr>
          <w:rFonts w:cs="Times New Roman"/>
          <w:lang w:val="en-US"/>
        </w:rPr>
        <w:t xml:space="preserve">: </w:t>
      </w:r>
    </w:p>
    <w:p w:rsidR="002A1814" w:rsidRDefault="002A1814" w:rsidP="002A1814">
      <w:pPr>
        <w:rPr>
          <w:rFonts w:cs="Times New Roman"/>
          <w:lang w:val="en-US"/>
        </w:rPr>
      </w:pPr>
      <w:r w:rsidRPr="00EC6BE4">
        <w:rPr>
          <w:rFonts w:cs="Times New Roman"/>
          <w:i/>
          <w:lang w:val="en-US"/>
        </w:rPr>
        <w:lastRenderedPageBreak/>
        <w:t xml:space="preserve">To program participation: </w:t>
      </w:r>
      <w:r w:rsidRPr="00EC6BE4">
        <w:rPr>
          <w:rFonts w:cs="Times New Roman"/>
          <w:lang w:val="en-US"/>
        </w:rPr>
        <w:t>The Danish legislation on employment efforts requires all unemployed who receive some form of income replacement or welfare benefits to participate in employment programs during their unemployment. This is a requirement to uphold the right to receive benefits. While program participation is in this sense mandatory, the unemployed have some say in what program they wish to participate in – in</w:t>
      </w:r>
      <w:r w:rsidR="00BB73D4" w:rsidRPr="00EC6BE4">
        <w:rPr>
          <w:rFonts w:cs="Times New Roman"/>
          <w:lang w:val="en-US"/>
        </w:rPr>
        <w:t xml:space="preserve"> a</w:t>
      </w:r>
      <w:r w:rsidRPr="00EC6BE4">
        <w:rPr>
          <w:rFonts w:cs="Times New Roman"/>
          <w:lang w:val="en-US"/>
        </w:rPr>
        <w:t xml:space="preserve"> case</w:t>
      </w:r>
      <w:r w:rsidR="00BB73D4" w:rsidRPr="00EC6BE4">
        <w:rPr>
          <w:rFonts w:cs="Times New Roman"/>
          <w:lang w:val="en-US"/>
        </w:rPr>
        <w:t xml:space="preserve"> where</w:t>
      </w:r>
      <w:r w:rsidRPr="00EC6BE4">
        <w:rPr>
          <w:rFonts w:cs="Times New Roman"/>
          <w:lang w:val="en-US"/>
        </w:rPr>
        <w:t xml:space="preserve"> an unemployed</w:t>
      </w:r>
      <w:r w:rsidR="00BB73D4" w:rsidRPr="00EC6BE4">
        <w:rPr>
          <w:rFonts w:cs="Times New Roman"/>
          <w:lang w:val="en-US"/>
        </w:rPr>
        <w:t xml:space="preserve"> person</w:t>
      </w:r>
      <w:r w:rsidRPr="00EC6BE4">
        <w:rPr>
          <w:rFonts w:cs="Times New Roman"/>
          <w:lang w:val="en-US"/>
        </w:rPr>
        <w:t xml:space="preserve"> </w:t>
      </w:r>
      <w:r w:rsidR="00BB73D4" w:rsidRPr="00EC6BE4">
        <w:rPr>
          <w:rFonts w:cs="Times New Roman"/>
          <w:lang w:val="en-US"/>
        </w:rPr>
        <w:t>refuses</w:t>
      </w:r>
      <w:r w:rsidRPr="00EC6BE4">
        <w:rPr>
          <w:rFonts w:cs="Times New Roman"/>
          <w:lang w:val="en-US"/>
        </w:rPr>
        <w:t xml:space="preserve"> to participate in a specific program, they will be placed under another program. Along these lines, we cannot force the youth to participate in NExTWORK, but need their informal consent to the participation.   </w:t>
      </w:r>
    </w:p>
    <w:p w:rsidR="00D07F16" w:rsidRPr="00EC6BE4" w:rsidRDefault="00D07F16" w:rsidP="002A1814">
      <w:pPr>
        <w:rPr>
          <w:rFonts w:cs="Times New Roman"/>
          <w:lang w:val="en-US"/>
        </w:rPr>
      </w:pPr>
    </w:p>
    <w:p w:rsidR="002A1814" w:rsidRPr="00EC6BE4" w:rsidRDefault="002A1814" w:rsidP="002A1814">
      <w:pPr>
        <w:rPr>
          <w:rFonts w:cs="Times New Roman"/>
          <w:lang w:val="en-US"/>
        </w:rPr>
      </w:pPr>
      <w:r w:rsidRPr="00EC6BE4">
        <w:rPr>
          <w:rFonts w:cs="Times New Roman"/>
          <w:i/>
          <w:lang w:val="en-US"/>
        </w:rPr>
        <w:t>To being surveyed and having survey answers linked to registers</w:t>
      </w:r>
      <w:r w:rsidRPr="00EC6BE4">
        <w:rPr>
          <w:rFonts w:cs="Times New Roman"/>
          <w:lang w:val="en-US"/>
        </w:rPr>
        <w:t xml:space="preserve">: Prior to filing out the survey, the youth confirm – in writing - their willingness to participate in the survey, that they have been properly informed about the project both verbally and in writing, and that they consent to having their survey answers linked to the information that we may get on them from the administrative sources. </w:t>
      </w:r>
    </w:p>
    <w:p w:rsidR="00CF3A59" w:rsidRDefault="00CF3A59" w:rsidP="002A1814">
      <w:pPr>
        <w:rPr>
          <w:rFonts w:cs="Times New Roman"/>
          <w:b/>
          <w:lang w:val="en-US"/>
        </w:rPr>
      </w:pPr>
    </w:p>
    <w:p w:rsidR="002A1814" w:rsidRPr="00EC6BE4" w:rsidRDefault="002A1814" w:rsidP="002A1814">
      <w:pPr>
        <w:rPr>
          <w:rFonts w:cs="Times New Roman"/>
          <w:lang w:val="en-US"/>
        </w:rPr>
      </w:pPr>
      <w:r w:rsidRPr="00EC6BE4">
        <w:rPr>
          <w:rFonts w:cs="Times New Roman"/>
          <w:b/>
          <w:lang w:val="en-US"/>
        </w:rPr>
        <w:t>Confidentiality</w:t>
      </w:r>
      <w:r w:rsidRPr="00EC6BE4">
        <w:rPr>
          <w:rFonts w:cs="Times New Roman"/>
          <w:lang w:val="en-US"/>
        </w:rPr>
        <w:t>:</w:t>
      </w:r>
    </w:p>
    <w:p w:rsidR="00CF3A59" w:rsidRPr="00EC6BE4" w:rsidRDefault="002A1814" w:rsidP="002A1814">
      <w:pPr>
        <w:rPr>
          <w:rFonts w:cs="Times New Roman"/>
          <w:lang w:val="en-US"/>
        </w:rPr>
      </w:pPr>
      <w:r w:rsidRPr="00EC6BE4">
        <w:rPr>
          <w:rFonts w:cs="Times New Roman"/>
          <w:lang w:val="en-US"/>
        </w:rPr>
        <w:t xml:space="preserve">We secure the anonymity of the participants by blinding all information that can be used for identifying them. This means that </w:t>
      </w:r>
      <w:r w:rsidR="00CF3A59">
        <w:rPr>
          <w:rFonts w:cs="Times New Roman"/>
          <w:lang w:val="en-US"/>
        </w:rPr>
        <w:t xml:space="preserve">once municipal and monitoring data have been merged into the register data at Statistics Denmark, </w:t>
      </w:r>
      <w:r w:rsidRPr="00EC6BE4">
        <w:rPr>
          <w:rFonts w:cs="Times New Roman"/>
          <w:lang w:val="en-US"/>
        </w:rPr>
        <w:t xml:space="preserve">the data </w:t>
      </w:r>
      <w:r w:rsidR="00CF3A59">
        <w:rPr>
          <w:rFonts w:cs="Times New Roman"/>
          <w:lang w:val="en-US"/>
        </w:rPr>
        <w:t xml:space="preserve">no longer </w:t>
      </w:r>
      <w:r w:rsidRPr="00EC6BE4">
        <w:rPr>
          <w:rFonts w:cs="Times New Roman"/>
          <w:lang w:val="en-US"/>
        </w:rPr>
        <w:t>contain names</w:t>
      </w:r>
      <w:r w:rsidR="00CF3A59">
        <w:rPr>
          <w:rFonts w:cs="Times New Roman"/>
          <w:lang w:val="en-US"/>
        </w:rPr>
        <w:t xml:space="preserve"> or the personal identifiers</w:t>
      </w:r>
      <w:r w:rsidRPr="00EC6BE4">
        <w:rPr>
          <w:rFonts w:cs="Times New Roman"/>
          <w:lang w:val="en-US"/>
        </w:rPr>
        <w:t xml:space="preserve"> use</w:t>
      </w:r>
      <w:r w:rsidR="00CF3A59">
        <w:rPr>
          <w:rFonts w:cs="Times New Roman"/>
          <w:lang w:val="en-US"/>
        </w:rPr>
        <w:t>d</w:t>
      </w:r>
      <w:r w:rsidRPr="00EC6BE4">
        <w:rPr>
          <w:rFonts w:cs="Times New Roman"/>
          <w:lang w:val="en-US"/>
        </w:rPr>
        <w:t xml:space="preserve"> for linking </w:t>
      </w:r>
      <w:r w:rsidR="00CF3A59">
        <w:rPr>
          <w:rFonts w:cs="Times New Roman"/>
          <w:lang w:val="en-US"/>
        </w:rPr>
        <w:t>the different data sets.</w:t>
      </w:r>
      <w:r w:rsidRPr="00EC6BE4">
        <w:rPr>
          <w:rFonts w:cs="Times New Roman"/>
          <w:lang w:val="en-US"/>
        </w:rPr>
        <w:t xml:space="preserve"> </w:t>
      </w:r>
      <w:r w:rsidR="00CF3A59">
        <w:rPr>
          <w:rFonts w:cs="Times New Roman"/>
          <w:lang w:val="en-US"/>
        </w:rPr>
        <w:t>All identifier variables are</w:t>
      </w:r>
      <w:r w:rsidRPr="00EC6BE4">
        <w:rPr>
          <w:rFonts w:cs="Times New Roman"/>
          <w:lang w:val="en-US"/>
        </w:rPr>
        <w:t xml:space="preserve"> encrypted according to the standards used by Statistics Denmark</w:t>
      </w:r>
      <w:r w:rsidR="00CF3A59">
        <w:rPr>
          <w:rFonts w:cs="Times New Roman"/>
          <w:lang w:val="en-US"/>
        </w:rPr>
        <w:t xml:space="preserve"> and data cannot be exported</w:t>
      </w:r>
      <w:r w:rsidRPr="00EC6BE4">
        <w:rPr>
          <w:rFonts w:cs="Times New Roman"/>
          <w:lang w:val="en-US"/>
        </w:rPr>
        <w:t xml:space="preserve">. </w:t>
      </w:r>
    </w:p>
    <w:p w:rsidR="00F95FFE" w:rsidRDefault="00F95FFE" w:rsidP="002A1814">
      <w:pPr>
        <w:rPr>
          <w:rFonts w:cs="Times New Roman"/>
          <w:b/>
          <w:lang w:val="en-US"/>
        </w:rPr>
      </w:pPr>
    </w:p>
    <w:p w:rsidR="002A1814" w:rsidRPr="00EC6BE4" w:rsidRDefault="002A1814" w:rsidP="002A1814">
      <w:pPr>
        <w:rPr>
          <w:rFonts w:cs="Times New Roman"/>
          <w:lang w:val="en-US"/>
        </w:rPr>
      </w:pPr>
      <w:r w:rsidRPr="00EC6BE4">
        <w:rPr>
          <w:rFonts w:cs="Times New Roman"/>
          <w:b/>
          <w:lang w:val="en-US"/>
        </w:rPr>
        <w:t>Dissemination</w:t>
      </w:r>
      <w:r w:rsidRPr="00EC6BE4">
        <w:rPr>
          <w:rFonts w:cs="Times New Roman"/>
          <w:lang w:val="en-US"/>
        </w:rPr>
        <w:t>:</w:t>
      </w:r>
    </w:p>
    <w:p w:rsidR="002A1814" w:rsidRPr="00EC6BE4" w:rsidRDefault="002A1814" w:rsidP="002A1814">
      <w:pPr>
        <w:rPr>
          <w:rFonts w:cs="Times New Roman"/>
          <w:lang w:val="en-US"/>
        </w:rPr>
      </w:pPr>
      <w:r w:rsidRPr="00EC6BE4">
        <w:rPr>
          <w:rFonts w:cs="Times New Roman"/>
          <w:lang w:val="en-US"/>
        </w:rPr>
        <w:t>We plan to disseminate output from the NExTWORK evaluation through both academic channels (e.g. through publishing academic papers) and popular channels (e.g. through the media and in public debates). Furthermore, we will write an evaluation note in Danish that we distribute to all involved parties in the NExTWORK program (all relevant parties in Roskilde municipalities, to the involved firms, the participating youth etc.), and to other interested parties (e.g. employment services in other municipalities, NGOs etc.)</w:t>
      </w:r>
      <w:r w:rsidR="00280DC3">
        <w:rPr>
          <w:rFonts w:cs="Times New Roman"/>
          <w:lang w:val="en-US"/>
        </w:rPr>
        <w:t>. In the dissemination material it will never be possible to identify any individuals or firms.</w:t>
      </w:r>
    </w:p>
    <w:p w:rsidR="0039404F" w:rsidRPr="00EC6BE4" w:rsidRDefault="0039404F">
      <w:r w:rsidRPr="00EC6BE4">
        <w:br w:type="page"/>
      </w:r>
    </w:p>
    <w:p w:rsidR="0039404F" w:rsidRDefault="0039404F" w:rsidP="003E47FA">
      <w:pPr>
        <w:pStyle w:val="Heading1"/>
      </w:pPr>
      <w:r>
        <w:lastRenderedPageBreak/>
        <w:t>Appendi</w:t>
      </w:r>
      <w:r w:rsidR="00F71557">
        <w:t>ces</w:t>
      </w:r>
      <w:r>
        <w:t xml:space="preserve"> </w:t>
      </w:r>
    </w:p>
    <w:p w:rsidR="0039404F" w:rsidRPr="006D28BB" w:rsidRDefault="00F71557" w:rsidP="003E47FA">
      <w:pPr>
        <w:pStyle w:val="Heading2"/>
      </w:pPr>
      <w:r>
        <w:t xml:space="preserve">Appendix </w:t>
      </w:r>
      <w:r w:rsidR="0039404F">
        <w:t>A. Profile of primary outcome measures over time</w:t>
      </w:r>
      <w:r w:rsidR="00280DC3">
        <w:t xml:space="preserve"> in the absence of NExTWORK</w:t>
      </w:r>
    </w:p>
    <w:p w:rsidR="0039404F" w:rsidRDefault="0039404F" w:rsidP="0039404F"/>
    <w:p w:rsidR="0039404F" w:rsidRPr="00283791" w:rsidRDefault="0039404F" w:rsidP="0039404F">
      <w:pPr>
        <w:pStyle w:val="Caption"/>
        <w:keepNext/>
        <w:rPr>
          <w:i w:val="0"/>
        </w:rPr>
      </w:pPr>
      <w:r>
        <w:rPr>
          <w:i w:val="0"/>
        </w:rPr>
        <w:t>Figure A.1. Proportion of youth</w:t>
      </w:r>
      <w:r w:rsidRPr="00283791">
        <w:rPr>
          <w:i w:val="0"/>
        </w:rPr>
        <w:t xml:space="preserve"> no longer claiming social assistance/insurance payments</w:t>
      </w:r>
    </w:p>
    <w:p w:rsidR="0039404F" w:rsidRDefault="002E5C42" w:rsidP="0039404F">
      <w:r>
        <w:rPr>
          <w:noProof/>
          <w:lang w:eastAsia="en-GB"/>
        </w:rPr>
        <w:drawing>
          <wp:inline distT="0" distB="0" distL="0" distR="0">
            <wp:extent cx="4848225" cy="3525984"/>
            <wp:effectExtent l="19050" t="0" r="9525" b="0"/>
            <wp:docPr id="2" name="Picture 1" descr="nolongerclaimingS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ongerclaimingSA_new.png"/>
                    <pic:cNvPicPr/>
                  </pic:nvPicPr>
                  <pic:blipFill>
                    <a:blip r:embed="rId11" cstate="print"/>
                    <a:stretch>
                      <a:fillRect/>
                    </a:stretch>
                  </pic:blipFill>
                  <pic:spPr>
                    <a:xfrm>
                      <a:off x="0" y="0"/>
                      <a:ext cx="4851923" cy="3528673"/>
                    </a:xfrm>
                    <a:prstGeom prst="rect">
                      <a:avLst/>
                    </a:prstGeom>
                  </pic:spPr>
                </pic:pic>
              </a:graphicData>
            </a:graphic>
          </wp:inline>
        </w:drawing>
      </w:r>
    </w:p>
    <w:p w:rsidR="0039404F" w:rsidRDefault="0039404F" w:rsidP="0039404F"/>
    <w:p w:rsidR="00EA3C1B" w:rsidRPr="00283791" w:rsidRDefault="00EA3C1B" w:rsidP="00EA3C1B">
      <w:pPr>
        <w:pStyle w:val="Caption"/>
        <w:keepNext/>
        <w:rPr>
          <w:i w:val="0"/>
        </w:rPr>
      </w:pPr>
      <w:r>
        <w:rPr>
          <w:i w:val="0"/>
        </w:rPr>
        <w:t>Figure A.2. Cumulative weeks claiming social assistance</w:t>
      </w:r>
    </w:p>
    <w:p w:rsidR="00EA3C1B" w:rsidRDefault="002E5C42" w:rsidP="00EA3C1B">
      <w:r>
        <w:rPr>
          <w:noProof/>
          <w:lang w:eastAsia="en-GB"/>
        </w:rPr>
        <w:drawing>
          <wp:inline distT="0" distB="0" distL="0" distR="0">
            <wp:extent cx="4848225" cy="3525983"/>
            <wp:effectExtent l="19050" t="0" r="9525" b="0"/>
            <wp:docPr id="5" name="Picture 4" descr="cumulweeksclaimS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ulweeksclaimSA_new.png"/>
                    <pic:cNvPicPr/>
                  </pic:nvPicPr>
                  <pic:blipFill>
                    <a:blip r:embed="rId12" cstate="print"/>
                    <a:stretch>
                      <a:fillRect/>
                    </a:stretch>
                  </pic:blipFill>
                  <pic:spPr>
                    <a:xfrm>
                      <a:off x="0" y="0"/>
                      <a:ext cx="4851923" cy="3528672"/>
                    </a:xfrm>
                    <a:prstGeom prst="rect">
                      <a:avLst/>
                    </a:prstGeom>
                  </pic:spPr>
                </pic:pic>
              </a:graphicData>
            </a:graphic>
          </wp:inline>
        </w:drawing>
      </w:r>
    </w:p>
    <w:p w:rsidR="0039404F" w:rsidRPr="00283791" w:rsidRDefault="0039404F" w:rsidP="0039404F">
      <w:pPr>
        <w:pStyle w:val="Caption"/>
        <w:keepNext/>
        <w:rPr>
          <w:i w:val="0"/>
        </w:rPr>
      </w:pPr>
      <w:r>
        <w:rPr>
          <w:i w:val="0"/>
        </w:rPr>
        <w:lastRenderedPageBreak/>
        <w:t>Figure A.</w:t>
      </w:r>
      <w:r w:rsidR="00423742">
        <w:rPr>
          <w:i w:val="0"/>
        </w:rPr>
        <w:t>3</w:t>
      </w:r>
      <w:r>
        <w:rPr>
          <w:i w:val="0"/>
        </w:rPr>
        <w:t>. Proportion of youth</w:t>
      </w:r>
      <w:r w:rsidRPr="00283791">
        <w:rPr>
          <w:i w:val="0"/>
        </w:rPr>
        <w:t xml:space="preserve"> </w:t>
      </w:r>
      <w:r w:rsidR="00820DE7">
        <w:rPr>
          <w:i w:val="0"/>
        </w:rPr>
        <w:t xml:space="preserve">who have </w:t>
      </w:r>
      <w:r w:rsidR="00D07F16">
        <w:rPr>
          <w:i w:val="0"/>
        </w:rPr>
        <w:t>completed a</w:t>
      </w:r>
      <w:r>
        <w:rPr>
          <w:i w:val="0"/>
        </w:rPr>
        <w:t xml:space="preserve"> qualifying</w:t>
      </w:r>
      <w:r w:rsidRPr="00283791">
        <w:rPr>
          <w:i w:val="0"/>
        </w:rPr>
        <w:t xml:space="preserve"> education</w:t>
      </w:r>
    </w:p>
    <w:p w:rsidR="0039404F" w:rsidRDefault="002E5C42" w:rsidP="0039404F">
      <w:r>
        <w:rPr>
          <w:noProof/>
          <w:lang w:eastAsia="en-GB"/>
        </w:rPr>
        <w:drawing>
          <wp:inline distT="0" distB="0" distL="0" distR="0">
            <wp:extent cx="4945380" cy="3596640"/>
            <wp:effectExtent l="19050" t="0" r="7620" b="0"/>
            <wp:docPr id="7" name="Picture 6" descr="qual_edu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_edu_new.png"/>
                    <pic:cNvPicPr/>
                  </pic:nvPicPr>
                  <pic:blipFill>
                    <a:blip r:embed="rId13" cstate="print"/>
                    <a:stretch>
                      <a:fillRect/>
                    </a:stretch>
                  </pic:blipFill>
                  <pic:spPr>
                    <a:xfrm>
                      <a:off x="0" y="0"/>
                      <a:ext cx="4949152" cy="3599383"/>
                    </a:xfrm>
                    <a:prstGeom prst="rect">
                      <a:avLst/>
                    </a:prstGeom>
                  </pic:spPr>
                </pic:pic>
              </a:graphicData>
            </a:graphic>
          </wp:inline>
        </w:drawing>
      </w:r>
    </w:p>
    <w:p w:rsidR="0039404F" w:rsidRDefault="0039404F" w:rsidP="0039404F"/>
    <w:p w:rsidR="0039404F" w:rsidRDefault="0039404F" w:rsidP="0039404F"/>
    <w:p w:rsidR="0039404F" w:rsidRDefault="0039404F" w:rsidP="0039404F"/>
    <w:p w:rsidR="0039404F" w:rsidRPr="00283791" w:rsidRDefault="0039404F" w:rsidP="0039404F">
      <w:pPr>
        <w:pStyle w:val="Caption"/>
        <w:keepNext/>
        <w:rPr>
          <w:i w:val="0"/>
        </w:rPr>
      </w:pPr>
      <w:r>
        <w:rPr>
          <w:i w:val="0"/>
        </w:rPr>
        <w:t>Figure A.</w:t>
      </w:r>
      <w:r w:rsidR="00423742">
        <w:rPr>
          <w:i w:val="0"/>
        </w:rPr>
        <w:t>4</w:t>
      </w:r>
      <w:r>
        <w:rPr>
          <w:i w:val="0"/>
        </w:rPr>
        <w:t>. Proportion of youth in paid employment</w:t>
      </w:r>
    </w:p>
    <w:p w:rsidR="0039404F" w:rsidRDefault="002E5C42" w:rsidP="0039404F">
      <w:r>
        <w:rPr>
          <w:noProof/>
          <w:lang w:eastAsia="en-GB"/>
        </w:rPr>
        <w:drawing>
          <wp:inline distT="0" distB="0" distL="0" distR="0">
            <wp:extent cx="4945380" cy="3596640"/>
            <wp:effectExtent l="19050" t="0" r="7620" b="0"/>
            <wp:docPr id="10" name="Picture 9" descr="employed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d_new.png"/>
                    <pic:cNvPicPr/>
                  </pic:nvPicPr>
                  <pic:blipFill>
                    <a:blip r:embed="rId14" cstate="print"/>
                    <a:stretch>
                      <a:fillRect/>
                    </a:stretch>
                  </pic:blipFill>
                  <pic:spPr>
                    <a:xfrm>
                      <a:off x="0" y="0"/>
                      <a:ext cx="4949152" cy="3599383"/>
                    </a:xfrm>
                    <a:prstGeom prst="rect">
                      <a:avLst/>
                    </a:prstGeom>
                  </pic:spPr>
                </pic:pic>
              </a:graphicData>
            </a:graphic>
          </wp:inline>
        </w:drawing>
      </w:r>
    </w:p>
    <w:p w:rsidR="00EA3C1B" w:rsidRPr="00283791" w:rsidRDefault="00EA3C1B" w:rsidP="00EA3C1B">
      <w:pPr>
        <w:pStyle w:val="Caption"/>
        <w:keepNext/>
        <w:rPr>
          <w:i w:val="0"/>
        </w:rPr>
      </w:pPr>
      <w:r>
        <w:rPr>
          <w:i w:val="0"/>
        </w:rPr>
        <w:lastRenderedPageBreak/>
        <w:t>Figure A.</w:t>
      </w:r>
      <w:r w:rsidR="00423742">
        <w:rPr>
          <w:i w:val="0"/>
        </w:rPr>
        <w:t>5</w:t>
      </w:r>
      <w:r>
        <w:rPr>
          <w:i w:val="0"/>
        </w:rPr>
        <w:t>. Cumulative weeks in paid employment</w:t>
      </w:r>
    </w:p>
    <w:p w:rsidR="00EA3C1B" w:rsidRDefault="002E5C42" w:rsidP="00EA3C1B">
      <w:r>
        <w:rPr>
          <w:noProof/>
          <w:lang w:eastAsia="en-GB"/>
        </w:rPr>
        <w:drawing>
          <wp:inline distT="0" distB="0" distL="0" distR="0">
            <wp:extent cx="4945380" cy="3596640"/>
            <wp:effectExtent l="19050" t="0" r="7620" b="0"/>
            <wp:docPr id="11" name="Picture 10" descr="cumulweeksemployed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ulweeksemployed_new.png"/>
                    <pic:cNvPicPr/>
                  </pic:nvPicPr>
                  <pic:blipFill>
                    <a:blip r:embed="rId15" cstate="print"/>
                    <a:stretch>
                      <a:fillRect/>
                    </a:stretch>
                  </pic:blipFill>
                  <pic:spPr>
                    <a:xfrm>
                      <a:off x="0" y="0"/>
                      <a:ext cx="4949152" cy="3599383"/>
                    </a:xfrm>
                    <a:prstGeom prst="rect">
                      <a:avLst/>
                    </a:prstGeom>
                  </pic:spPr>
                </pic:pic>
              </a:graphicData>
            </a:graphic>
          </wp:inline>
        </w:drawing>
      </w:r>
    </w:p>
    <w:p w:rsidR="00EA3C1B" w:rsidRPr="00283791" w:rsidRDefault="00EA3C1B" w:rsidP="00EA3C1B">
      <w:pPr>
        <w:pStyle w:val="Caption"/>
        <w:keepNext/>
        <w:rPr>
          <w:i w:val="0"/>
        </w:rPr>
      </w:pPr>
      <w:r>
        <w:rPr>
          <w:i w:val="0"/>
        </w:rPr>
        <w:t>Figure A.</w:t>
      </w:r>
      <w:r w:rsidR="00423742">
        <w:rPr>
          <w:i w:val="0"/>
        </w:rPr>
        <w:t>6</w:t>
      </w:r>
      <w:r>
        <w:rPr>
          <w:i w:val="0"/>
        </w:rPr>
        <w:t>. Average weekly earnings for youth</w:t>
      </w:r>
    </w:p>
    <w:p w:rsidR="00EA3C1B" w:rsidRDefault="002E5C42" w:rsidP="00EA3C1B">
      <w:r>
        <w:rPr>
          <w:noProof/>
          <w:lang w:eastAsia="en-GB"/>
        </w:rPr>
        <w:drawing>
          <wp:inline distT="0" distB="0" distL="0" distR="0">
            <wp:extent cx="4945380" cy="3596640"/>
            <wp:effectExtent l="19050" t="0" r="7620" b="0"/>
            <wp:docPr id="13" name="Picture 12" descr="avgearning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gearnings_new.png"/>
                    <pic:cNvPicPr/>
                  </pic:nvPicPr>
                  <pic:blipFill>
                    <a:blip r:embed="rId16" cstate="print"/>
                    <a:stretch>
                      <a:fillRect/>
                    </a:stretch>
                  </pic:blipFill>
                  <pic:spPr>
                    <a:xfrm>
                      <a:off x="0" y="0"/>
                      <a:ext cx="4949152" cy="3599383"/>
                    </a:xfrm>
                    <a:prstGeom prst="rect">
                      <a:avLst/>
                    </a:prstGeom>
                  </pic:spPr>
                </pic:pic>
              </a:graphicData>
            </a:graphic>
          </wp:inline>
        </w:drawing>
      </w:r>
    </w:p>
    <w:p w:rsidR="00EA3C1B" w:rsidRDefault="00EA3C1B" w:rsidP="0039404F"/>
    <w:p w:rsidR="0039404F" w:rsidRPr="00283791" w:rsidRDefault="0039404F" w:rsidP="0039404F">
      <w:pPr>
        <w:pStyle w:val="Caption"/>
        <w:keepNext/>
        <w:rPr>
          <w:i w:val="0"/>
        </w:rPr>
      </w:pPr>
      <w:r>
        <w:rPr>
          <w:i w:val="0"/>
        </w:rPr>
        <w:lastRenderedPageBreak/>
        <w:t>Figure A.</w:t>
      </w:r>
      <w:r w:rsidR="00423742">
        <w:rPr>
          <w:i w:val="0"/>
        </w:rPr>
        <w:t>7</w:t>
      </w:r>
      <w:r>
        <w:rPr>
          <w:i w:val="0"/>
        </w:rPr>
        <w:t>. Proportion of youth charged with criminal offense since being ran</w:t>
      </w:r>
      <w:r w:rsidR="006A6B57">
        <w:rPr>
          <w:i w:val="0"/>
        </w:rPr>
        <w:t>d</w:t>
      </w:r>
      <w:r>
        <w:rPr>
          <w:i w:val="0"/>
        </w:rPr>
        <w:t>omised</w:t>
      </w:r>
    </w:p>
    <w:p w:rsidR="0039404F" w:rsidRDefault="002E5C42" w:rsidP="0039404F">
      <w:r>
        <w:rPr>
          <w:noProof/>
          <w:lang w:eastAsia="en-GB"/>
        </w:rPr>
        <w:drawing>
          <wp:inline distT="0" distB="0" distL="0" distR="0">
            <wp:extent cx="4945380" cy="3596640"/>
            <wp:effectExtent l="19050" t="0" r="7620" b="0"/>
            <wp:docPr id="15" name="Picture 14" descr="chargednonspeedingsinc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dnonspeedingsince_new.png"/>
                    <pic:cNvPicPr/>
                  </pic:nvPicPr>
                  <pic:blipFill>
                    <a:blip r:embed="rId17" cstate="print"/>
                    <a:stretch>
                      <a:fillRect/>
                    </a:stretch>
                  </pic:blipFill>
                  <pic:spPr>
                    <a:xfrm>
                      <a:off x="0" y="0"/>
                      <a:ext cx="4954878" cy="3603548"/>
                    </a:xfrm>
                    <a:prstGeom prst="rect">
                      <a:avLst/>
                    </a:prstGeom>
                  </pic:spPr>
                </pic:pic>
              </a:graphicData>
            </a:graphic>
          </wp:inline>
        </w:drawing>
      </w:r>
    </w:p>
    <w:p w:rsidR="0039404F" w:rsidRDefault="0039404F" w:rsidP="0039404F"/>
    <w:p w:rsidR="002C075D" w:rsidRDefault="002C075D" w:rsidP="003E47FA">
      <w:pPr>
        <w:pStyle w:val="Heading2"/>
      </w:pPr>
      <w:r>
        <w:t>Appendix B. Additional minimum detectable effect and power calculations</w:t>
      </w:r>
    </w:p>
    <w:p w:rsidR="002C075D" w:rsidRDefault="002C075D" w:rsidP="002C075D"/>
    <w:p w:rsidR="002C075D" w:rsidRDefault="002C075D" w:rsidP="002C075D">
      <w:r>
        <w:t xml:space="preserve">Table B1 contains estimates of the minimum detectable effect (MDE) of the intervention on the outcomes described in section </w:t>
      </w:r>
      <w:r w:rsidR="005C482F">
        <w:t>4</w:t>
      </w:r>
      <w:r>
        <w:t xml:space="preserve">, assuming a two-sided alpha of 0.05, power of 0.80 and equally sized treatment/control groups of </w:t>
      </w:r>
      <w:r w:rsidR="00ED073E">
        <w:t xml:space="preserve">900 </w:t>
      </w:r>
      <w:r>
        <w:t xml:space="preserve">youth. These are calculated using moments derived from a pseudo-treatment group, created </w:t>
      </w:r>
      <w:r w:rsidR="005C482F">
        <w:t xml:space="preserve">using the same method as described at the end of section </w:t>
      </w:r>
      <w:r w:rsidR="00F52C36">
        <w:t>5</w:t>
      </w:r>
      <w:r>
        <w:t xml:space="preserve">. The columns show the bootstrapped proportion (or mean) of the outcome 26 weeks following (pseudo) randomization, along with the MDE associated with a balanced and various unbalanced treatment designs. These reductions in MDEs are proportionally largest for outcomes with a relatively high MDE under a balanced design, meaning that adopting an unbalanced treatment design may be particularly beneficial in identifying effects on outcomes with </w:t>
      </w:r>
      <w:r w:rsidR="00302E2E">
        <w:t>more</w:t>
      </w:r>
      <w:r>
        <w:t xml:space="preserve"> variation (e.g. weekly earnings) or assessed at shorter time horizons (e</w:t>
      </w:r>
      <w:r w:rsidR="00AD70E3">
        <w:t>.</w:t>
      </w:r>
      <w:r>
        <w:t>g</w:t>
      </w:r>
      <w:r w:rsidR="00AD70E3">
        <w:t>.</w:t>
      </w:r>
      <w:r>
        <w:t xml:space="preserve"> 26 weeks after randomization).</w:t>
      </w:r>
    </w:p>
    <w:p w:rsidR="002C075D" w:rsidRPr="006B2E99" w:rsidRDefault="002C075D" w:rsidP="002C075D"/>
    <w:p w:rsidR="002C075D" w:rsidRPr="002277AD" w:rsidRDefault="002C075D" w:rsidP="002C075D">
      <w:pPr>
        <w:pStyle w:val="Caption"/>
        <w:keepNext/>
        <w:keepLines/>
        <w:widowControl w:val="0"/>
        <w:rPr>
          <w:b/>
          <w:i w:val="0"/>
        </w:rPr>
      </w:pPr>
      <w:r>
        <w:rPr>
          <w:b/>
          <w:i w:val="0"/>
        </w:rPr>
        <w:lastRenderedPageBreak/>
        <w:t xml:space="preserve">Table B1: MDEs for balanced and unbalanced treatment designs, 26 weeks following </w:t>
      </w:r>
      <w:proofErr w:type="spellStart"/>
      <w:r>
        <w:rPr>
          <w:b/>
          <w:i w:val="0"/>
        </w:rPr>
        <w:t>randomisation</w:t>
      </w:r>
      <w:proofErr w:type="spellEnd"/>
    </w:p>
    <w:tbl>
      <w:tblPr>
        <w:tblStyle w:val="PlainTable21"/>
        <w:tblW w:w="4733" w:type="pct"/>
        <w:tblBorders>
          <w:top w:val="single" w:sz="4" w:space="0" w:color="auto"/>
          <w:bottom w:val="single" w:sz="4" w:space="0" w:color="auto"/>
        </w:tblBorders>
        <w:tblLook w:val="04A0"/>
      </w:tblPr>
      <w:tblGrid>
        <w:gridCol w:w="3680"/>
        <w:gridCol w:w="941"/>
        <w:gridCol w:w="222"/>
        <w:gridCol w:w="941"/>
        <w:gridCol w:w="941"/>
        <w:gridCol w:w="941"/>
        <w:gridCol w:w="1077"/>
      </w:tblGrid>
      <w:tr w:rsidR="002C075D" w:rsidRPr="00B01FDE" w:rsidTr="00FC4000">
        <w:trPr>
          <w:cnfStyle w:val="100000000000"/>
          <w:trHeight w:val="265"/>
        </w:trPr>
        <w:tc>
          <w:tcPr>
            <w:cnfStyle w:val="001000000000"/>
            <w:tcW w:w="2105" w:type="pct"/>
            <w:tcBorders>
              <w:top w:val="single" w:sz="4" w:space="0" w:color="auto"/>
              <w:bottom w:val="nil"/>
            </w:tcBorders>
            <w:shd w:val="clear" w:color="auto" w:fill="auto"/>
          </w:tcPr>
          <w:p w:rsidR="002C075D" w:rsidRPr="00B01FDE" w:rsidRDefault="002C075D" w:rsidP="007E0427">
            <w:pPr>
              <w:keepNext/>
              <w:keepLines/>
              <w:widowControl w:val="0"/>
              <w:rPr>
                <w:sz w:val="20"/>
                <w:szCs w:val="20"/>
              </w:rPr>
            </w:pPr>
          </w:p>
        </w:tc>
        <w:tc>
          <w:tcPr>
            <w:tcW w:w="538" w:type="pct"/>
            <w:tcBorders>
              <w:top w:val="single" w:sz="4" w:space="0" w:color="auto"/>
              <w:bottom w:val="nil"/>
            </w:tcBorders>
            <w:shd w:val="clear" w:color="auto" w:fill="auto"/>
          </w:tcPr>
          <w:p w:rsidR="002C075D" w:rsidRPr="00B01FDE" w:rsidRDefault="002C075D" w:rsidP="007E0427">
            <w:pPr>
              <w:keepNext/>
              <w:keepLines/>
              <w:widowControl w:val="0"/>
              <w:jc w:val="center"/>
              <w:cnfStyle w:val="100000000000"/>
              <w:rPr>
                <w:sz w:val="20"/>
                <w:szCs w:val="20"/>
              </w:rPr>
            </w:pPr>
          </w:p>
        </w:tc>
        <w:tc>
          <w:tcPr>
            <w:tcW w:w="127" w:type="pct"/>
            <w:tcBorders>
              <w:top w:val="single" w:sz="4" w:space="0" w:color="auto"/>
              <w:bottom w:val="nil"/>
            </w:tcBorders>
            <w:shd w:val="clear" w:color="auto" w:fill="auto"/>
          </w:tcPr>
          <w:p w:rsidR="002C075D" w:rsidRPr="00B01FDE" w:rsidRDefault="002C075D" w:rsidP="007E0427">
            <w:pPr>
              <w:keepNext/>
              <w:keepLines/>
              <w:widowControl w:val="0"/>
              <w:jc w:val="center"/>
              <w:cnfStyle w:val="100000000000"/>
              <w:rPr>
                <w:sz w:val="20"/>
                <w:szCs w:val="20"/>
              </w:rPr>
            </w:pPr>
          </w:p>
        </w:tc>
        <w:tc>
          <w:tcPr>
            <w:tcW w:w="2230" w:type="pct"/>
            <w:gridSpan w:val="4"/>
            <w:tcBorders>
              <w:top w:val="single" w:sz="4" w:space="0" w:color="auto"/>
              <w:bottom w:val="nil"/>
            </w:tcBorders>
          </w:tcPr>
          <w:p w:rsidR="002C075D" w:rsidRPr="00B01FDE" w:rsidRDefault="002C075D" w:rsidP="007E0427">
            <w:pPr>
              <w:keepNext/>
              <w:keepLines/>
              <w:widowControl w:val="0"/>
              <w:jc w:val="center"/>
              <w:cnfStyle w:val="100000000000"/>
              <w:rPr>
                <w:sz w:val="20"/>
                <w:szCs w:val="20"/>
              </w:rPr>
            </w:pPr>
            <w:r>
              <w:rPr>
                <w:sz w:val="20"/>
                <w:szCs w:val="20"/>
              </w:rPr>
              <w:t>Minimum Detectable Effects</w:t>
            </w:r>
          </w:p>
        </w:tc>
      </w:tr>
      <w:tr w:rsidR="002C075D" w:rsidRPr="00B01FDE" w:rsidTr="00FC4000">
        <w:trPr>
          <w:cnfStyle w:val="000000100000"/>
          <w:trHeight w:val="265"/>
        </w:trPr>
        <w:tc>
          <w:tcPr>
            <w:cnfStyle w:val="001000000000"/>
            <w:tcW w:w="2105" w:type="pct"/>
            <w:tcBorders>
              <w:top w:val="nil"/>
              <w:bottom w:val="nil"/>
            </w:tcBorders>
            <w:shd w:val="clear" w:color="auto" w:fill="auto"/>
          </w:tcPr>
          <w:p w:rsidR="002C075D" w:rsidRPr="00B01FDE" w:rsidRDefault="002C075D" w:rsidP="007E0427">
            <w:pPr>
              <w:keepNext/>
              <w:keepLines/>
              <w:widowControl w:val="0"/>
              <w:rPr>
                <w:sz w:val="20"/>
                <w:szCs w:val="20"/>
              </w:rPr>
            </w:pPr>
          </w:p>
        </w:tc>
        <w:tc>
          <w:tcPr>
            <w:tcW w:w="538" w:type="pct"/>
            <w:tcBorders>
              <w:top w:val="nil"/>
              <w:bottom w:val="nil"/>
            </w:tcBorders>
            <w:shd w:val="clear" w:color="auto" w:fill="auto"/>
          </w:tcPr>
          <w:p w:rsidR="002C075D" w:rsidRPr="00B01FDE" w:rsidRDefault="002C075D" w:rsidP="007E0427">
            <w:pPr>
              <w:keepNext/>
              <w:keepLines/>
              <w:widowControl w:val="0"/>
              <w:jc w:val="center"/>
              <w:cnfStyle w:val="000000100000"/>
              <w:rPr>
                <w:sz w:val="20"/>
                <w:szCs w:val="20"/>
              </w:rPr>
            </w:pPr>
          </w:p>
        </w:tc>
        <w:tc>
          <w:tcPr>
            <w:tcW w:w="127" w:type="pct"/>
            <w:tcBorders>
              <w:top w:val="nil"/>
              <w:bottom w:val="nil"/>
            </w:tcBorders>
            <w:shd w:val="clear" w:color="auto" w:fill="auto"/>
          </w:tcPr>
          <w:p w:rsidR="002C075D" w:rsidRPr="00B01FDE" w:rsidRDefault="002C075D" w:rsidP="007E0427">
            <w:pPr>
              <w:keepNext/>
              <w:keepLines/>
              <w:widowControl w:val="0"/>
              <w:jc w:val="center"/>
              <w:cnfStyle w:val="000000100000"/>
              <w:rPr>
                <w:sz w:val="20"/>
                <w:szCs w:val="20"/>
              </w:rPr>
            </w:pPr>
          </w:p>
        </w:tc>
        <w:tc>
          <w:tcPr>
            <w:tcW w:w="2230" w:type="pct"/>
            <w:gridSpan w:val="4"/>
            <w:tcBorders>
              <w:top w:val="nil"/>
              <w:bottom w:val="nil"/>
            </w:tcBorders>
          </w:tcPr>
          <w:p w:rsidR="002C075D" w:rsidRDefault="002C075D" w:rsidP="007E0427">
            <w:pPr>
              <w:keepNext/>
              <w:keepLines/>
              <w:widowControl w:val="0"/>
              <w:jc w:val="center"/>
              <w:cnfStyle w:val="000000100000"/>
              <w:rPr>
                <w:sz w:val="20"/>
                <w:szCs w:val="20"/>
              </w:rPr>
            </w:pPr>
            <w:r>
              <w:rPr>
                <w:sz w:val="20"/>
                <w:szCs w:val="20"/>
              </w:rPr>
              <w:t>Ratio of control to treatment group size</w:t>
            </w:r>
          </w:p>
        </w:tc>
      </w:tr>
      <w:tr w:rsidR="002C075D" w:rsidRPr="00034D32" w:rsidTr="003B53E4">
        <w:trPr>
          <w:trHeight w:val="265"/>
        </w:trPr>
        <w:tc>
          <w:tcPr>
            <w:cnfStyle w:val="001000000000"/>
            <w:tcW w:w="2105" w:type="pct"/>
            <w:tcBorders>
              <w:top w:val="nil"/>
              <w:bottom w:val="nil"/>
            </w:tcBorders>
            <w:shd w:val="clear" w:color="auto" w:fill="auto"/>
          </w:tcPr>
          <w:p w:rsidR="002C075D" w:rsidRPr="00B01FDE" w:rsidRDefault="002C075D" w:rsidP="007E0427">
            <w:pPr>
              <w:keepNext/>
              <w:keepLines/>
              <w:widowControl w:val="0"/>
              <w:rPr>
                <w:sz w:val="20"/>
                <w:szCs w:val="20"/>
              </w:rPr>
            </w:pPr>
          </w:p>
        </w:tc>
        <w:tc>
          <w:tcPr>
            <w:tcW w:w="538" w:type="pct"/>
            <w:tcBorders>
              <w:top w:val="nil"/>
              <w:bottom w:val="nil"/>
            </w:tcBorders>
            <w:shd w:val="clear" w:color="auto" w:fill="auto"/>
            <w:vAlign w:val="center"/>
          </w:tcPr>
          <w:p w:rsidR="002C075D" w:rsidRPr="00034D32" w:rsidRDefault="002C075D" w:rsidP="007E0427">
            <w:pPr>
              <w:keepNext/>
              <w:keepLines/>
              <w:widowControl w:val="0"/>
              <w:jc w:val="center"/>
              <w:cnfStyle w:val="000000000000"/>
              <w:rPr>
                <w:sz w:val="20"/>
                <w:szCs w:val="20"/>
              </w:rPr>
            </w:pPr>
            <w:r w:rsidRPr="00034D32">
              <w:rPr>
                <w:sz w:val="20"/>
                <w:szCs w:val="20"/>
              </w:rPr>
              <w:t>Baseline</w:t>
            </w:r>
            <w:r>
              <w:rPr>
                <w:sz w:val="20"/>
                <w:szCs w:val="20"/>
              </w:rPr>
              <w:t xml:space="preserve"> mean</w:t>
            </w:r>
          </w:p>
        </w:tc>
        <w:tc>
          <w:tcPr>
            <w:tcW w:w="127" w:type="pct"/>
            <w:tcBorders>
              <w:top w:val="nil"/>
              <w:bottom w:val="nil"/>
            </w:tcBorders>
            <w:shd w:val="clear" w:color="auto" w:fill="auto"/>
            <w:vAlign w:val="center"/>
          </w:tcPr>
          <w:p w:rsidR="002C075D" w:rsidRPr="00034D32" w:rsidRDefault="002C075D" w:rsidP="007E0427">
            <w:pPr>
              <w:keepNext/>
              <w:keepLines/>
              <w:widowControl w:val="0"/>
              <w:jc w:val="center"/>
              <w:cnfStyle w:val="000000000000"/>
              <w:rPr>
                <w:sz w:val="20"/>
                <w:szCs w:val="20"/>
              </w:rPr>
            </w:pPr>
          </w:p>
        </w:tc>
        <w:tc>
          <w:tcPr>
            <w:tcW w:w="538" w:type="pct"/>
            <w:tcBorders>
              <w:top w:val="nil"/>
              <w:bottom w:val="single" w:sz="4" w:space="0" w:color="auto"/>
            </w:tcBorders>
            <w:vAlign w:val="center"/>
          </w:tcPr>
          <w:p w:rsidR="002C075D" w:rsidRPr="00034D32" w:rsidRDefault="002C075D" w:rsidP="007E0427">
            <w:pPr>
              <w:keepNext/>
              <w:keepLines/>
              <w:widowControl w:val="0"/>
              <w:jc w:val="center"/>
              <w:cnfStyle w:val="000000000000"/>
              <w:rPr>
                <w:sz w:val="20"/>
                <w:szCs w:val="20"/>
              </w:rPr>
            </w:pPr>
            <w:r w:rsidRPr="00034D32">
              <w:rPr>
                <w:sz w:val="20"/>
                <w:szCs w:val="20"/>
              </w:rPr>
              <w:t>1:1</w:t>
            </w:r>
          </w:p>
        </w:tc>
        <w:tc>
          <w:tcPr>
            <w:tcW w:w="538" w:type="pct"/>
            <w:tcBorders>
              <w:top w:val="nil"/>
              <w:bottom w:val="single" w:sz="4" w:space="0" w:color="auto"/>
            </w:tcBorders>
            <w:shd w:val="clear" w:color="auto" w:fill="auto"/>
            <w:vAlign w:val="center"/>
          </w:tcPr>
          <w:p w:rsidR="002C075D" w:rsidRPr="00034D32" w:rsidRDefault="002C075D" w:rsidP="007E0427">
            <w:pPr>
              <w:keepNext/>
              <w:keepLines/>
              <w:widowControl w:val="0"/>
              <w:jc w:val="center"/>
              <w:cnfStyle w:val="000000000000"/>
              <w:rPr>
                <w:sz w:val="20"/>
                <w:szCs w:val="20"/>
              </w:rPr>
            </w:pPr>
            <w:r w:rsidRPr="00034D32">
              <w:rPr>
                <w:sz w:val="20"/>
                <w:szCs w:val="20"/>
              </w:rPr>
              <w:t>1.</w:t>
            </w:r>
            <w:r w:rsidR="00FC4000">
              <w:rPr>
                <w:sz w:val="20"/>
                <w:szCs w:val="20"/>
              </w:rPr>
              <w:t>2</w:t>
            </w:r>
            <w:r w:rsidRPr="00034D32">
              <w:rPr>
                <w:sz w:val="20"/>
                <w:szCs w:val="20"/>
              </w:rPr>
              <w:t>5:1</w:t>
            </w:r>
          </w:p>
        </w:tc>
        <w:tc>
          <w:tcPr>
            <w:tcW w:w="538" w:type="pct"/>
            <w:tcBorders>
              <w:top w:val="nil"/>
              <w:bottom w:val="single" w:sz="4" w:space="0" w:color="auto"/>
            </w:tcBorders>
            <w:shd w:val="clear" w:color="auto" w:fill="auto"/>
            <w:vAlign w:val="center"/>
          </w:tcPr>
          <w:p w:rsidR="002C075D" w:rsidRPr="00034D32" w:rsidRDefault="00FC4000" w:rsidP="007E0427">
            <w:pPr>
              <w:keepNext/>
              <w:keepLines/>
              <w:widowControl w:val="0"/>
              <w:jc w:val="center"/>
              <w:cnfStyle w:val="000000000000"/>
              <w:rPr>
                <w:sz w:val="20"/>
                <w:szCs w:val="20"/>
              </w:rPr>
            </w:pPr>
            <w:r>
              <w:rPr>
                <w:sz w:val="20"/>
                <w:szCs w:val="20"/>
              </w:rPr>
              <w:t>1.5</w:t>
            </w:r>
            <w:r w:rsidR="002C075D" w:rsidRPr="00034D32">
              <w:rPr>
                <w:sz w:val="20"/>
                <w:szCs w:val="20"/>
              </w:rPr>
              <w:t>:1</w:t>
            </w:r>
          </w:p>
        </w:tc>
        <w:tc>
          <w:tcPr>
            <w:tcW w:w="616" w:type="pct"/>
            <w:tcBorders>
              <w:top w:val="nil"/>
              <w:bottom w:val="single" w:sz="4" w:space="0" w:color="auto"/>
            </w:tcBorders>
            <w:vAlign w:val="center"/>
          </w:tcPr>
          <w:p w:rsidR="002C075D" w:rsidRPr="00034D32" w:rsidRDefault="00FC4000" w:rsidP="00FC4000">
            <w:pPr>
              <w:keepNext/>
              <w:keepLines/>
              <w:widowControl w:val="0"/>
              <w:jc w:val="center"/>
              <w:cnfStyle w:val="000000000000"/>
              <w:rPr>
                <w:sz w:val="20"/>
                <w:szCs w:val="20"/>
              </w:rPr>
            </w:pPr>
            <w:r>
              <w:rPr>
                <w:sz w:val="20"/>
                <w:szCs w:val="20"/>
              </w:rPr>
              <w:t>2</w:t>
            </w:r>
            <w:r w:rsidR="002C075D" w:rsidRPr="00034D32">
              <w:rPr>
                <w:sz w:val="20"/>
                <w:szCs w:val="20"/>
              </w:rPr>
              <w:t>:1</w:t>
            </w:r>
          </w:p>
        </w:tc>
      </w:tr>
      <w:tr w:rsidR="006A6B57" w:rsidRPr="00636033" w:rsidTr="003B53E4">
        <w:trPr>
          <w:cnfStyle w:val="000000100000"/>
          <w:trHeight w:val="255"/>
        </w:trPr>
        <w:tc>
          <w:tcPr>
            <w:cnfStyle w:val="001000000000"/>
            <w:tcW w:w="2105" w:type="pct"/>
            <w:tcBorders>
              <w:top w:val="nil"/>
              <w:bottom w:val="nil"/>
            </w:tcBorders>
            <w:shd w:val="clear" w:color="auto" w:fill="auto"/>
          </w:tcPr>
          <w:p w:rsidR="006A6B57" w:rsidRPr="00636033" w:rsidRDefault="006A6B57" w:rsidP="006C107E">
            <w:pPr>
              <w:keepNext/>
              <w:keepLines/>
              <w:widowControl w:val="0"/>
              <w:rPr>
                <w:sz w:val="20"/>
                <w:szCs w:val="20"/>
              </w:rPr>
            </w:pPr>
            <w:r w:rsidRPr="00636033">
              <w:rPr>
                <w:sz w:val="20"/>
                <w:szCs w:val="20"/>
              </w:rPr>
              <w:t>Primary Outcomes</w:t>
            </w:r>
          </w:p>
        </w:tc>
        <w:tc>
          <w:tcPr>
            <w:tcW w:w="538" w:type="pct"/>
            <w:tcBorders>
              <w:top w:val="nil"/>
              <w:bottom w:val="nil"/>
            </w:tcBorders>
            <w:shd w:val="clear" w:color="auto" w:fill="auto"/>
            <w:vAlign w:val="bottom"/>
          </w:tcPr>
          <w:p w:rsidR="006A6B57" w:rsidRPr="00636033" w:rsidRDefault="006A6B57" w:rsidP="007E0427">
            <w:pPr>
              <w:keepNext/>
              <w:keepLines/>
              <w:widowControl w:val="0"/>
              <w:jc w:val="center"/>
              <w:cnfStyle w:val="000000100000"/>
              <w:rPr>
                <w:sz w:val="20"/>
                <w:szCs w:val="20"/>
              </w:rPr>
            </w:pPr>
          </w:p>
        </w:tc>
        <w:tc>
          <w:tcPr>
            <w:tcW w:w="127" w:type="pct"/>
            <w:tcBorders>
              <w:top w:val="nil"/>
              <w:bottom w:val="nil"/>
            </w:tcBorders>
            <w:shd w:val="clear" w:color="auto" w:fill="auto"/>
            <w:vAlign w:val="bottom"/>
          </w:tcPr>
          <w:p w:rsidR="006A6B57" w:rsidRPr="00636033" w:rsidRDefault="006A6B57" w:rsidP="007E0427">
            <w:pPr>
              <w:keepNext/>
              <w:keepLines/>
              <w:widowControl w:val="0"/>
              <w:jc w:val="center"/>
              <w:cnfStyle w:val="000000100000"/>
              <w:rPr>
                <w:sz w:val="20"/>
                <w:szCs w:val="20"/>
              </w:rPr>
            </w:pPr>
          </w:p>
        </w:tc>
        <w:tc>
          <w:tcPr>
            <w:tcW w:w="538" w:type="pct"/>
            <w:tcBorders>
              <w:top w:val="single" w:sz="4" w:space="0" w:color="auto"/>
              <w:bottom w:val="nil"/>
            </w:tcBorders>
            <w:vAlign w:val="bottom"/>
          </w:tcPr>
          <w:p w:rsidR="006A6B57" w:rsidRPr="00636033" w:rsidRDefault="006A6B57" w:rsidP="007E0427">
            <w:pPr>
              <w:keepNext/>
              <w:keepLines/>
              <w:widowControl w:val="0"/>
              <w:jc w:val="center"/>
              <w:cnfStyle w:val="000000100000"/>
              <w:rPr>
                <w:sz w:val="20"/>
                <w:szCs w:val="20"/>
              </w:rPr>
            </w:pPr>
          </w:p>
        </w:tc>
        <w:tc>
          <w:tcPr>
            <w:tcW w:w="538" w:type="pct"/>
            <w:tcBorders>
              <w:top w:val="single" w:sz="4" w:space="0" w:color="auto"/>
              <w:bottom w:val="nil"/>
            </w:tcBorders>
            <w:shd w:val="clear" w:color="auto" w:fill="auto"/>
            <w:vAlign w:val="bottom"/>
          </w:tcPr>
          <w:p w:rsidR="006A6B57" w:rsidRPr="00636033" w:rsidRDefault="006A6B57" w:rsidP="007E0427">
            <w:pPr>
              <w:keepNext/>
              <w:keepLines/>
              <w:widowControl w:val="0"/>
              <w:jc w:val="center"/>
              <w:cnfStyle w:val="000000100000"/>
              <w:rPr>
                <w:sz w:val="20"/>
                <w:szCs w:val="20"/>
              </w:rPr>
            </w:pPr>
          </w:p>
        </w:tc>
        <w:tc>
          <w:tcPr>
            <w:tcW w:w="538" w:type="pct"/>
            <w:tcBorders>
              <w:top w:val="single" w:sz="4" w:space="0" w:color="auto"/>
              <w:bottom w:val="nil"/>
            </w:tcBorders>
            <w:shd w:val="clear" w:color="auto" w:fill="auto"/>
            <w:vAlign w:val="bottom"/>
          </w:tcPr>
          <w:p w:rsidR="006A6B57" w:rsidRPr="00636033" w:rsidRDefault="006A6B57" w:rsidP="007E0427">
            <w:pPr>
              <w:keepNext/>
              <w:keepLines/>
              <w:widowControl w:val="0"/>
              <w:jc w:val="center"/>
              <w:cnfStyle w:val="000000100000"/>
              <w:rPr>
                <w:sz w:val="20"/>
                <w:szCs w:val="20"/>
              </w:rPr>
            </w:pPr>
          </w:p>
        </w:tc>
        <w:tc>
          <w:tcPr>
            <w:tcW w:w="616" w:type="pct"/>
            <w:tcBorders>
              <w:top w:val="single" w:sz="4" w:space="0" w:color="auto"/>
              <w:bottom w:val="nil"/>
            </w:tcBorders>
          </w:tcPr>
          <w:p w:rsidR="006A6B57" w:rsidRPr="00636033" w:rsidRDefault="006A6B57" w:rsidP="007E0427">
            <w:pPr>
              <w:keepNext/>
              <w:keepLines/>
              <w:widowControl w:val="0"/>
              <w:jc w:val="center"/>
              <w:cnfStyle w:val="000000100000"/>
              <w:rPr>
                <w:sz w:val="20"/>
                <w:szCs w:val="20"/>
              </w:rPr>
            </w:pPr>
          </w:p>
        </w:tc>
      </w:tr>
      <w:tr w:rsidR="00FC4000" w:rsidRPr="00636033" w:rsidTr="003B53E4">
        <w:trPr>
          <w:trHeight w:val="284"/>
        </w:trPr>
        <w:tc>
          <w:tcPr>
            <w:cnfStyle w:val="001000000000"/>
            <w:tcW w:w="2105" w:type="pct"/>
            <w:tcBorders>
              <w:top w:val="nil"/>
              <w:bottom w:val="nil"/>
            </w:tcBorders>
            <w:shd w:val="clear" w:color="auto" w:fill="auto"/>
          </w:tcPr>
          <w:p w:rsidR="00FC4000" w:rsidRPr="00636033" w:rsidRDefault="00FC4000" w:rsidP="006C107E">
            <w:pPr>
              <w:keepNext/>
              <w:keepLines/>
              <w:widowControl w:val="0"/>
              <w:rPr>
                <w:sz w:val="20"/>
                <w:szCs w:val="20"/>
              </w:rPr>
            </w:pPr>
            <w:r w:rsidRPr="00636033">
              <w:rPr>
                <w:b w:val="0"/>
                <w:sz w:val="20"/>
                <w:szCs w:val="20"/>
              </w:rPr>
              <w:t xml:space="preserve">% no longer claiming social assistance </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0.307</w:t>
            </w:r>
          </w:p>
        </w:tc>
        <w:tc>
          <w:tcPr>
            <w:tcW w:w="127" w:type="pct"/>
            <w:tcBorders>
              <w:top w:val="nil"/>
              <w:bottom w:val="nil"/>
            </w:tcBorders>
            <w:shd w:val="clear" w:color="auto" w:fill="auto"/>
            <w:vAlign w:val="bottom"/>
          </w:tcPr>
          <w:p w:rsidR="00FC4000" w:rsidRPr="003B53E4" w:rsidRDefault="00FC4000">
            <w:pPr>
              <w:cnfStyle w:val="000000000000"/>
              <w:rPr>
                <w:rFonts w:ascii="Calibri" w:hAnsi="Calibri"/>
                <w:color w:val="000000"/>
                <w:sz w:val="20"/>
                <w:szCs w:val="20"/>
              </w:rPr>
            </w:pPr>
          </w:p>
        </w:tc>
        <w:tc>
          <w:tcPr>
            <w:tcW w:w="538" w:type="pct"/>
            <w:tcBorders>
              <w:top w:val="nil"/>
              <w:bottom w:val="nil"/>
            </w:tcBorders>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0.063</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0.059</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0.057</w:t>
            </w:r>
          </w:p>
        </w:tc>
        <w:tc>
          <w:tcPr>
            <w:tcW w:w="616" w:type="pct"/>
            <w:tcBorders>
              <w:top w:val="nil"/>
              <w:bottom w:val="nil"/>
            </w:tcBorders>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0.054</w:t>
            </w:r>
          </w:p>
        </w:tc>
      </w:tr>
      <w:tr w:rsidR="00FC4000" w:rsidRPr="00636033" w:rsidTr="003B53E4">
        <w:trPr>
          <w:cnfStyle w:val="000000100000"/>
          <w:trHeight w:val="284"/>
        </w:trPr>
        <w:tc>
          <w:tcPr>
            <w:cnfStyle w:val="001000000000"/>
            <w:tcW w:w="2105" w:type="pct"/>
            <w:tcBorders>
              <w:top w:val="nil"/>
              <w:bottom w:val="nil"/>
            </w:tcBorders>
            <w:shd w:val="clear" w:color="auto" w:fill="auto"/>
          </w:tcPr>
          <w:p w:rsidR="00FC4000" w:rsidRPr="00636033" w:rsidRDefault="00FC4000" w:rsidP="006C107E">
            <w:pPr>
              <w:keepNext/>
              <w:keepLines/>
              <w:widowControl w:val="0"/>
              <w:rPr>
                <w:sz w:val="20"/>
                <w:szCs w:val="20"/>
              </w:rPr>
            </w:pPr>
            <w:r w:rsidRPr="00636033">
              <w:rPr>
                <w:b w:val="0"/>
                <w:sz w:val="20"/>
                <w:szCs w:val="20"/>
              </w:rPr>
              <w:t>cumulative weeks claiming</w:t>
            </w:r>
          </w:p>
        </w:tc>
        <w:tc>
          <w:tcPr>
            <w:tcW w:w="538" w:type="pct"/>
            <w:tcBorders>
              <w:top w:val="nil"/>
              <w:bottom w:val="nil"/>
            </w:tcBorders>
            <w:shd w:val="clear" w:color="auto" w:fill="auto"/>
            <w:vAlign w:val="bottom"/>
          </w:tcPr>
          <w:p w:rsidR="00FC4000" w:rsidRPr="003B53E4" w:rsidRDefault="00FC4000">
            <w:pPr>
              <w:jc w:val="right"/>
              <w:cnfStyle w:val="000000100000"/>
              <w:rPr>
                <w:rFonts w:ascii="Calibri" w:hAnsi="Calibri"/>
                <w:color w:val="000000"/>
                <w:sz w:val="20"/>
                <w:szCs w:val="20"/>
              </w:rPr>
            </w:pPr>
            <w:r w:rsidRPr="003B53E4">
              <w:rPr>
                <w:rFonts w:ascii="Calibri" w:hAnsi="Calibri"/>
                <w:color w:val="000000"/>
                <w:sz w:val="20"/>
                <w:szCs w:val="20"/>
              </w:rPr>
              <w:t>20.855</w:t>
            </w:r>
          </w:p>
        </w:tc>
        <w:tc>
          <w:tcPr>
            <w:tcW w:w="127" w:type="pct"/>
            <w:tcBorders>
              <w:top w:val="nil"/>
              <w:bottom w:val="nil"/>
            </w:tcBorders>
            <w:shd w:val="clear" w:color="auto" w:fill="auto"/>
            <w:vAlign w:val="bottom"/>
          </w:tcPr>
          <w:p w:rsidR="00FC4000" w:rsidRPr="003B53E4" w:rsidRDefault="00FC4000">
            <w:pPr>
              <w:cnfStyle w:val="000000100000"/>
              <w:rPr>
                <w:rFonts w:ascii="Calibri" w:hAnsi="Calibri"/>
                <w:color w:val="000000"/>
                <w:sz w:val="20"/>
                <w:szCs w:val="20"/>
              </w:rPr>
            </w:pPr>
          </w:p>
        </w:tc>
        <w:tc>
          <w:tcPr>
            <w:tcW w:w="538" w:type="pct"/>
            <w:tcBorders>
              <w:top w:val="nil"/>
              <w:bottom w:val="nil"/>
            </w:tcBorders>
            <w:vAlign w:val="bottom"/>
          </w:tcPr>
          <w:p w:rsidR="00FC4000" w:rsidRPr="003B53E4" w:rsidRDefault="003B53E4">
            <w:pPr>
              <w:jc w:val="right"/>
              <w:cnfStyle w:val="000000100000"/>
              <w:rPr>
                <w:rFonts w:ascii="Calibri" w:hAnsi="Calibri"/>
                <w:color w:val="000000"/>
                <w:sz w:val="20"/>
                <w:szCs w:val="20"/>
              </w:rPr>
            </w:pPr>
            <w:r w:rsidRPr="003B53E4">
              <w:rPr>
                <w:rFonts w:ascii="Calibri" w:hAnsi="Calibri"/>
                <w:color w:val="000000"/>
                <w:sz w:val="20"/>
                <w:szCs w:val="20"/>
              </w:rPr>
              <w:t>-</w:t>
            </w:r>
            <w:r w:rsidR="00FC4000" w:rsidRPr="003B53E4">
              <w:rPr>
                <w:rFonts w:ascii="Calibri" w:hAnsi="Calibri"/>
                <w:color w:val="000000"/>
                <w:sz w:val="20"/>
                <w:szCs w:val="20"/>
              </w:rPr>
              <w:t>1.062</w:t>
            </w:r>
          </w:p>
        </w:tc>
        <w:tc>
          <w:tcPr>
            <w:tcW w:w="538" w:type="pct"/>
            <w:tcBorders>
              <w:top w:val="nil"/>
              <w:bottom w:val="nil"/>
            </w:tcBorders>
            <w:shd w:val="clear" w:color="auto" w:fill="auto"/>
            <w:vAlign w:val="bottom"/>
          </w:tcPr>
          <w:p w:rsidR="00FC4000" w:rsidRPr="003B53E4" w:rsidRDefault="003B53E4">
            <w:pPr>
              <w:jc w:val="right"/>
              <w:cnfStyle w:val="000000100000"/>
              <w:rPr>
                <w:rFonts w:ascii="Calibri" w:hAnsi="Calibri"/>
                <w:color w:val="000000"/>
                <w:sz w:val="20"/>
                <w:szCs w:val="20"/>
              </w:rPr>
            </w:pPr>
            <w:r w:rsidRPr="003B53E4">
              <w:rPr>
                <w:rFonts w:ascii="Calibri" w:hAnsi="Calibri"/>
                <w:color w:val="000000"/>
                <w:sz w:val="20"/>
                <w:szCs w:val="20"/>
              </w:rPr>
              <w:t>-</w:t>
            </w:r>
            <w:r w:rsidR="00FC4000" w:rsidRPr="003B53E4">
              <w:rPr>
                <w:rFonts w:ascii="Calibri" w:hAnsi="Calibri"/>
                <w:color w:val="000000"/>
                <w:sz w:val="20"/>
                <w:szCs w:val="20"/>
              </w:rPr>
              <w:t>1.007</w:t>
            </w:r>
          </w:p>
        </w:tc>
        <w:tc>
          <w:tcPr>
            <w:tcW w:w="538" w:type="pct"/>
            <w:tcBorders>
              <w:top w:val="nil"/>
              <w:bottom w:val="nil"/>
            </w:tcBorders>
            <w:shd w:val="clear" w:color="auto" w:fill="auto"/>
            <w:vAlign w:val="bottom"/>
          </w:tcPr>
          <w:p w:rsidR="00FC4000" w:rsidRPr="003B53E4" w:rsidRDefault="003B53E4">
            <w:pPr>
              <w:jc w:val="right"/>
              <w:cnfStyle w:val="000000100000"/>
              <w:rPr>
                <w:rFonts w:ascii="Calibri" w:hAnsi="Calibri"/>
                <w:color w:val="000000"/>
                <w:sz w:val="20"/>
                <w:szCs w:val="20"/>
              </w:rPr>
            </w:pPr>
            <w:r w:rsidRPr="003B53E4">
              <w:rPr>
                <w:rFonts w:ascii="Calibri" w:hAnsi="Calibri"/>
                <w:color w:val="000000"/>
                <w:sz w:val="20"/>
                <w:szCs w:val="20"/>
              </w:rPr>
              <w:t>-</w:t>
            </w:r>
            <w:r w:rsidR="00FC4000" w:rsidRPr="003B53E4">
              <w:rPr>
                <w:rFonts w:ascii="Calibri" w:hAnsi="Calibri"/>
                <w:color w:val="000000"/>
                <w:sz w:val="20"/>
                <w:szCs w:val="20"/>
              </w:rPr>
              <w:t>0.969</w:t>
            </w:r>
          </w:p>
        </w:tc>
        <w:tc>
          <w:tcPr>
            <w:tcW w:w="616" w:type="pct"/>
            <w:tcBorders>
              <w:top w:val="nil"/>
              <w:bottom w:val="nil"/>
            </w:tcBorders>
            <w:vAlign w:val="bottom"/>
          </w:tcPr>
          <w:p w:rsidR="00FC4000" w:rsidRPr="003B53E4" w:rsidRDefault="003B53E4">
            <w:pPr>
              <w:jc w:val="right"/>
              <w:cnfStyle w:val="000000100000"/>
              <w:rPr>
                <w:rFonts w:ascii="Calibri" w:hAnsi="Calibri"/>
                <w:color w:val="000000"/>
                <w:sz w:val="20"/>
                <w:szCs w:val="20"/>
              </w:rPr>
            </w:pPr>
            <w:r w:rsidRPr="003B53E4">
              <w:rPr>
                <w:rFonts w:ascii="Calibri" w:hAnsi="Calibri"/>
                <w:color w:val="000000"/>
                <w:sz w:val="20"/>
                <w:szCs w:val="20"/>
              </w:rPr>
              <w:t>-</w:t>
            </w:r>
            <w:r w:rsidR="00FC4000" w:rsidRPr="003B53E4">
              <w:rPr>
                <w:rFonts w:ascii="Calibri" w:hAnsi="Calibri"/>
                <w:color w:val="000000"/>
                <w:sz w:val="20"/>
                <w:szCs w:val="20"/>
              </w:rPr>
              <w:t>0.919</w:t>
            </w:r>
          </w:p>
        </w:tc>
      </w:tr>
      <w:tr w:rsidR="00FC4000" w:rsidRPr="00636033" w:rsidTr="003B53E4">
        <w:trPr>
          <w:trHeight w:val="284"/>
        </w:trPr>
        <w:tc>
          <w:tcPr>
            <w:cnfStyle w:val="001000000000"/>
            <w:tcW w:w="2105" w:type="pct"/>
            <w:tcBorders>
              <w:top w:val="nil"/>
              <w:bottom w:val="nil"/>
            </w:tcBorders>
            <w:shd w:val="clear" w:color="auto" w:fill="auto"/>
          </w:tcPr>
          <w:p w:rsidR="00FC4000" w:rsidRPr="00636033" w:rsidRDefault="00FC4000" w:rsidP="006C107E">
            <w:pPr>
              <w:keepNext/>
              <w:keepLines/>
              <w:widowControl w:val="0"/>
              <w:rPr>
                <w:b w:val="0"/>
                <w:sz w:val="20"/>
                <w:szCs w:val="20"/>
              </w:rPr>
            </w:pPr>
            <w:r w:rsidRPr="00636033">
              <w:rPr>
                <w:b w:val="0"/>
                <w:sz w:val="20"/>
                <w:szCs w:val="20"/>
              </w:rPr>
              <w:t>% in paid employment</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0.120</w:t>
            </w:r>
          </w:p>
        </w:tc>
        <w:tc>
          <w:tcPr>
            <w:tcW w:w="127" w:type="pct"/>
            <w:tcBorders>
              <w:top w:val="nil"/>
              <w:bottom w:val="nil"/>
            </w:tcBorders>
            <w:shd w:val="clear" w:color="auto" w:fill="auto"/>
            <w:vAlign w:val="bottom"/>
          </w:tcPr>
          <w:p w:rsidR="00FC4000" w:rsidRPr="003B53E4" w:rsidRDefault="00FC4000">
            <w:pPr>
              <w:cnfStyle w:val="000000000000"/>
              <w:rPr>
                <w:rFonts w:ascii="Calibri" w:hAnsi="Calibri"/>
                <w:color w:val="000000"/>
                <w:sz w:val="20"/>
                <w:szCs w:val="20"/>
              </w:rPr>
            </w:pPr>
          </w:p>
        </w:tc>
        <w:tc>
          <w:tcPr>
            <w:tcW w:w="538" w:type="pct"/>
            <w:tcBorders>
              <w:top w:val="nil"/>
              <w:bottom w:val="nil"/>
            </w:tcBorders>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0.046</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0.044</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0.042</w:t>
            </w:r>
          </w:p>
        </w:tc>
        <w:tc>
          <w:tcPr>
            <w:tcW w:w="616" w:type="pct"/>
            <w:tcBorders>
              <w:top w:val="nil"/>
              <w:bottom w:val="nil"/>
            </w:tcBorders>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0.040</w:t>
            </w:r>
          </w:p>
        </w:tc>
      </w:tr>
      <w:tr w:rsidR="00FC4000" w:rsidRPr="00636033" w:rsidTr="003B53E4">
        <w:trPr>
          <w:cnfStyle w:val="000000100000"/>
          <w:trHeight w:val="284"/>
        </w:trPr>
        <w:tc>
          <w:tcPr>
            <w:cnfStyle w:val="001000000000"/>
            <w:tcW w:w="2105" w:type="pct"/>
            <w:tcBorders>
              <w:top w:val="nil"/>
              <w:bottom w:val="nil"/>
            </w:tcBorders>
            <w:shd w:val="clear" w:color="auto" w:fill="auto"/>
          </w:tcPr>
          <w:p w:rsidR="00FC4000" w:rsidRPr="00636033" w:rsidRDefault="00FC4000" w:rsidP="006C107E">
            <w:pPr>
              <w:keepNext/>
              <w:keepLines/>
              <w:widowControl w:val="0"/>
              <w:rPr>
                <w:b w:val="0"/>
                <w:sz w:val="20"/>
                <w:szCs w:val="20"/>
              </w:rPr>
            </w:pPr>
            <w:r w:rsidRPr="00636033">
              <w:rPr>
                <w:b w:val="0"/>
                <w:sz w:val="20"/>
                <w:szCs w:val="20"/>
              </w:rPr>
              <w:t>cumulative weeks in employment</w:t>
            </w:r>
          </w:p>
        </w:tc>
        <w:tc>
          <w:tcPr>
            <w:tcW w:w="538" w:type="pct"/>
            <w:tcBorders>
              <w:top w:val="nil"/>
              <w:bottom w:val="nil"/>
            </w:tcBorders>
            <w:shd w:val="clear" w:color="auto" w:fill="auto"/>
            <w:vAlign w:val="bottom"/>
          </w:tcPr>
          <w:p w:rsidR="00FC4000" w:rsidRPr="003B53E4" w:rsidRDefault="00FC4000">
            <w:pPr>
              <w:jc w:val="right"/>
              <w:cnfStyle w:val="000000100000"/>
              <w:rPr>
                <w:rFonts w:ascii="Calibri" w:hAnsi="Calibri"/>
                <w:color w:val="000000"/>
                <w:sz w:val="20"/>
                <w:szCs w:val="20"/>
              </w:rPr>
            </w:pPr>
            <w:r w:rsidRPr="003B53E4">
              <w:rPr>
                <w:rFonts w:ascii="Calibri" w:hAnsi="Calibri"/>
                <w:color w:val="000000"/>
                <w:sz w:val="20"/>
                <w:szCs w:val="20"/>
              </w:rPr>
              <w:t>2.563</w:t>
            </w:r>
          </w:p>
        </w:tc>
        <w:tc>
          <w:tcPr>
            <w:tcW w:w="127" w:type="pct"/>
            <w:tcBorders>
              <w:top w:val="nil"/>
              <w:bottom w:val="nil"/>
            </w:tcBorders>
            <w:shd w:val="clear" w:color="auto" w:fill="auto"/>
            <w:vAlign w:val="bottom"/>
          </w:tcPr>
          <w:p w:rsidR="00FC4000" w:rsidRPr="003B53E4" w:rsidRDefault="00FC4000">
            <w:pPr>
              <w:cnfStyle w:val="000000100000"/>
              <w:rPr>
                <w:rFonts w:ascii="Calibri" w:hAnsi="Calibri"/>
                <w:color w:val="000000"/>
                <w:sz w:val="20"/>
                <w:szCs w:val="20"/>
              </w:rPr>
            </w:pPr>
          </w:p>
        </w:tc>
        <w:tc>
          <w:tcPr>
            <w:tcW w:w="538" w:type="pct"/>
            <w:tcBorders>
              <w:top w:val="nil"/>
              <w:bottom w:val="nil"/>
            </w:tcBorders>
            <w:vAlign w:val="bottom"/>
          </w:tcPr>
          <w:p w:rsidR="00FC4000" w:rsidRPr="003B53E4" w:rsidRDefault="00FC4000">
            <w:pPr>
              <w:jc w:val="right"/>
              <w:cnfStyle w:val="000000100000"/>
              <w:rPr>
                <w:rFonts w:ascii="Calibri" w:hAnsi="Calibri"/>
                <w:color w:val="000000"/>
                <w:sz w:val="20"/>
                <w:szCs w:val="20"/>
              </w:rPr>
            </w:pPr>
            <w:r w:rsidRPr="003B53E4">
              <w:rPr>
                <w:rFonts w:ascii="Calibri" w:hAnsi="Calibri"/>
                <w:color w:val="000000"/>
                <w:sz w:val="20"/>
                <w:szCs w:val="20"/>
              </w:rPr>
              <w:t>0.861</w:t>
            </w:r>
          </w:p>
        </w:tc>
        <w:tc>
          <w:tcPr>
            <w:tcW w:w="538" w:type="pct"/>
            <w:tcBorders>
              <w:top w:val="nil"/>
              <w:bottom w:val="nil"/>
            </w:tcBorders>
            <w:shd w:val="clear" w:color="auto" w:fill="auto"/>
            <w:vAlign w:val="bottom"/>
          </w:tcPr>
          <w:p w:rsidR="00FC4000" w:rsidRPr="003B53E4" w:rsidRDefault="00FC4000">
            <w:pPr>
              <w:jc w:val="right"/>
              <w:cnfStyle w:val="000000100000"/>
              <w:rPr>
                <w:rFonts w:ascii="Calibri" w:hAnsi="Calibri"/>
                <w:color w:val="000000"/>
                <w:sz w:val="20"/>
                <w:szCs w:val="20"/>
              </w:rPr>
            </w:pPr>
            <w:r w:rsidRPr="003B53E4">
              <w:rPr>
                <w:rFonts w:ascii="Calibri" w:hAnsi="Calibri"/>
                <w:color w:val="000000"/>
                <w:sz w:val="20"/>
                <w:szCs w:val="20"/>
              </w:rPr>
              <w:t>0.817</w:t>
            </w:r>
          </w:p>
        </w:tc>
        <w:tc>
          <w:tcPr>
            <w:tcW w:w="538" w:type="pct"/>
            <w:tcBorders>
              <w:top w:val="nil"/>
              <w:bottom w:val="nil"/>
            </w:tcBorders>
            <w:shd w:val="clear" w:color="auto" w:fill="auto"/>
            <w:vAlign w:val="bottom"/>
          </w:tcPr>
          <w:p w:rsidR="00FC4000" w:rsidRPr="003B53E4" w:rsidRDefault="00FC4000">
            <w:pPr>
              <w:jc w:val="right"/>
              <w:cnfStyle w:val="000000100000"/>
              <w:rPr>
                <w:rFonts w:ascii="Calibri" w:hAnsi="Calibri"/>
                <w:color w:val="000000"/>
                <w:sz w:val="20"/>
                <w:szCs w:val="20"/>
              </w:rPr>
            </w:pPr>
            <w:r w:rsidRPr="003B53E4">
              <w:rPr>
                <w:rFonts w:ascii="Calibri" w:hAnsi="Calibri"/>
                <w:color w:val="000000"/>
                <w:sz w:val="20"/>
                <w:szCs w:val="20"/>
              </w:rPr>
              <w:t>0.786</w:t>
            </w:r>
          </w:p>
        </w:tc>
        <w:tc>
          <w:tcPr>
            <w:tcW w:w="616" w:type="pct"/>
            <w:tcBorders>
              <w:top w:val="nil"/>
              <w:bottom w:val="nil"/>
            </w:tcBorders>
            <w:vAlign w:val="bottom"/>
          </w:tcPr>
          <w:p w:rsidR="00FC4000" w:rsidRPr="003B53E4" w:rsidRDefault="00FC4000">
            <w:pPr>
              <w:jc w:val="right"/>
              <w:cnfStyle w:val="000000100000"/>
              <w:rPr>
                <w:rFonts w:ascii="Calibri" w:hAnsi="Calibri"/>
                <w:color w:val="000000"/>
                <w:sz w:val="20"/>
                <w:szCs w:val="20"/>
              </w:rPr>
            </w:pPr>
            <w:r w:rsidRPr="003B53E4">
              <w:rPr>
                <w:rFonts w:ascii="Calibri" w:hAnsi="Calibri"/>
                <w:color w:val="000000"/>
                <w:sz w:val="20"/>
                <w:szCs w:val="20"/>
              </w:rPr>
              <w:t>0.746</w:t>
            </w:r>
          </w:p>
        </w:tc>
      </w:tr>
      <w:tr w:rsidR="00FC4000" w:rsidRPr="00636033" w:rsidTr="003B53E4">
        <w:trPr>
          <w:trHeight w:val="284"/>
        </w:trPr>
        <w:tc>
          <w:tcPr>
            <w:cnfStyle w:val="001000000000"/>
            <w:tcW w:w="2105" w:type="pct"/>
            <w:tcBorders>
              <w:top w:val="nil"/>
              <w:bottom w:val="nil"/>
            </w:tcBorders>
            <w:shd w:val="clear" w:color="auto" w:fill="auto"/>
          </w:tcPr>
          <w:p w:rsidR="00FC4000" w:rsidRPr="00636033" w:rsidRDefault="00FC4000" w:rsidP="006C107E">
            <w:pPr>
              <w:keepNext/>
              <w:keepLines/>
              <w:widowControl w:val="0"/>
              <w:rPr>
                <w:b w:val="0"/>
                <w:sz w:val="20"/>
                <w:szCs w:val="20"/>
              </w:rPr>
            </w:pPr>
            <w:r w:rsidRPr="00636033">
              <w:rPr>
                <w:b w:val="0"/>
                <w:sz w:val="20"/>
                <w:szCs w:val="20"/>
              </w:rPr>
              <w:t>average weekly earnings (DKK)</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466.074</w:t>
            </w:r>
          </w:p>
        </w:tc>
        <w:tc>
          <w:tcPr>
            <w:tcW w:w="127" w:type="pct"/>
            <w:tcBorders>
              <w:top w:val="nil"/>
              <w:bottom w:val="nil"/>
            </w:tcBorders>
            <w:shd w:val="clear" w:color="auto" w:fill="auto"/>
            <w:vAlign w:val="bottom"/>
          </w:tcPr>
          <w:p w:rsidR="00FC4000" w:rsidRPr="003B53E4" w:rsidRDefault="00FC4000">
            <w:pPr>
              <w:cnfStyle w:val="000000000000"/>
              <w:rPr>
                <w:rFonts w:ascii="Calibri" w:hAnsi="Calibri"/>
                <w:color w:val="000000"/>
                <w:sz w:val="20"/>
                <w:szCs w:val="20"/>
              </w:rPr>
            </w:pPr>
          </w:p>
        </w:tc>
        <w:tc>
          <w:tcPr>
            <w:tcW w:w="538" w:type="pct"/>
            <w:tcBorders>
              <w:top w:val="nil"/>
              <w:bottom w:val="nil"/>
            </w:tcBorders>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222.261</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210.739</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202.784</w:t>
            </w:r>
          </w:p>
        </w:tc>
        <w:tc>
          <w:tcPr>
            <w:tcW w:w="616" w:type="pct"/>
            <w:tcBorders>
              <w:top w:val="nil"/>
              <w:bottom w:val="nil"/>
            </w:tcBorders>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192.378</w:t>
            </w:r>
          </w:p>
        </w:tc>
      </w:tr>
      <w:tr w:rsidR="00E45946" w:rsidRPr="00636033" w:rsidTr="003B53E4">
        <w:trPr>
          <w:cnfStyle w:val="000000100000"/>
          <w:trHeight w:val="284"/>
        </w:trPr>
        <w:tc>
          <w:tcPr>
            <w:cnfStyle w:val="001000000000"/>
            <w:tcW w:w="2105" w:type="pct"/>
            <w:tcBorders>
              <w:top w:val="nil"/>
              <w:bottom w:val="nil"/>
            </w:tcBorders>
            <w:shd w:val="clear" w:color="auto" w:fill="auto"/>
          </w:tcPr>
          <w:p w:rsidR="00E45946" w:rsidRPr="00636033" w:rsidRDefault="00E45946" w:rsidP="006C107E">
            <w:pPr>
              <w:keepNext/>
              <w:keepLines/>
              <w:widowControl w:val="0"/>
              <w:rPr>
                <w:b w:val="0"/>
                <w:sz w:val="20"/>
                <w:szCs w:val="20"/>
              </w:rPr>
            </w:pPr>
            <w:r w:rsidRPr="00636033">
              <w:rPr>
                <w:b w:val="0"/>
                <w:sz w:val="20"/>
                <w:szCs w:val="20"/>
              </w:rPr>
              <w:t>% completed qualifying education</w:t>
            </w:r>
          </w:p>
        </w:tc>
        <w:tc>
          <w:tcPr>
            <w:tcW w:w="538" w:type="pct"/>
            <w:tcBorders>
              <w:top w:val="nil"/>
              <w:bottom w:val="nil"/>
            </w:tcBorders>
            <w:shd w:val="clear" w:color="auto" w:fill="auto"/>
            <w:vAlign w:val="bottom"/>
          </w:tcPr>
          <w:p w:rsidR="00E45946" w:rsidRPr="003B53E4" w:rsidRDefault="00E45946" w:rsidP="0075238F">
            <w:pPr>
              <w:keepNext/>
              <w:keepLines/>
              <w:widowControl w:val="0"/>
              <w:jc w:val="right"/>
              <w:cnfStyle w:val="000000100000"/>
              <w:rPr>
                <w:sz w:val="20"/>
                <w:szCs w:val="20"/>
              </w:rPr>
            </w:pPr>
            <w:r w:rsidRPr="003B53E4">
              <w:rPr>
                <w:sz w:val="20"/>
                <w:szCs w:val="20"/>
              </w:rPr>
              <w:t>0.</w:t>
            </w:r>
            <w:r w:rsidR="0075238F">
              <w:rPr>
                <w:sz w:val="20"/>
                <w:szCs w:val="20"/>
              </w:rPr>
              <w:t>098</w:t>
            </w:r>
          </w:p>
        </w:tc>
        <w:tc>
          <w:tcPr>
            <w:tcW w:w="127" w:type="pct"/>
            <w:tcBorders>
              <w:top w:val="nil"/>
              <w:bottom w:val="nil"/>
            </w:tcBorders>
            <w:shd w:val="clear" w:color="auto" w:fill="auto"/>
            <w:vAlign w:val="bottom"/>
          </w:tcPr>
          <w:p w:rsidR="00E45946" w:rsidRPr="003B53E4" w:rsidRDefault="00E45946" w:rsidP="00FB0C90">
            <w:pPr>
              <w:keepNext/>
              <w:keepLines/>
              <w:widowControl w:val="0"/>
              <w:jc w:val="right"/>
              <w:cnfStyle w:val="000000100000"/>
              <w:rPr>
                <w:sz w:val="20"/>
                <w:szCs w:val="20"/>
              </w:rPr>
            </w:pPr>
          </w:p>
        </w:tc>
        <w:tc>
          <w:tcPr>
            <w:tcW w:w="538" w:type="pct"/>
            <w:tcBorders>
              <w:top w:val="nil"/>
              <w:bottom w:val="nil"/>
            </w:tcBorders>
            <w:vAlign w:val="bottom"/>
          </w:tcPr>
          <w:p w:rsidR="00E45946" w:rsidRPr="003B53E4" w:rsidRDefault="00E45946" w:rsidP="0075238F">
            <w:pPr>
              <w:jc w:val="right"/>
              <w:cnfStyle w:val="000000100000"/>
              <w:rPr>
                <w:rFonts w:ascii="Calibri" w:hAnsi="Calibri"/>
                <w:color w:val="000000"/>
                <w:sz w:val="20"/>
                <w:szCs w:val="20"/>
              </w:rPr>
            </w:pPr>
            <w:r w:rsidRPr="003B53E4">
              <w:rPr>
                <w:rFonts w:ascii="Calibri" w:hAnsi="Calibri"/>
                <w:color w:val="000000"/>
                <w:sz w:val="20"/>
                <w:szCs w:val="20"/>
              </w:rPr>
              <w:t>0.04</w:t>
            </w:r>
            <w:r w:rsidR="0075238F">
              <w:rPr>
                <w:rFonts w:ascii="Calibri" w:hAnsi="Calibri"/>
                <w:color w:val="000000"/>
                <w:sz w:val="20"/>
                <w:szCs w:val="20"/>
              </w:rPr>
              <w:t>3</w:t>
            </w:r>
          </w:p>
        </w:tc>
        <w:tc>
          <w:tcPr>
            <w:tcW w:w="538" w:type="pct"/>
            <w:tcBorders>
              <w:top w:val="nil"/>
              <w:bottom w:val="nil"/>
            </w:tcBorders>
            <w:shd w:val="clear" w:color="auto" w:fill="auto"/>
            <w:vAlign w:val="bottom"/>
          </w:tcPr>
          <w:p w:rsidR="00E45946" w:rsidRPr="003B53E4" w:rsidRDefault="00E45946" w:rsidP="0075238F">
            <w:pPr>
              <w:jc w:val="right"/>
              <w:cnfStyle w:val="000000100000"/>
              <w:rPr>
                <w:rFonts w:ascii="Calibri" w:hAnsi="Calibri"/>
                <w:color w:val="000000"/>
                <w:sz w:val="20"/>
                <w:szCs w:val="20"/>
              </w:rPr>
            </w:pPr>
            <w:r w:rsidRPr="003B53E4">
              <w:rPr>
                <w:rFonts w:ascii="Calibri" w:hAnsi="Calibri"/>
                <w:color w:val="000000"/>
                <w:sz w:val="20"/>
                <w:szCs w:val="20"/>
              </w:rPr>
              <w:t>0.</w:t>
            </w:r>
            <w:r w:rsidR="0075238F" w:rsidRPr="003B53E4">
              <w:rPr>
                <w:rFonts w:ascii="Calibri" w:hAnsi="Calibri"/>
                <w:color w:val="000000"/>
                <w:sz w:val="20"/>
                <w:szCs w:val="20"/>
              </w:rPr>
              <w:t>04</w:t>
            </w:r>
            <w:r w:rsidR="0075238F">
              <w:rPr>
                <w:rFonts w:ascii="Calibri" w:hAnsi="Calibri"/>
                <w:color w:val="000000"/>
                <w:sz w:val="20"/>
                <w:szCs w:val="20"/>
              </w:rPr>
              <w:t>1</w:t>
            </w:r>
          </w:p>
        </w:tc>
        <w:tc>
          <w:tcPr>
            <w:tcW w:w="538" w:type="pct"/>
            <w:tcBorders>
              <w:top w:val="nil"/>
              <w:bottom w:val="nil"/>
            </w:tcBorders>
            <w:shd w:val="clear" w:color="auto" w:fill="auto"/>
            <w:vAlign w:val="bottom"/>
          </w:tcPr>
          <w:p w:rsidR="00E45946" w:rsidRPr="003B53E4" w:rsidRDefault="00E45946" w:rsidP="0075238F">
            <w:pPr>
              <w:jc w:val="right"/>
              <w:cnfStyle w:val="000000100000"/>
              <w:rPr>
                <w:rFonts w:ascii="Calibri" w:hAnsi="Calibri"/>
                <w:color w:val="000000"/>
                <w:sz w:val="20"/>
                <w:szCs w:val="20"/>
              </w:rPr>
            </w:pPr>
            <w:r w:rsidRPr="003B53E4">
              <w:rPr>
                <w:rFonts w:ascii="Calibri" w:hAnsi="Calibri"/>
                <w:color w:val="000000"/>
                <w:sz w:val="20"/>
                <w:szCs w:val="20"/>
              </w:rPr>
              <w:t>0.0</w:t>
            </w:r>
            <w:r w:rsidR="0075238F">
              <w:rPr>
                <w:rFonts w:ascii="Calibri" w:hAnsi="Calibri"/>
                <w:color w:val="000000"/>
                <w:sz w:val="20"/>
                <w:szCs w:val="20"/>
              </w:rPr>
              <w:t>39</w:t>
            </w:r>
          </w:p>
        </w:tc>
        <w:tc>
          <w:tcPr>
            <w:tcW w:w="616" w:type="pct"/>
            <w:tcBorders>
              <w:top w:val="nil"/>
              <w:bottom w:val="nil"/>
            </w:tcBorders>
            <w:vAlign w:val="bottom"/>
          </w:tcPr>
          <w:p w:rsidR="00E45946" w:rsidRPr="003B53E4" w:rsidRDefault="00E45946" w:rsidP="0075238F">
            <w:pPr>
              <w:jc w:val="right"/>
              <w:cnfStyle w:val="000000100000"/>
              <w:rPr>
                <w:rFonts w:ascii="Calibri" w:hAnsi="Calibri"/>
                <w:color w:val="000000"/>
                <w:sz w:val="20"/>
                <w:szCs w:val="20"/>
              </w:rPr>
            </w:pPr>
            <w:r w:rsidRPr="003B53E4">
              <w:rPr>
                <w:rFonts w:ascii="Calibri" w:hAnsi="Calibri"/>
                <w:color w:val="000000"/>
                <w:sz w:val="20"/>
                <w:szCs w:val="20"/>
              </w:rPr>
              <w:t>0.</w:t>
            </w:r>
            <w:r w:rsidR="0075238F" w:rsidRPr="003B53E4">
              <w:rPr>
                <w:rFonts w:ascii="Calibri" w:hAnsi="Calibri"/>
                <w:color w:val="000000"/>
                <w:sz w:val="20"/>
                <w:szCs w:val="20"/>
              </w:rPr>
              <w:t>0</w:t>
            </w:r>
            <w:r w:rsidR="0075238F">
              <w:rPr>
                <w:rFonts w:ascii="Calibri" w:hAnsi="Calibri"/>
                <w:color w:val="000000"/>
                <w:sz w:val="20"/>
                <w:szCs w:val="20"/>
              </w:rPr>
              <w:t>37</w:t>
            </w:r>
          </w:p>
        </w:tc>
      </w:tr>
      <w:tr w:rsidR="00FC4000" w:rsidRPr="00636033" w:rsidTr="003B53E4">
        <w:trPr>
          <w:trHeight w:val="284"/>
        </w:trPr>
        <w:tc>
          <w:tcPr>
            <w:cnfStyle w:val="001000000000"/>
            <w:tcW w:w="2105" w:type="pct"/>
            <w:tcBorders>
              <w:top w:val="nil"/>
              <w:bottom w:val="nil"/>
            </w:tcBorders>
            <w:shd w:val="clear" w:color="auto" w:fill="auto"/>
          </w:tcPr>
          <w:p w:rsidR="00FC4000" w:rsidRPr="00636033" w:rsidRDefault="00FC4000" w:rsidP="006C107E">
            <w:pPr>
              <w:keepNext/>
              <w:keepLines/>
              <w:widowControl w:val="0"/>
              <w:rPr>
                <w:b w:val="0"/>
                <w:sz w:val="20"/>
                <w:szCs w:val="20"/>
              </w:rPr>
            </w:pPr>
            <w:r w:rsidRPr="00636033">
              <w:rPr>
                <w:b w:val="0"/>
                <w:sz w:val="20"/>
                <w:szCs w:val="20"/>
              </w:rPr>
              <w:t>% charged with criminal offense</w:t>
            </w:r>
          </w:p>
        </w:tc>
        <w:tc>
          <w:tcPr>
            <w:tcW w:w="538" w:type="pct"/>
            <w:tcBorders>
              <w:top w:val="nil"/>
              <w:bottom w:val="nil"/>
            </w:tcBorders>
            <w:shd w:val="clear" w:color="auto" w:fill="auto"/>
            <w:vAlign w:val="bottom"/>
          </w:tcPr>
          <w:p w:rsidR="00FC4000" w:rsidRPr="003B53E4" w:rsidRDefault="00FC4000">
            <w:pPr>
              <w:jc w:val="right"/>
              <w:cnfStyle w:val="000000000000"/>
              <w:rPr>
                <w:rFonts w:ascii="Calibri" w:hAnsi="Calibri"/>
                <w:color w:val="000000"/>
                <w:sz w:val="20"/>
                <w:szCs w:val="20"/>
              </w:rPr>
            </w:pPr>
            <w:r w:rsidRPr="003B53E4">
              <w:rPr>
                <w:rFonts w:ascii="Calibri" w:hAnsi="Calibri"/>
                <w:color w:val="000000"/>
                <w:sz w:val="20"/>
                <w:szCs w:val="20"/>
              </w:rPr>
              <w:t>0.075</w:t>
            </w:r>
          </w:p>
        </w:tc>
        <w:tc>
          <w:tcPr>
            <w:tcW w:w="127" w:type="pct"/>
            <w:tcBorders>
              <w:top w:val="nil"/>
              <w:bottom w:val="nil"/>
            </w:tcBorders>
            <w:shd w:val="clear" w:color="auto" w:fill="auto"/>
            <w:vAlign w:val="bottom"/>
          </w:tcPr>
          <w:p w:rsidR="00FC4000" w:rsidRPr="003B53E4" w:rsidRDefault="00FC4000">
            <w:pPr>
              <w:cnfStyle w:val="000000000000"/>
              <w:rPr>
                <w:rFonts w:ascii="Calibri" w:hAnsi="Calibri"/>
                <w:color w:val="000000"/>
                <w:sz w:val="20"/>
                <w:szCs w:val="20"/>
              </w:rPr>
            </w:pPr>
          </w:p>
        </w:tc>
        <w:tc>
          <w:tcPr>
            <w:tcW w:w="538" w:type="pct"/>
            <w:tcBorders>
              <w:top w:val="nil"/>
              <w:bottom w:val="nil"/>
            </w:tcBorders>
            <w:vAlign w:val="bottom"/>
          </w:tcPr>
          <w:p w:rsidR="00FC4000" w:rsidRPr="003B53E4" w:rsidRDefault="00FC4000" w:rsidP="003B53E4">
            <w:pPr>
              <w:jc w:val="right"/>
              <w:cnfStyle w:val="000000000000"/>
              <w:rPr>
                <w:rFonts w:ascii="Calibri" w:hAnsi="Calibri"/>
                <w:color w:val="000000"/>
                <w:sz w:val="20"/>
                <w:szCs w:val="20"/>
              </w:rPr>
            </w:pPr>
            <w:r w:rsidRPr="003B53E4">
              <w:rPr>
                <w:rFonts w:ascii="Calibri" w:hAnsi="Calibri"/>
                <w:color w:val="000000"/>
                <w:sz w:val="20"/>
                <w:szCs w:val="20"/>
              </w:rPr>
              <w:t>-0.03</w:t>
            </w:r>
            <w:r w:rsidR="003B53E4" w:rsidRPr="003B53E4">
              <w:rPr>
                <w:rFonts w:ascii="Calibri" w:hAnsi="Calibri"/>
                <w:color w:val="000000"/>
                <w:sz w:val="20"/>
                <w:szCs w:val="20"/>
              </w:rPr>
              <w:t>1</w:t>
            </w:r>
          </w:p>
        </w:tc>
        <w:tc>
          <w:tcPr>
            <w:tcW w:w="538" w:type="pct"/>
            <w:tcBorders>
              <w:top w:val="nil"/>
              <w:bottom w:val="nil"/>
            </w:tcBorders>
            <w:shd w:val="clear" w:color="auto" w:fill="auto"/>
            <w:vAlign w:val="bottom"/>
          </w:tcPr>
          <w:p w:rsidR="00FC4000" w:rsidRPr="003B53E4" w:rsidRDefault="003B53E4" w:rsidP="003B53E4">
            <w:pPr>
              <w:jc w:val="right"/>
              <w:cnfStyle w:val="000000000000"/>
              <w:rPr>
                <w:rFonts w:ascii="Calibri" w:hAnsi="Calibri"/>
                <w:color w:val="000000"/>
                <w:sz w:val="20"/>
                <w:szCs w:val="20"/>
              </w:rPr>
            </w:pPr>
            <w:r w:rsidRPr="003B53E4">
              <w:rPr>
                <w:rFonts w:ascii="Calibri" w:hAnsi="Calibri"/>
                <w:color w:val="000000"/>
                <w:sz w:val="20"/>
                <w:szCs w:val="20"/>
              </w:rPr>
              <w:t>-</w:t>
            </w:r>
            <w:r w:rsidR="00FC4000" w:rsidRPr="003B53E4">
              <w:rPr>
                <w:rFonts w:ascii="Calibri" w:hAnsi="Calibri"/>
                <w:color w:val="000000"/>
                <w:sz w:val="20"/>
                <w:szCs w:val="20"/>
              </w:rPr>
              <w:t>0.03</w:t>
            </w:r>
            <w:r w:rsidRPr="003B53E4">
              <w:rPr>
                <w:rFonts w:ascii="Calibri" w:hAnsi="Calibri"/>
                <w:color w:val="000000"/>
                <w:sz w:val="20"/>
                <w:szCs w:val="20"/>
              </w:rPr>
              <w:t>0</w:t>
            </w:r>
          </w:p>
        </w:tc>
        <w:tc>
          <w:tcPr>
            <w:tcW w:w="538" w:type="pct"/>
            <w:tcBorders>
              <w:top w:val="nil"/>
              <w:bottom w:val="nil"/>
            </w:tcBorders>
            <w:shd w:val="clear" w:color="auto" w:fill="auto"/>
            <w:vAlign w:val="bottom"/>
          </w:tcPr>
          <w:p w:rsidR="00FC4000" w:rsidRPr="003B53E4" w:rsidRDefault="003B53E4" w:rsidP="003B53E4">
            <w:pPr>
              <w:jc w:val="right"/>
              <w:cnfStyle w:val="000000000000"/>
              <w:rPr>
                <w:rFonts w:ascii="Calibri" w:hAnsi="Calibri"/>
                <w:color w:val="000000"/>
                <w:sz w:val="20"/>
                <w:szCs w:val="20"/>
              </w:rPr>
            </w:pPr>
            <w:r w:rsidRPr="003B53E4">
              <w:rPr>
                <w:rFonts w:ascii="Calibri" w:hAnsi="Calibri"/>
                <w:color w:val="000000"/>
                <w:sz w:val="20"/>
                <w:szCs w:val="20"/>
              </w:rPr>
              <w:t>-</w:t>
            </w:r>
            <w:r w:rsidR="00FC4000" w:rsidRPr="003B53E4">
              <w:rPr>
                <w:rFonts w:ascii="Calibri" w:hAnsi="Calibri"/>
                <w:color w:val="000000"/>
                <w:sz w:val="20"/>
                <w:szCs w:val="20"/>
              </w:rPr>
              <w:t>0.0</w:t>
            </w:r>
            <w:r w:rsidRPr="003B53E4">
              <w:rPr>
                <w:rFonts w:ascii="Calibri" w:hAnsi="Calibri"/>
                <w:color w:val="000000"/>
                <w:sz w:val="20"/>
                <w:szCs w:val="20"/>
              </w:rPr>
              <w:t>29</w:t>
            </w:r>
          </w:p>
        </w:tc>
        <w:tc>
          <w:tcPr>
            <w:tcW w:w="616" w:type="pct"/>
            <w:tcBorders>
              <w:top w:val="nil"/>
              <w:bottom w:val="nil"/>
            </w:tcBorders>
            <w:vAlign w:val="bottom"/>
          </w:tcPr>
          <w:p w:rsidR="00FC4000" w:rsidRPr="003B53E4" w:rsidRDefault="003B53E4" w:rsidP="003B53E4">
            <w:pPr>
              <w:jc w:val="right"/>
              <w:cnfStyle w:val="000000000000"/>
              <w:rPr>
                <w:rFonts w:ascii="Calibri" w:hAnsi="Calibri"/>
                <w:color w:val="000000"/>
                <w:sz w:val="20"/>
                <w:szCs w:val="20"/>
              </w:rPr>
            </w:pPr>
            <w:r w:rsidRPr="003B53E4">
              <w:rPr>
                <w:rFonts w:ascii="Calibri" w:hAnsi="Calibri"/>
                <w:color w:val="000000"/>
                <w:sz w:val="20"/>
                <w:szCs w:val="20"/>
              </w:rPr>
              <w:t>-</w:t>
            </w:r>
            <w:r w:rsidR="00FC4000" w:rsidRPr="003B53E4">
              <w:rPr>
                <w:rFonts w:ascii="Calibri" w:hAnsi="Calibri"/>
                <w:color w:val="000000"/>
                <w:sz w:val="20"/>
                <w:szCs w:val="20"/>
              </w:rPr>
              <w:t>0.0</w:t>
            </w:r>
            <w:r w:rsidRPr="003B53E4">
              <w:rPr>
                <w:rFonts w:ascii="Calibri" w:hAnsi="Calibri"/>
                <w:color w:val="000000"/>
                <w:sz w:val="20"/>
                <w:szCs w:val="20"/>
              </w:rPr>
              <w:t>27</w:t>
            </w:r>
          </w:p>
        </w:tc>
      </w:tr>
      <w:tr w:rsidR="003B53E4" w:rsidRPr="00636033" w:rsidTr="003B53E4">
        <w:trPr>
          <w:cnfStyle w:val="000000100000"/>
          <w:trHeight w:val="284"/>
        </w:trPr>
        <w:tc>
          <w:tcPr>
            <w:cnfStyle w:val="001000000000"/>
            <w:tcW w:w="2105" w:type="pct"/>
            <w:tcBorders>
              <w:top w:val="nil"/>
              <w:bottom w:val="single" w:sz="4" w:space="0" w:color="auto"/>
            </w:tcBorders>
            <w:shd w:val="clear" w:color="auto" w:fill="auto"/>
          </w:tcPr>
          <w:p w:rsidR="003B53E4" w:rsidRPr="00636033" w:rsidRDefault="003B53E4" w:rsidP="006C107E">
            <w:pPr>
              <w:keepNext/>
              <w:keepLines/>
              <w:widowControl w:val="0"/>
              <w:rPr>
                <w:b w:val="0"/>
                <w:sz w:val="20"/>
                <w:szCs w:val="20"/>
              </w:rPr>
            </w:pPr>
            <w:r w:rsidRPr="00FC4000">
              <w:rPr>
                <w:b w:val="0"/>
                <w:sz w:val="20"/>
                <w:szCs w:val="20"/>
              </w:rPr>
              <w:t>%</w:t>
            </w:r>
            <w:r>
              <w:rPr>
                <w:b w:val="0"/>
                <w:sz w:val="20"/>
                <w:szCs w:val="20"/>
              </w:rPr>
              <w:t xml:space="preserve"> </w:t>
            </w:r>
            <w:r w:rsidRPr="00FC4000">
              <w:rPr>
                <w:b w:val="0"/>
                <w:sz w:val="20"/>
                <w:szCs w:val="20"/>
              </w:rPr>
              <w:t>psychiatric hosp</w:t>
            </w:r>
            <w:r>
              <w:rPr>
                <w:b w:val="0"/>
                <w:sz w:val="20"/>
                <w:szCs w:val="20"/>
              </w:rPr>
              <w:t>.</w:t>
            </w:r>
            <w:r w:rsidRPr="00FC4000">
              <w:rPr>
                <w:b w:val="0"/>
                <w:sz w:val="20"/>
                <w:szCs w:val="20"/>
              </w:rPr>
              <w:t xml:space="preserve"> since randomisation</w:t>
            </w:r>
          </w:p>
        </w:tc>
        <w:tc>
          <w:tcPr>
            <w:tcW w:w="538" w:type="pct"/>
            <w:tcBorders>
              <w:top w:val="nil"/>
              <w:bottom w:val="single" w:sz="4" w:space="0" w:color="auto"/>
            </w:tcBorders>
            <w:shd w:val="clear" w:color="auto" w:fill="auto"/>
            <w:vAlign w:val="bottom"/>
          </w:tcPr>
          <w:p w:rsidR="003B53E4" w:rsidRPr="003B53E4" w:rsidRDefault="003B53E4">
            <w:pPr>
              <w:jc w:val="right"/>
              <w:cnfStyle w:val="000000100000"/>
              <w:rPr>
                <w:rFonts w:ascii="Calibri" w:hAnsi="Calibri"/>
                <w:color w:val="000000"/>
                <w:sz w:val="20"/>
                <w:szCs w:val="20"/>
              </w:rPr>
            </w:pPr>
            <w:r w:rsidRPr="003B53E4">
              <w:rPr>
                <w:rFonts w:ascii="Calibri" w:hAnsi="Calibri"/>
                <w:color w:val="000000"/>
                <w:sz w:val="20"/>
                <w:szCs w:val="20"/>
              </w:rPr>
              <w:t>0.076</w:t>
            </w:r>
          </w:p>
        </w:tc>
        <w:tc>
          <w:tcPr>
            <w:tcW w:w="127" w:type="pct"/>
            <w:tcBorders>
              <w:top w:val="nil"/>
              <w:bottom w:val="single" w:sz="4" w:space="0" w:color="auto"/>
            </w:tcBorders>
            <w:shd w:val="clear" w:color="auto" w:fill="auto"/>
            <w:vAlign w:val="bottom"/>
          </w:tcPr>
          <w:p w:rsidR="003B53E4" w:rsidRPr="003B53E4" w:rsidRDefault="003B53E4">
            <w:pPr>
              <w:cnfStyle w:val="000000100000"/>
              <w:rPr>
                <w:rFonts w:ascii="Calibri" w:hAnsi="Calibri"/>
                <w:color w:val="000000"/>
                <w:sz w:val="20"/>
                <w:szCs w:val="20"/>
              </w:rPr>
            </w:pPr>
          </w:p>
        </w:tc>
        <w:tc>
          <w:tcPr>
            <w:tcW w:w="538" w:type="pct"/>
            <w:tcBorders>
              <w:top w:val="nil"/>
              <w:bottom w:val="single" w:sz="4" w:space="0" w:color="auto"/>
            </w:tcBorders>
            <w:vAlign w:val="bottom"/>
          </w:tcPr>
          <w:p w:rsidR="003B53E4" w:rsidRPr="003B53E4" w:rsidRDefault="003B53E4" w:rsidP="004427DA">
            <w:pPr>
              <w:jc w:val="right"/>
              <w:cnfStyle w:val="000000100000"/>
              <w:rPr>
                <w:rFonts w:ascii="Calibri" w:hAnsi="Calibri"/>
                <w:color w:val="000000"/>
                <w:sz w:val="20"/>
                <w:szCs w:val="20"/>
              </w:rPr>
            </w:pPr>
            <w:r w:rsidRPr="003B53E4">
              <w:rPr>
                <w:rFonts w:ascii="Calibri" w:hAnsi="Calibri"/>
                <w:color w:val="000000"/>
                <w:sz w:val="20"/>
                <w:szCs w:val="20"/>
              </w:rPr>
              <w:t>-0.031</w:t>
            </w:r>
          </w:p>
        </w:tc>
        <w:tc>
          <w:tcPr>
            <w:tcW w:w="538" w:type="pct"/>
            <w:tcBorders>
              <w:top w:val="nil"/>
              <w:bottom w:val="single" w:sz="4" w:space="0" w:color="auto"/>
            </w:tcBorders>
            <w:shd w:val="clear" w:color="auto" w:fill="auto"/>
            <w:vAlign w:val="bottom"/>
          </w:tcPr>
          <w:p w:rsidR="003B53E4" w:rsidRPr="003B53E4" w:rsidRDefault="003B53E4" w:rsidP="004427DA">
            <w:pPr>
              <w:jc w:val="right"/>
              <w:cnfStyle w:val="000000100000"/>
              <w:rPr>
                <w:rFonts w:ascii="Calibri" w:hAnsi="Calibri"/>
                <w:color w:val="000000"/>
                <w:sz w:val="20"/>
                <w:szCs w:val="20"/>
              </w:rPr>
            </w:pPr>
            <w:r w:rsidRPr="003B53E4">
              <w:rPr>
                <w:rFonts w:ascii="Calibri" w:hAnsi="Calibri"/>
                <w:color w:val="000000"/>
                <w:sz w:val="20"/>
                <w:szCs w:val="20"/>
              </w:rPr>
              <w:t>-0.030</w:t>
            </w:r>
          </w:p>
        </w:tc>
        <w:tc>
          <w:tcPr>
            <w:tcW w:w="538" w:type="pct"/>
            <w:tcBorders>
              <w:top w:val="nil"/>
              <w:bottom w:val="single" w:sz="4" w:space="0" w:color="auto"/>
            </w:tcBorders>
            <w:shd w:val="clear" w:color="auto" w:fill="auto"/>
            <w:vAlign w:val="bottom"/>
          </w:tcPr>
          <w:p w:rsidR="003B53E4" w:rsidRPr="003B53E4" w:rsidRDefault="003B53E4" w:rsidP="004427DA">
            <w:pPr>
              <w:jc w:val="right"/>
              <w:cnfStyle w:val="000000100000"/>
              <w:rPr>
                <w:rFonts w:ascii="Calibri" w:hAnsi="Calibri"/>
                <w:color w:val="000000"/>
                <w:sz w:val="20"/>
                <w:szCs w:val="20"/>
              </w:rPr>
            </w:pPr>
            <w:r w:rsidRPr="003B53E4">
              <w:rPr>
                <w:rFonts w:ascii="Calibri" w:hAnsi="Calibri"/>
                <w:color w:val="000000"/>
                <w:sz w:val="20"/>
                <w:szCs w:val="20"/>
              </w:rPr>
              <w:t>-0.029</w:t>
            </w:r>
          </w:p>
        </w:tc>
        <w:tc>
          <w:tcPr>
            <w:tcW w:w="616" w:type="pct"/>
            <w:tcBorders>
              <w:top w:val="nil"/>
              <w:bottom w:val="single" w:sz="4" w:space="0" w:color="auto"/>
            </w:tcBorders>
            <w:vAlign w:val="bottom"/>
          </w:tcPr>
          <w:p w:rsidR="003B53E4" w:rsidRPr="003B53E4" w:rsidRDefault="003B53E4" w:rsidP="004427DA">
            <w:pPr>
              <w:jc w:val="right"/>
              <w:cnfStyle w:val="000000100000"/>
              <w:rPr>
                <w:rFonts w:ascii="Calibri" w:hAnsi="Calibri"/>
                <w:color w:val="000000"/>
                <w:sz w:val="20"/>
                <w:szCs w:val="20"/>
              </w:rPr>
            </w:pPr>
            <w:r w:rsidRPr="003B53E4">
              <w:rPr>
                <w:rFonts w:ascii="Calibri" w:hAnsi="Calibri"/>
                <w:color w:val="000000"/>
                <w:sz w:val="20"/>
                <w:szCs w:val="20"/>
              </w:rPr>
              <w:t>-0.027</w:t>
            </w:r>
          </w:p>
        </w:tc>
      </w:tr>
    </w:tbl>
    <w:p w:rsidR="002C075D" w:rsidRPr="006B3CDD" w:rsidRDefault="002C075D" w:rsidP="006A6B57">
      <w:pPr>
        <w:keepNext/>
        <w:keepLines/>
        <w:widowControl w:val="0"/>
        <w:jc w:val="left"/>
        <w:rPr>
          <w:sz w:val="20"/>
          <w:szCs w:val="20"/>
        </w:rPr>
      </w:pPr>
      <w:r w:rsidRPr="006B3CDD">
        <w:rPr>
          <w:sz w:val="20"/>
          <w:szCs w:val="20"/>
        </w:rPr>
        <w:t>Note:</w:t>
      </w:r>
      <w:r>
        <w:rPr>
          <w:sz w:val="20"/>
          <w:szCs w:val="20"/>
        </w:rPr>
        <w:t xml:space="preserve"> two-sided hypothesis test assuming alpha of </w:t>
      </w:r>
      <w:r w:rsidRPr="000C2BFE">
        <w:rPr>
          <w:sz w:val="20"/>
          <w:szCs w:val="20"/>
        </w:rPr>
        <w:t xml:space="preserve">0.05, power of 0.80 and </w:t>
      </w:r>
      <w:r w:rsidR="006A6B57">
        <w:rPr>
          <w:sz w:val="20"/>
          <w:szCs w:val="20"/>
        </w:rPr>
        <w:t>treatment group size</w:t>
      </w:r>
      <w:r w:rsidRPr="000C2BFE">
        <w:rPr>
          <w:sz w:val="20"/>
          <w:szCs w:val="20"/>
        </w:rPr>
        <w:t xml:space="preserve"> of </w:t>
      </w:r>
      <w:r w:rsidR="00FB0C90">
        <w:rPr>
          <w:sz w:val="20"/>
          <w:szCs w:val="20"/>
        </w:rPr>
        <w:t>90</w:t>
      </w:r>
      <w:r w:rsidR="00FB0C90" w:rsidRPr="000C2BFE">
        <w:rPr>
          <w:sz w:val="20"/>
          <w:szCs w:val="20"/>
        </w:rPr>
        <w:t xml:space="preserve">0 </w:t>
      </w:r>
      <w:r w:rsidRPr="000C2BFE">
        <w:rPr>
          <w:sz w:val="20"/>
          <w:szCs w:val="20"/>
        </w:rPr>
        <w:t>youth</w:t>
      </w:r>
      <w:r>
        <w:rPr>
          <w:sz w:val="20"/>
          <w:szCs w:val="20"/>
        </w:rPr>
        <w:t>.</w:t>
      </w:r>
      <w:r w:rsidR="006A6B57">
        <w:rPr>
          <w:sz w:val="20"/>
          <w:szCs w:val="20"/>
        </w:rPr>
        <w:t xml:space="preserve"> Control group size varied to equal either </w:t>
      </w:r>
      <w:r w:rsidR="00FB0C90">
        <w:rPr>
          <w:sz w:val="20"/>
          <w:szCs w:val="20"/>
        </w:rPr>
        <w:t>900</w:t>
      </w:r>
      <w:r w:rsidR="006A6B57">
        <w:rPr>
          <w:sz w:val="20"/>
          <w:szCs w:val="20"/>
        </w:rPr>
        <w:t xml:space="preserve">, </w:t>
      </w:r>
      <w:r w:rsidR="00FB0C90">
        <w:rPr>
          <w:sz w:val="20"/>
          <w:szCs w:val="20"/>
        </w:rPr>
        <w:t>1</w:t>
      </w:r>
      <w:r w:rsidR="00302E2E">
        <w:rPr>
          <w:sz w:val="20"/>
          <w:szCs w:val="20"/>
        </w:rPr>
        <w:t>12</w:t>
      </w:r>
      <w:r w:rsidR="00FB0C90">
        <w:rPr>
          <w:sz w:val="20"/>
          <w:szCs w:val="20"/>
        </w:rPr>
        <w:t>5</w:t>
      </w:r>
      <w:r w:rsidR="006A6B57">
        <w:rPr>
          <w:sz w:val="20"/>
          <w:szCs w:val="20"/>
        </w:rPr>
        <w:t>, 1</w:t>
      </w:r>
      <w:r w:rsidR="00302E2E">
        <w:rPr>
          <w:sz w:val="20"/>
          <w:szCs w:val="20"/>
        </w:rPr>
        <w:t>350</w:t>
      </w:r>
      <w:r w:rsidR="006A6B57">
        <w:rPr>
          <w:sz w:val="20"/>
          <w:szCs w:val="20"/>
        </w:rPr>
        <w:t xml:space="preserve"> or </w:t>
      </w:r>
      <w:r w:rsidR="00302E2E">
        <w:rPr>
          <w:sz w:val="20"/>
          <w:szCs w:val="20"/>
        </w:rPr>
        <w:t>1800</w:t>
      </w:r>
      <w:r w:rsidR="006A6B57">
        <w:rPr>
          <w:sz w:val="20"/>
          <w:szCs w:val="20"/>
        </w:rPr>
        <w:t xml:space="preserve">. </w:t>
      </w:r>
      <w:r>
        <w:rPr>
          <w:sz w:val="20"/>
          <w:szCs w:val="20"/>
        </w:rPr>
        <w:t xml:space="preserve">Source: Authors’ calculations using Stata’s built-in </w:t>
      </w:r>
      <w:r w:rsidRPr="009C6730">
        <w:rPr>
          <w:rFonts w:ascii="Courier New" w:hAnsi="Courier New" w:cs="Courier New"/>
          <w:sz w:val="20"/>
          <w:szCs w:val="20"/>
        </w:rPr>
        <w:t>power</w:t>
      </w:r>
      <w:r>
        <w:rPr>
          <w:sz w:val="20"/>
          <w:szCs w:val="20"/>
        </w:rPr>
        <w:t xml:space="preserve"> command and register data from Statistics Denmark.  </w:t>
      </w:r>
    </w:p>
    <w:p w:rsidR="002C075D" w:rsidRDefault="002C075D" w:rsidP="002C075D"/>
    <w:p w:rsidR="002C075D" w:rsidRDefault="002C075D" w:rsidP="002C075D">
      <w:r>
        <w:t>To investigate the potential gain in power from including covariates in our estimation of ITT parameters, we simulate the power at which treatment effects of various sizes (</w:t>
      </w:r>
      <m:oMath>
        <m:r>
          <w:rPr>
            <w:rFonts w:ascii="Cambria Math" w:hAnsi="Cambria Math"/>
          </w:rPr>
          <m:t>δ</m:t>
        </m:r>
      </m:oMath>
      <w:r>
        <w:t xml:space="preserve">) can be detected using 1,000 bootstrap replications of our pseudo-treatment and control groups. Each replication is created by (twice) drawing a random sample of </w:t>
      </w:r>
      <w:r w:rsidR="00AD72C2">
        <w:t xml:space="preserve">180 eligible (in 2014) </w:t>
      </w:r>
      <w:r>
        <w:t>youth from</w:t>
      </w:r>
      <w:r w:rsidR="00AD72C2">
        <w:t xml:space="preserve"> each of the</w:t>
      </w:r>
      <w:r>
        <w:t xml:space="preserve"> </w:t>
      </w:r>
      <w:r w:rsidR="00ED073E">
        <w:t xml:space="preserve">5 </w:t>
      </w:r>
      <w:r w:rsidR="00AD72C2">
        <w:t>initially participating municipalities</w:t>
      </w:r>
      <w:r>
        <w:t xml:space="preserve">. We then (randomly) increase the share of youth for whom outcome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oMath>
      <w:r>
        <w:t xml:space="preserve"> in each replication of the treatment group to the hypothesized proportion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+δ</m:t>
        </m:r>
      </m:oMath>
      <w:r>
        <w:t xml:space="preserve">) and estimate the ITT by running a logit model of the form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*TREATE</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m:rPr>
                <m:sty m:val="bi"/>
              </m:rPr>
              <w:rPr>
                <w:rFonts w:ascii="Cambria Math" w:hAnsi="Cambria Math"/>
              </w:rPr>
              <m:t>i</m:t>
            </m:r>
          </m:sub>
        </m:sSub>
        <m:r>
          <m:rPr>
            <m:sty m:val="bi"/>
          </m:rPr>
          <w:rPr>
            <w:rFonts w:ascii="Cambria Math" w:hAnsi="Cambria Math"/>
          </w:rPr>
          <m:t>β</m:t>
        </m:r>
      </m:oMath>
      <w:r>
        <w:t xml:space="preserve"> on each the 1,000 replications (N=1</w:t>
      </w:r>
      <w:r w:rsidR="00AD72C2">
        <w:t>8</w:t>
      </w:r>
      <w:r w:rsidR="00ED073E">
        <w:t>0</w:t>
      </w:r>
      <w:r>
        <w:t xml:space="preserve">0), where </w:t>
      </w:r>
      <m:oMath>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m:rPr>
                <m:sty m:val="bi"/>
              </m:rPr>
              <w:rPr>
                <w:rFonts w:ascii="Cambria Math" w:hAnsi="Cambria Math"/>
              </w:rPr>
              <m:t>i</m:t>
            </m:r>
          </m:sub>
        </m:sSub>
      </m:oMath>
      <w:r w:rsidRPr="003F3FF8">
        <w:rPr>
          <w:rFonts w:eastAsiaTheme="minorEastAsia"/>
        </w:rPr>
        <w:t xml:space="preserve"> is a </w:t>
      </w:r>
      <w:r>
        <w:t xml:space="preserve">vector of covariates derived from the register data. These include demographic variables (e.g. average parental lifetime income, maternal education), how many weeks the youth had been claiming social assistance and whether the youth had ever been charged with a criminal offence before being randomised into either the treatment or control group. Our simulated measure of power is the proportion of these 1,000 replications for which the coefficient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Pr>
          <w:rFonts w:eastAsiaTheme="minorEastAsia"/>
        </w:rPr>
        <w:t xml:space="preserve">is statistically different from 0 at the 95% level of confidence (i.e. </w:t>
      </w:r>
      <m:oMath>
        <m:r>
          <w:rPr>
            <w:rFonts w:ascii="Cambria Math" w:eastAsiaTheme="minorEastAsia" w:hAnsi="Cambria Math"/>
          </w:rPr>
          <m:t>α=0.05</m:t>
        </m:r>
      </m:oMath>
      <w:r>
        <w:rPr>
          <w:rFonts w:eastAsiaTheme="minorEastAsia"/>
        </w:rPr>
        <w:t>).</w:t>
      </w:r>
    </w:p>
    <w:p w:rsidR="002C075D" w:rsidRDefault="002C075D" w:rsidP="002C075D"/>
    <w:p w:rsidR="002C075D" w:rsidRDefault="002C075D" w:rsidP="002C075D">
      <w:r>
        <w:t xml:space="preserve">Figure B1 shows how this simulated measure of power including controls compares to that obtained estimating the logit model with only an intercept and treatment dummy, for two of our primary outcome measures: a) the proportion of youth no longer claiming social assistance, and b) the proportion of youth who have not been charged with a criminal offence. For both, including the vector of covariates increases power </w:t>
      </w:r>
      <w:r w:rsidR="00302E2E">
        <w:t>but only by a negligible amount</w:t>
      </w:r>
      <w:r>
        <w:t xml:space="preserve">. </w:t>
      </w:r>
    </w:p>
    <w:p w:rsidR="002C075D" w:rsidRDefault="002C075D" w:rsidP="002C075D"/>
    <w:p w:rsidR="002C075D" w:rsidRDefault="002C075D" w:rsidP="002C075D"/>
    <w:p w:rsidR="002C075D" w:rsidRDefault="002C075D" w:rsidP="002C075D">
      <w:pPr>
        <w:pStyle w:val="Caption"/>
        <w:keepNext/>
        <w:rPr>
          <w:i w:val="0"/>
        </w:rPr>
      </w:pPr>
      <w:r>
        <w:rPr>
          <w:i w:val="0"/>
        </w:rPr>
        <w:lastRenderedPageBreak/>
        <w:t>Figure B1. Proportion of youth (5</w:t>
      </w:r>
      <w:r w:rsidR="006A6B57">
        <w:rPr>
          <w:i w:val="0"/>
        </w:rPr>
        <w:t>2</w:t>
      </w:r>
      <w:r>
        <w:rPr>
          <w:i w:val="0"/>
        </w:rPr>
        <w:t xml:space="preserve"> weeks after randomization)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8"/>
        <w:gridCol w:w="4618"/>
      </w:tblGrid>
      <w:tr w:rsidR="006A6B57" w:rsidTr="007E0427">
        <w:tc>
          <w:tcPr>
            <w:tcW w:w="4618" w:type="dxa"/>
          </w:tcPr>
          <w:p w:rsidR="002C075D" w:rsidRPr="00D414A7" w:rsidRDefault="002C075D" w:rsidP="007E0427">
            <w:pPr>
              <w:pStyle w:val="Caption"/>
              <w:keepNext/>
              <w:rPr>
                <w:i w:val="0"/>
              </w:rPr>
            </w:pPr>
            <w:r>
              <w:rPr>
                <w:i w:val="0"/>
              </w:rPr>
              <w:t>a. Are no longer claiming social assistance</w:t>
            </w:r>
          </w:p>
        </w:tc>
        <w:tc>
          <w:tcPr>
            <w:tcW w:w="4618" w:type="dxa"/>
          </w:tcPr>
          <w:p w:rsidR="002C075D" w:rsidRDefault="002C075D" w:rsidP="007E0427">
            <w:pPr>
              <w:pStyle w:val="Caption"/>
              <w:keepNext/>
              <w:rPr>
                <w:i w:val="0"/>
              </w:rPr>
            </w:pPr>
            <w:r>
              <w:rPr>
                <w:i w:val="0"/>
              </w:rPr>
              <w:t xml:space="preserve">b. have not been charged with a </w:t>
            </w:r>
            <w:r w:rsidR="00585DAC">
              <w:rPr>
                <w:i w:val="0"/>
              </w:rPr>
              <w:t xml:space="preserve">(non-speeding) </w:t>
            </w:r>
            <w:r>
              <w:rPr>
                <w:i w:val="0"/>
              </w:rPr>
              <w:t xml:space="preserve">criminal offence </w:t>
            </w:r>
          </w:p>
          <w:p w:rsidR="002C075D" w:rsidRDefault="002C075D" w:rsidP="007E0427"/>
        </w:tc>
      </w:tr>
      <w:tr w:rsidR="006A6B57" w:rsidTr="007E0427">
        <w:tc>
          <w:tcPr>
            <w:tcW w:w="4618" w:type="dxa"/>
          </w:tcPr>
          <w:p w:rsidR="002C075D" w:rsidRDefault="003B53E4" w:rsidP="007E0427">
            <w:r>
              <w:rPr>
                <w:noProof/>
                <w:lang w:eastAsia="en-GB"/>
              </w:rPr>
              <w:drawing>
                <wp:inline distT="0" distB="0" distL="0" distR="0">
                  <wp:extent cx="2743200" cy="1995662"/>
                  <wp:effectExtent l="19050" t="0" r="0" b="0"/>
                  <wp:docPr id="20" name="Picture 19" descr="delta_nolongerclaimingSA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_nolongerclaimingSA52.png"/>
                          <pic:cNvPicPr/>
                        </pic:nvPicPr>
                        <pic:blipFill>
                          <a:blip r:embed="rId18" cstate="print"/>
                          <a:stretch>
                            <a:fillRect/>
                          </a:stretch>
                        </pic:blipFill>
                        <pic:spPr>
                          <a:xfrm>
                            <a:off x="0" y="0"/>
                            <a:ext cx="2756361" cy="2005237"/>
                          </a:xfrm>
                          <a:prstGeom prst="rect">
                            <a:avLst/>
                          </a:prstGeom>
                        </pic:spPr>
                      </pic:pic>
                    </a:graphicData>
                  </a:graphic>
                </wp:inline>
              </w:drawing>
            </w:r>
          </w:p>
        </w:tc>
        <w:tc>
          <w:tcPr>
            <w:tcW w:w="4618" w:type="dxa"/>
          </w:tcPr>
          <w:p w:rsidR="002C075D" w:rsidRDefault="00EA3C1B" w:rsidP="007E0427">
            <w:r>
              <w:rPr>
                <w:noProof/>
                <w:lang w:eastAsia="en-GB"/>
              </w:rPr>
              <w:drawing>
                <wp:inline distT="0" distB="0" distL="0" distR="0">
                  <wp:extent cx="2738955" cy="1992574"/>
                  <wp:effectExtent l="19050" t="0" r="4245" b="0"/>
                  <wp:docPr id="17" name="Picture 16" descr="delta_chargednonspeeding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_chargednonspeedingsi.png"/>
                          <pic:cNvPicPr/>
                        </pic:nvPicPr>
                        <pic:blipFill>
                          <a:blip r:embed="rId19" cstate="print"/>
                          <a:stretch>
                            <a:fillRect/>
                          </a:stretch>
                        </pic:blipFill>
                        <pic:spPr>
                          <a:xfrm>
                            <a:off x="0" y="0"/>
                            <a:ext cx="2750303" cy="2000829"/>
                          </a:xfrm>
                          <a:prstGeom prst="rect">
                            <a:avLst/>
                          </a:prstGeom>
                        </pic:spPr>
                      </pic:pic>
                    </a:graphicData>
                  </a:graphic>
                </wp:inline>
              </w:drawing>
            </w:r>
          </w:p>
        </w:tc>
      </w:tr>
    </w:tbl>
    <w:p w:rsidR="004F05A2" w:rsidRDefault="002C075D" w:rsidP="003B53E4">
      <w:pPr>
        <w:keepNext/>
        <w:keepLines/>
        <w:widowControl w:val="0"/>
        <w:rPr>
          <w:sz w:val="20"/>
          <w:szCs w:val="20"/>
        </w:rPr>
      </w:pPr>
      <w:r w:rsidRPr="006B3CDD">
        <w:rPr>
          <w:sz w:val="20"/>
          <w:szCs w:val="20"/>
        </w:rPr>
        <w:t>Note:</w:t>
      </w:r>
      <w:r>
        <w:rPr>
          <w:sz w:val="20"/>
          <w:szCs w:val="20"/>
        </w:rPr>
        <w:t xml:space="preserve"> two-sided hypothesis test assuming alpha of </w:t>
      </w:r>
      <w:r w:rsidRPr="000C2BFE">
        <w:rPr>
          <w:sz w:val="20"/>
          <w:szCs w:val="20"/>
        </w:rPr>
        <w:t xml:space="preserve">0.05, power of 0.80 and equally sized groups of </w:t>
      </w:r>
      <w:r w:rsidR="00BD6D9B">
        <w:rPr>
          <w:sz w:val="20"/>
          <w:szCs w:val="20"/>
        </w:rPr>
        <w:t>90</w:t>
      </w:r>
      <w:r w:rsidRPr="000C2BFE">
        <w:rPr>
          <w:sz w:val="20"/>
          <w:szCs w:val="20"/>
        </w:rPr>
        <w:t>0 youth</w:t>
      </w:r>
      <w:r>
        <w:rPr>
          <w:sz w:val="20"/>
          <w:szCs w:val="20"/>
        </w:rPr>
        <w:t>.</w:t>
      </w:r>
      <w:r>
        <w:rPr>
          <w:sz w:val="20"/>
          <w:szCs w:val="20"/>
        </w:rPr>
        <w:br/>
        <w:t xml:space="preserve">Source: Authors’ calculations using Stata’s built-in </w:t>
      </w:r>
      <w:r w:rsidRPr="009C6730">
        <w:rPr>
          <w:rFonts w:ascii="Courier New" w:hAnsi="Courier New" w:cs="Courier New"/>
          <w:sz w:val="20"/>
          <w:szCs w:val="20"/>
        </w:rPr>
        <w:t>power</w:t>
      </w:r>
      <w:r>
        <w:rPr>
          <w:sz w:val="20"/>
          <w:szCs w:val="20"/>
        </w:rPr>
        <w:t xml:space="preserve"> command and register</w:t>
      </w:r>
      <w:r w:rsidR="003B53E4">
        <w:rPr>
          <w:sz w:val="20"/>
          <w:szCs w:val="20"/>
        </w:rPr>
        <w:t xml:space="preserve"> data from Statistics Denmark.</w:t>
      </w:r>
    </w:p>
    <w:p w:rsidR="004F05A2" w:rsidRDefault="004F05A2">
      <w:pPr>
        <w:jc w:val="left"/>
        <w:rPr>
          <w:sz w:val="20"/>
          <w:szCs w:val="20"/>
        </w:rPr>
      </w:pPr>
      <w:r>
        <w:rPr>
          <w:sz w:val="20"/>
          <w:szCs w:val="20"/>
        </w:rPr>
        <w:br w:type="page"/>
      </w:r>
    </w:p>
    <w:p w:rsidR="00C81B1D" w:rsidRPr="0079357A" w:rsidRDefault="004F05A2" w:rsidP="004F05A2">
      <w:pPr>
        <w:pStyle w:val="Heading1"/>
        <w:rPr>
          <w:lang w:val="da-DK"/>
        </w:rPr>
      </w:pPr>
      <w:r w:rsidRPr="0079357A">
        <w:rPr>
          <w:lang w:val="da-DK"/>
        </w:rPr>
        <w:lastRenderedPageBreak/>
        <w:t>Bibliography</w:t>
      </w:r>
    </w:p>
    <w:p w:rsidR="00337781" w:rsidRDefault="000A4140" w:rsidP="00337781">
      <w:pPr>
        <w:pStyle w:val="Bibliography"/>
        <w:rPr>
          <w:noProof/>
        </w:rPr>
      </w:pPr>
      <w:r>
        <w:fldChar w:fldCharType="begin"/>
      </w:r>
      <w:r w:rsidR="00337781" w:rsidRPr="0079357A">
        <w:rPr>
          <w:lang w:val="da-DK"/>
        </w:rPr>
        <w:instrText xml:space="preserve"> BIBLIOGRAPHY  \l 2057 </w:instrText>
      </w:r>
      <w:r>
        <w:fldChar w:fldCharType="separate"/>
      </w:r>
      <w:r w:rsidR="00337781" w:rsidRPr="0079357A">
        <w:rPr>
          <w:noProof/>
          <w:lang w:val="da-DK"/>
        </w:rPr>
        <w:t xml:space="preserve">Akerlof, G., &amp; Kranton, R. (2010). </w:t>
      </w:r>
      <w:r w:rsidR="00337781">
        <w:rPr>
          <w:noProof/>
        </w:rPr>
        <w:t xml:space="preserve">Economics and Identity. </w:t>
      </w:r>
      <w:r w:rsidR="00337781">
        <w:rPr>
          <w:i/>
          <w:iCs/>
          <w:noProof/>
        </w:rPr>
        <w:t>The Quarterly Journal of Economics</w:t>
      </w:r>
      <w:r w:rsidR="00337781">
        <w:rPr>
          <w:noProof/>
        </w:rPr>
        <w:t xml:space="preserve"> , pp. 715 - 753.</w:t>
      </w:r>
    </w:p>
    <w:p w:rsidR="00337781" w:rsidRPr="00337781" w:rsidRDefault="00337781" w:rsidP="00337781"/>
    <w:p w:rsidR="00337781" w:rsidRDefault="00337781" w:rsidP="00337781">
      <w:pPr>
        <w:pStyle w:val="Bibliography"/>
        <w:rPr>
          <w:noProof/>
        </w:rPr>
      </w:pPr>
      <w:r>
        <w:rPr>
          <w:noProof/>
        </w:rPr>
        <w:t xml:space="preserve">Bell, B., Bindler, A., &amp; Machin, S. (2018). Crime Scars: Recessions and the Making of Career Criminals. </w:t>
      </w:r>
      <w:r>
        <w:rPr>
          <w:i/>
          <w:iCs/>
          <w:noProof/>
        </w:rPr>
        <w:t>Review of Economics and Statistics, Volume 100, Issue 3</w:t>
      </w:r>
      <w:r>
        <w:rPr>
          <w:noProof/>
        </w:rPr>
        <w:t xml:space="preserve"> , pp. 392 - 404.</w:t>
      </w:r>
    </w:p>
    <w:p w:rsidR="00337781" w:rsidRPr="00337781" w:rsidRDefault="00337781" w:rsidP="00337781"/>
    <w:p w:rsidR="00337781" w:rsidRDefault="00337781" w:rsidP="00337781">
      <w:pPr>
        <w:pStyle w:val="Bibliography"/>
        <w:rPr>
          <w:noProof/>
        </w:rPr>
      </w:pPr>
      <w:r>
        <w:rPr>
          <w:noProof/>
        </w:rPr>
        <w:t xml:space="preserve">Benson, P., Scales, P., Hamilton, S., &amp; Sesma, A. (2007). Positive Youth Development: Theory, Research and Applications. </w:t>
      </w:r>
      <w:r>
        <w:rPr>
          <w:i/>
          <w:iCs/>
          <w:noProof/>
        </w:rPr>
        <w:t>Handbook of Child Psychology</w:t>
      </w:r>
      <w:r>
        <w:rPr>
          <w:noProof/>
        </w:rPr>
        <w:t xml:space="preserve"> .</w:t>
      </w:r>
    </w:p>
    <w:p w:rsidR="00337781" w:rsidRPr="00337781" w:rsidRDefault="00337781" w:rsidP="00337781"/>
    <w:p w:rsidR="00337781" w:rsidRDefault="00337781" w:rsidP="00337781">
      <w:pPr>
        <w:pStyle w:val="Bibliography"/>
        <w:rPr>
          <w:noProof/>
        </w:rPr>
      </w:pPr>
      <w:r>
        <w:rPr>
          <w:noProof/>
        </w:rPr>
        <w:t xml:space="preserve">Bruner, J. (1993). </w:t>
      </w:r>
      <w:r>
        <w:rPr>
          <w:i/>
          <w:iCs/>
          <w:noProof/>
        </w:rPr>
        <w:t>Acts of Meaning.</w:t>
      </w:r>
      <w:r>
        <w:rPr>
          <w:noProof/>
        </w:rPr>
        <w:t xml:space="preserve"> Harvard University Press.</w:t>
      </w:r>
    </w:p>
    <w:p w:rsidR="00337781" w:rsidRPr="00337781" w:rsidRDefault="00337781" w:rsidP="00337781"/>
    <w:p w:rsidR="00337781" w:rsidRDefault="00337781" w:rsidP="00337781">
      <w:pPr>
        <w:pStyle w:val="Bibliography"/>
        <w:rPr>
          <w:noProof/>
        </w:rPr>
      </w:pPr>
      <w:r>
        <w:rPr>
          <w:noProof/>
        </w:rPr>
        <w:t xml:space="preserve">Caliendo, M., &amp; Schmidl, R. (2016). Youth Unemployment and Active Labor Market Policies in Europe. </w:t>
      </w:r>
      <w:r>
        <w:rPr>
          <w:i/>
          <w:iCs/>
          <w:noProof/>
        </w:rPr>
        <w:t>IZA Journal of Labor Policy, Volume 5, Issue 1</w:t>
      </w:r>
      <w:r>
        <w:rPr>
          <w:noProof/>
        </w:rPr>
        <w:t xml:space="preserve"> , pp. 1 - 30.</w:t>
      </w:r>
    </w:p>
    <w:p w:rsidR="00337781" w:rsidRPr="00337781" w:rsidRDefault="00337781" w:rsidP="00337781"/>
    <w:p w:rsidR="00337781" w:rsidRDefault="00337781" w:rsidP="00337781">
      <w:pPr>
        <w:pStyle w:val="Bibliography"/>
        <w:rPr>
          <w:noProof/>
        </w:rPr>
      </w:pPr>
      <w:r>
        <w:rPr>
          <w:noProof/>
        </w:rPr>
        <w:t xml:space="preserve">Card, D., Kluve, J., &amp; Weber, A. (2015). Active Labour Market Policy Evaluations: A Meta-Analysis. </w:t>
      </w:r>
      <w:r>
        <w:rPr>
          <w:i/>
          <w:iCs/>
          <w:noProof/>
        </w:rPr>
        <w:t>NBER Working Paper Series, Working Paper 16173</w:t>
      </w:r>
      <w:r>
        <w:rPr>
          <w:noProof/>
        </w:rPr>
        <w:t xml:space="preserve"> , pp. 1 - 48.</w:t>
      </w:r>
    </w:p>
    <w:p w:rsidR="00337781" w:rsidRPr="00337781" w:rsidRDefault="00337781" w:rsidP="00337781"/>
    <w:p w:rsidR="00337781" w:rsidRDefault="00337781" w:rsidP="00337781">
      <w:pPr>
        <w:pStyle w:val="Bibliography"/>
        <w:rPr>
          <w:noProof/>
        </w:rPr>
      </w:pPr>
      <w:r>
        <w:rPr>
          <w:noProof/>
        </w:rPr>
        <w:t xml:space="preserve">Crepon, B., &amp; van den Berg, G. (2016). Active Labour Market Policies. </w:t>
      </w:r>
      <w:r>
        <w:rPr>
          <w:i/>
          <w:iCs/>
          <w:noProof/>
        </w:rPr>
        <w:t>Annual Review of Economics, Volume 8</w:t>
      </w:r>
      <w:r>
        <w:rPr>
          <w:noProof/>
        </w:rPr>
        <w:t xml:space="preserve"> , pp. 521 - 546.</w:t>
      </w:r>
    </w:p>
    <w:p w:rsidR="00337781" w:rsidRPr="00337781" w:rsidRDefault="00337781" w:rsidP="00337781"/>
    <w:p w:rsidR="00337781" w:rsidRDefault="00337781" w:rsidP="00337781">
      <w:pPr>
        <w:pStyle w:val="Bibliography"/>
        <w:rPr>
          <w:noProof/>
        </w:rPr>
      </w:pPr>
      <w:r>
        <w:rPr>
          <w:noProof/>
        </w:rPr>
        <w:t xml:space="preserve">Daly, M., &amp; Delaney, L. (2013). The Scarring Effect of Unemployment Throughout Adulthood on Psychological Distress at age 50. </w:t>
      </w:r>
      <w:r>
        <w:rPr>
          <w:i/>
          <w:iCs/>
          <w:noProof/>
        </w:rPr>
        <w:t>Social Science &amp; Medicine, Volume 80</w:t>
      </w:r>
      <w:r>
        <w:rPr>
          <w:noProof/>
        </w:rPr>
        <w:t xml:space="preserve"> , pp. 19 - 23.</w:t>
      </w:r>
    </w:p>
    <w:p w:rsidR="00337781" w:rsidRPr="00337781" w:rsidRDefault="00337781" w:rsidP="00337781"/>
    <w:p w:rsidR="00337781" w:rsidRDefault="00337781" w:rsidP="00337781">
      <w:pPr>
        <w:pStyle w:val="Bibliography"/>
        <w:rPr>
          <w:noProof/>
        </w:rPr>
      </w:pPr>
      <w:r>
        <w:rPr>
          <w:noProof/>
        </w:rPr>
        <w:t xml:space="preserve">Foucault, M. (1997). Technologies of the Self. In M. Foucault, &amp; P. Rabinow, </w:t>
      </w:r>
      <w:r>
        <w:rPr>
          <w:i/>
          <w:iCs/>
          <w:noProof/>
        </w:rPr>
        <w:t>Ethics: subjectivity and truth.</w:t>
      </w:r>
      <w:r>
        <w:rPr>
          <w:noProof/>
        </w:rPr>
        <w:t xml:space="preserve"> New York: WW Norton.</w:t>
      </w:r>
    </w:p>
    <w:p w:rsidR="00337781" w:rsidRPr="00337781" w:rsidRDefault="00337781" w:rsidP="00337781"/>
    <w:p w:rsidR="00337781" w:rsidRDefault="00337781" w:rsidP="00337781">
      <w:pPr>
        <w:pStyle w:val="Bibliography"/>
        <w:rPr>
          <w:noProof/>
        </w:rPr>
      </w:pPr>
      <w:r>
        <w:rPr>
          <w:noProof/>
        </w:rPr>
        <w:t xml:space="preserve">Gregg, P., &amp; Tominey, E. (2005). The Wage Scar From Male Youth Unemployment. </w:t>
      </w:r>
      <w:r>
        <w:rPr>
          <w:i/>
          <w:iCs/>
          <w:noProof/>
        </w:rPr>
        <w:t>Labour Economics, Volume 12, Issue 4</w:t>
      </w:r>
      <w:r>
        <w:rPr>
          <w:noProof/>
        </w:rPr>
        <w:t xml:space="preserve"> , pp. 487 - 509.</w:t>
      </w:r>
    </w:p>
    <w:p w:rsidR="00337781" w:rsidRPr="00337781" w:rsidRDefault="00337781" w:rsidP="00337781"/>
    <w:p w:rsidR="00337781" w:rsidRDefault="00337781" w:rsidP="00337781">
      <w:pPr>
        <w:pStyle w:val="Bibliography"/>
        <w:rPr>
          <w:noProof/>
        </w:rPr>
      </w:pPr>
      <w:r>
        <w:rPr>
          <w:noProof/>
        </w:rPr>
        <w:t xml:space="preserve">Landersø, R., &amp; Heckman, J. (2016). The Scandanavian Fantasy: The Sources of Intergenerational Mobility in Denmark and the US. </w:t>
      </w:r>
      <w:r>
        <w:rPr>
          <w:i/>
          <w:iCs/>
          <w:noProof/>
        </w:rPr>
        <w:t>The Scandinavian Journal of Economics, Volume 119, Issue 1</w:t>
      </w:r>
      <w:r>
        <w:rPr>
          <w:noProof/>
        </w:rPr>
        <w:t xml:space="preserve"> , pp. 178 - 230.</w:t>
      </w:r>
    </w:p>
    <w:p w:rsidR="00337781" w:rsidRPr="00337781" w:rsidRDefault="00337781" w:rsidP="00337781"/>
    <w:p w:rsidR="00337781" w:rsidRDefault="00337781" w:rsidP="00337781">
      <w:pPr>
        <w:pStyle w:val="Bibliography"/>
        <w:rPr>
          <w:noProof/>
        </w:rPr>
      </w:pPr>
      <w:r>
        <w:rPr>
          <w:noProof/>
        </w:rPr>
        <w:t xml:space="preserve">Nissen, M. (2012). </w:t>
      </w:r>
      <w:r>
        <w:rPr>
          <w:i/>
          <w:iCs/>
          <w:noProof/>
        </w:rPr>
        <w:t>The Subjectivity of Participation: Articulating Social Work Practice with Youth in Copenhagen.</w:t>
      </w:r>
      <w:r>
        <w:rPr>
          <w:noProof/>
        </w:rPr>
        <w:t xml:space="preserve"> Palgrave Macmillan.</w:t>
      </w:r>
    </w:p>
    <w:p w:rsidR="00337781" w:rsidRPr="00337781" w:rsidRDefault="00337781" w:rsidP="00337781"/>
    <w:p w:rsidR="00337781" w:rsidRDefault="00337781" w:rsidP="00337781">
      <w:pPr>
        <w:pStyle w:val="Bibliography"/>
        <w:rPr>
          <w:noProof/>
        </w:rPr>
      </w:pPr>
      <w:r>
        <w:rPr>
          <w:noProof/>
        </w:rPr>
        <w:t xml:space="preserve">Oreopoulos, P., von Wachter, T., &amp; Heisz, A. (2012). The Short- and Long-Term Career Effects of Graduating in a Recession. </w:t>
      </w:r>
      <w:r>
        <w:rPr>
          <w:i/>
          <w:iCs/>
          <w:noProof/>
        </w:rPr>
        <w:t>American Economic Journal: Applied Economcs, Vol.4, No. 1</w:t>
      </w:r>
      <w:r>
        <w:rPr>
          <w:noProof/>
        </w:rPr>
        <w:t xml:space="preserve"> , pp. 1 - 29.</w:t>
      </w:r>
    </w:p>
    <w:p w:rsidR="00337781" w:rsidRPr="00337781" w:rsidRDefault="00337781" w:rsidP="00337781"/>
    <w:p w:rsidR="00337781" w:rsidRDefault="00337781" w:rsidP="00337781">
      <w:pPr>
        <w:pStyle w:val="Bibliography"/>
        <w:rPr>
          <w:noProof/>
        </w:rPr>
      </w:pPr>
      <w:r>
        <w:rPr>
          <w:noProof/>
        </w:rPr>
        <w:t xml:space="preserve">Romano, J., &amp; Wolf, M. (2011). Exact and Approximate Stepdown Methods for Multiple Hypothesis Testing. </w:t>
      </w:r>
      <w:r>
        <w:rPr>
          <w:i/>
          <w:iCs/>
          <w:noProof/>
        </w:rPr>
        <w:t>Journal of the American Statistical Association</w:t>
      </w:r>
      <w:r>
        <w:rPr>
          <w:noProof/>
        </w:rPr>
        <w:t xml:space="preserve"> , Volume 100, Issue 469, pp. 94-108.</w:t>
      </w:r>
    </w:p>
    <w:p w:rsidR="00337781" w:rsidRPr="00337781" w:rsidRDefault="00337781" w:rsidP="00337781"/>
    <w:p w:rsidR="00337781" w:rsidRDefault="00337781" w:rsidP="00337781">
      <w:pPr>
        <w:pStyle w:val="Bibliography"/>
        <w:rPr>
          <w:noProof/>
        </w:rPr>
      </w:pPr>
      <w:r>
        <w:rPr>
          <w:noProof/>
        </w:rPr>
        <w:t xml:space="preserve">Romano, J., &amp; Wolf, M. (2005). Stepwise Multiple Testing as Formalized Data Snooping. </w:t>
      </w:r>
      <w:r>
        <w:rPr>
          <w:i/>
          <w:iCs/>
          <w:noProof/>
        </w:rPr>
        <w:t>Econometrica</w:t>
      </w:r>
      <w:r>
        <w:rPr>
          <w:noProof/>
        </w:rPr>
        <w:t xml:space="preserve"> , Volume 73, Issue 4, pp. 1237-1282.</w:t>
      </w:r>
    </w:p>
    <w:p w:rsidR="00337781" w:rsidRPr="00337781" w:rsidRDefault="00337781" w:rsidP="00337781"/>
    <w:p w:rsidR="00337781" w:rsidRDefault="00337781" w:rsidP="00337781">
      <w:pPr>
        <w:pStyle w:val="Bibliography"/>
        <w:rPr>
          <w:noProof/>
        </w:rPr>
      </w:pPr>
      <w:r>
        <w:rPr>
          <w:noProof/>
        </w:rPr>
        <w:t xml:space="preserve">Rose, N. (1996). </w:t>
      </w:r>
      <w:r>
        <w:rPr>
          <w:i/>
          <w:iCs/>
          <w:noProof/>
        </w:rPr>
        <w:t>Iventing our Selves.</w:t>
      </w:r>
      <w:r>
        <w:rPr>
          <w:noProof/>
        </w:rPr>
        <w:t xml:space="preserve"> Cambridge University Press.</w:t>
      </w:r>
    </w:p>
    <w:p w:rsidR="00337781" w:rsidRPr="00337781" w:rsidRDefault="00337781" w:rsidP="00337781"/>
    <w:p w:rsidR="00337781" w:rsidRDefault="00337781" w:rsidP="00337781">
      <w:pPr>
        <w:pStyle w:val="Bibliography"/>
        <w:rPr>
          <w:noProof/>
        </w:rPr>
      </w:pPr>
      <w:r w:rsidRPr="0079357A">
        <w:rPr>
          <w:noProof/>
          <w:lang w:val="da-DK"/>
        </w:rPr>
        <w:t xml:space="preserve">Schultz-Nielsen, M. L., &amp; Skaksen, J. R. (2016). Den Økonomiske gevinst Ved at Inkludere de Udsatte Unge. </w:t>
      </w:r>
      <w:r>
        <w:rPr>
          <w:i/>
          <w:iCs/>
          <w:noProof/>
        </w:rPr>
        <w:t>Rockwool Fondens Forskningsenhed Arbejdspapir nr. 39</w:t>
      </w:r>
      <w:r>
        <w:rPr>
          <w:noProof/>
        </w:rPr>
        <w:t xml:space="preserve"> , pp. 1 - 14.</w:t>
      </w:r>
    </w:p>
    <w:p w:rsidR="00337781" w:rsidRPr="00337781" w:rsidRDefault="00337781" w:rsidP="00337781"/>
    <w:p w:rsidR="00337781" w:rsidRDefault="00337781" w:rsidP="00337781">
      <w:pPr>
        <w:pStyle w:val="Bibliography"/>
        <w:rPr>
          <w:noProof/>
        </w:rPr>
      </w:pPr>
      <w:r>
        <w:rPr>
          <w:noProof/>
        </w:rPr>
        <w:t xml:space="preserve">Vygotsky, L. (1980). </w:t>
      </w:r>
      <w:r>
        <w:rPr>
          <w:i/>
          <w:iCs/>
          <w:noProof/>
        </w:rPr>
        <w:t>Mind in Society: Development of Higher Psychological Processes.</w:t>
      </w:r>
      <w:r>
        <w:rPr>
          <w:noProof/>
        </w:rPr>
        <w:t xml:space="preserve"> Harvard University Press.</w:t>
      </w:r>
    </w:p>
    <w:p w:rsidR="00337781" w:rsidRPr="00337781" w:rsidRDefault="00337781" w:rsidP="00337781"/>
    <w:p w:rsidR="00337781" w:rsidRDefault="00337781" w:rsidP="00337781">
      <w:pPr>
        <w:pStyle w:val="Bibliography"/>
        <w:rPr>
          <w:noProof/>
        </w:rPr>
      </w:pPr>
      <w:r>
        <w:rPr>
          <w:noProof/>
        </w:rPr>
        <w:t xml:space="preserve">White, M. (2007). </w:t>
      </w:r>
      <w:r>
        <w:rPr>
          <w:i/>
          <w:iCs/>
          <w:noProof/>
        </w:rPr>
        <w:t>Maps of narrative practice.</w:t>
      </w:r>
      <w:r>
        <w:rPr>
          <w:noProof/>
        </w:rPr>
        <w:t xml:space="preserve"> New York: WW Norton &amp; Co.</w:t>
      </w:r>
    </w:p>
    <w:p w:rsidR="00337781" w:rsidRPr="00337781" w:rsidRDefault="00337781" w:rsidP="00337781"/>
    <w:p w:rsidR="00337781" w:rsidRDefault="00337781" w:rsidP="00337781">
      <w:pPr>
        <w:pStyle w:val="Bibliography"/>
        <w:rPr>
          <w:noProof/>
        </w:rPr>
      </w:pPr>
      <w:r>
        <w:rPr>
          <w:noProof/>
        </w:rPr>
        <w:t xml:space="preserve">White, M. (2003). Narrative Practice and Community Assignments. </w:t>
      </w:r>
      <w:r>
        <w:rPr>
          <w:i/>
          <w:iCs/>
          <w:noProof/>
        </w:rPr>
        <w:t>International Journal of Narrative Therapy &amp; Community Work</w:t>
      </w:r>
      <w:r>
        <w:rPr>
          <w:noProof/>
        </w:rPr>
        <w:t xml:space="preserve"> , pp. 17-55.</w:t>
      </w:r>
    </w:p>
    <w:p w:rsidR="004F05A2" w:rsidRPr="004F05A2" w:rsidRDefault="000A4140" w:rsidP="00337781">
      <w:r>
        <w:fldChar w:fldCharType="end"/>
      </w:r>
    </w:p>
    <w:sectPr w:rsidR="004F05A2" w:rsidRPr="004F05A2" w:rsidSect="00CD2A5E">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35" w:rsidRDefault="00702135" w:rsidP="00E35746">
      <w:r>
        <w:separator/>
      </w:r>
    </w:p>
  </w:endnote>
  <w:endnote w:type="continuationSeparator" w:id="0">
    <w:p w:rsidR="00702135" w:rsidRDefault="00702135" w:rsidP="00E357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326039"/>
      <w:docPartObj>
        <w:docPartGallery w:val="Page Numbers (Bottom of Page)"/>
        <w:docPartUnique/>
      </w:docPartObj>
    </w:sdtPr>
    <w:sdtEndPr>
      <w:rPr>
        <w:noProof/>
      </w:rPr>
    </w:sdtEndPr>
    <w:sdtContent>
      <w:p w:rsidR="002E5C42" w:rsidRDefault="002E5C42">
        <w:pPr>
          <w:pStyle w:val="Footer"/>
          <w:jc w:val="center"/>
        </w:pPr>
        <w:r>
          <w:rPr>
            <w:noProof/>
          </w:rPr>
          <w:fldChar w:fldCharType="begin"/>
        </w:r>
        <w:r>
          <w:rPr>
            <w:noProof/>
          </w:rPr>
          <w:instrText xml:space="preserve"> PAGE   \* MERGEFORMAT </w:instrText>
        </w:r>
        <w:r>
          <w:rPr>
            <w:noProof/>
          </w:rPr>
          <w:fldChar w:fldCharType="separate"/>
        </w:r>
        <w:r w:rsidR="003341D9">
          <w:rPr>
            <w:noProof/>
          </w:rPr>
          <w:t>15</w:t>
        </w:r>
        <w:r>
          <w:rPr>
            <w:noProof/>
          </w:rPr>
          <w:fldChar w:fldCharType="end"/>
        </w:r>
      </w:p>
    </w:sdtContent>
  </w:sdt>
  <w:p w:rsidR="002E5C42" w:rsidRDefault="002E5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35" w:rsidRDefault="00702135" w:rsidP="00E35746">
      <w:r>
        <w:separator/>
      </w:r>
    </w:p>
  </w:footnote>
  <w:footnote w:type="continuationSeparator" w:id="0">
    <w:p w:rsidR="00702135" w:rsidRDefault="00702135" w:rsidP="00E35746">
      <w:r>
        <w:continuationSeparator/>
      </w:r>
    </w:p>
  </w:footnote>
  <w:footnote w:id="1">
    <w:p w:rsidR="002E5C42" w:rsidRPr="00841ABF" w:rsidRDefault="002E5C42" w:rsidP="00841ABF">
      <w:pPr>
        <w:rPr>
          <w:sz w:val="18"/>
          <w:lang w:val="en-US"/>
        </w:rPr>
      </w:pPr>
      <w:r w:rsidRPr="002B25CB">
        <w:rPr>
          <w:rStyle w:val="FootnoteReference"/>
        </w:rPr>
        <w:footnoteRef/>
      </w:r>
      <w:r w:rsidRPr="002B25CB">
        <w:t xml:space="preserve"> </w:t>
      </w:r>
      <w:r w:rsidRPr="00FB1574">
        <w:rPr>
          <w:sz w:val="18"/>
          <w:lang w:val="en-US"/>
        </w:rPr>
        <w:t xml:space="preserve">These entail willingness to offer internship places, participation in company network meetings and in match events with the youth as well as allocation of a company contact person for each intern. </w:t>
      </w:r>
    </w:p>
  </w:footnote>
  <w:footnote w:id="2">
    <w:p w:rsidR="002E5C42" w:rsidRPr="00841ABF" w:rsidRDefault="002E5C42">
      <w:pPr>
        <w:pStyle w:val="FootnoteText"/>
        <w:rPr>
          <w:lang w:val="en-GB"/>
        </w:rPr>
      </w:pPr>
      <w:r w:rsidRPr="00841ABF">
        <w:rPr>
          <w:rStyle w:val="FootnoteReference"/>
          <w:sz w:val="20"/>
        </w:rPr>
        <w:footnoteRef/>
      </w:r>
      <w:r w:rsidRPr="00841ABF">
        <w:rPr>
          <w:sz w:val="20"/>
        </w:rPr>
        <w:t xml:space="preserve"> </w:t>
      </w:r>
      <w:r w:rsidRPr="00C40368">
        <w:rPr>
          <w:sz w:val="18"/>
        </w:rPr>
        <w:t>See for instance</w:t>
      </w:r>
      <w:r w:rsidRPr="00C40368">
        <w:rPr>
          <w:noProof/>
          <w:sz w:val="18"/>
        </w:rPr>
        <w:t xml:space="preserve"> Benson, Scales, Hamilton, &amp; Sesma (2007), Vygotsky (1980), Bruner (1993), </w:t>
      </w:r>
      <w:r>
        <w:rPr>
          <w:noProof/>
          <w:sz w:val="18"/>
        </w:rPr>
        <w:t>and</w:t>
      </w:r>
      <w:r w:rsidRPr="00C40368">
        <w:rPr>
          <w:noProof/>
          <w:sz w:val="18"/>
        </w:rPr>
        <w:t xml:space="preserve"> Nissen (2012)</w:t>
      </w:r>
      <w:r>
        <w:rPr>
          <w:noProof/>
          <w:sz w:val="18"/>
        </w:rPr>
        <w:t>.</w:t>
      </w:r>
    </w:p>
  </w:footnote>
  <w:footnote w:id="3">
    <w:p w:rsidR="002E5C42" w:rsidRPr="0002731A" w:rsidRDefault="002E5C42" w:rsidP="004A66BE">
      <w:pPr>
        <w:pStyle w:val="FootnoteText"/>
      </w:pPr>
      <w:r>
        <w:rPr>
          <w:rStyle w:val="FootnoteReference"/>
        </w:rPr>
        <w:footnoteRef/>
      </w:r>
      <w:r>
        <w:t xml:space="preserve"> </w:t>
      </w:r>
      <w:r w:rsidRPr="00FB1574">
        <w:rPr>
          <w:sz w:val="18"/>
        </w:rPr>
        <w:t>To get the more challenged youth onboarded, initial presence may sometimes be only 2 hours per week.</w:t>
      </w:r>
    </w:p>
  </w:footnote>
  <w:footnote w:id="4">
    <w:p w:rsidR="002E5C42" w:rsidRPr="00841ABF" w:rsidRDefault="002E5C42">
      <w:pPr>
        <w:pStyle w:val="FootnoteText"/>
        <w:rPr>
          <w:lang w:val="en-GB"/>
        </w:rPr>
      </w:pPr>
      <w:r w:rsidRPr="00841ABF">
        <w:rPr>
          <w:rStyle w:val="FootnoteReference"/>
          <w:sz w:val="20"/>
        </w:rPr>
        <w:footnoteRef/>
      </w:r>
      <w:r w:rsidRPr="00841ABF">
        <w:rPr>
          <w:sz w:val="20"/>
        </w:rPr>
        <w:t xml:space="preserve"> </w:t>
      </w:r>
      <w:r w:rsidRPr="00C40368">
        <w:rPr>
          <w:rFonts w:ascii="Calibri" w:eastAsia="Times New Roman" w:hAnsi="Calibri" w:cs="Calibri"/>
          <w:noProof/>
          <w:sz w:val="18"/>
        </w:rPr>
        <w:t xml:space="preserve">See for instance White (2003), White (2007), or for a theoretical background Rose (1996) or </w:t>
      </w:r>
      <w:r w:rsidRPr="00C40368">
        <w:rPr>
          <w:rFonts w:ascii="Calibri" w:eastAsia="Times New Roman" w:hAnsi="Calibri" w:cs="Calibri"/>
          <w:noProof/>
          <w:sz w:val="18"/>
          <w:lang w:val="en-GB"/>
        </w:rPr>
        <w:t>Foucault (1997)</w:t>
      </w:r>
    </w:p>
  </w:footnote>
  <w:footnote w:id="5">
    <w:p w:rsidR="002E5C42" w:rsidRPr="006942C2" w:rsidRDefault="002E5C42">
      <w:pPr>
        <w:pStyle w:val="FootnoteText"/>
      </w:pPr>
      <w:r>
        <w:rPr>
          <w:rStyle w:val="FootnoteReference"/>
        </w:rPr>
        <w:footnoteRef/>
      </w:r>
      <w:r w:rsidRPr="00EF297C">
        <w:t xml:space="preserve"> </w:t>
      </w:r>
      <w:proofErr w:type="spellStart"/>
      <w:r w:rsidRPr="00FB1574">
        <w:rPr>
          <w:sz w:val="18"/>
        </w:rPr>
        <w:t>Lov</w:t>
      </w:r>
      <w:proofErr w:type="spellEnd"/>
      <w:r w:rsidRPr="00FB1574">
        <w:rPr>
          <w:sz w:val="18"/>
        </w:rPr>
        <w:t xml:space="preserve"> </w:t>
      </w:r>
      <w:proofErr w:type="spellStart"/>
      <w:r w:rsidRPr="00FB1574">
        <w:rPr>
          <w:sz w:val="18"/>
        </w:rPr>
        <w:t>om</w:t>
      </w:r>
      <w:proofErr w:type="spellEnd"/>
      <w:r w:rsidRPr="00FB1574">
        <w:rPr>
          <w:sz w:val="18"/>
        </w:rPr>
        <w:t xml:space="preserve"> en </w:t>
      </w:r>
      <w:proofErr w:type="spellStart"/>
      <w:r w:rsidRPr="00FB1574">
        <w:rPr>
          <w:sz w:val="18"/>
        </w:rPr>
        <w:t>aktiv</w:t>
      </w:r>
      <w:proofErr w:type="spellEnd"/>
      <w:r w:rsidRPr="00FB1574">
        <w:rPr>
          <w:sz w:val="18"/>
        </w:rPr>
        <w:t xml:space="preserve"> </w:t>
      </w:r>
      <w:proofErr w:type="spellStart"/>
      <w:r w:rsidRPr="00FB1574">
        <w:rPr>
          <w:sz w:val="18"/>
        </w:rPr>
        <w:t>beskæftigelsespolitik</w:t>
      </w:r>
      <w:proofErr w:type="spellEnd"/>
      <w:r w:rsidRPr="00FB1574">
        <w:rPr>
          <w:sz w:val="18"/>
        </w:rPr>
        <w:t xml:space="preserve"> (LAB) is a Danish law, with a primary goal of contributing to a well-functioning labour market. The target groups of LAB are people without a stable affiliation to the labour market, and it is described in the second paragraph of the law. There are 14 target groups in total and each of these are referred to by combining the paragraph number with the target group number, e.g. LAB category 2.12 is the 12</w:t>
      </w:r>
      <w:r w:rsidRPr="00FB1574">
        <w:rPr>
          <w:sz w:val="18"/>
          <w:vertAlign w:val="superscript"/>
        </w:rPr>
        <w:t>th</w:t>
      </w:r>
      <w:r w:rsidRPr="00FB1574">
        <w:rPr>
          <w:sz w:val="18"/>
        </w:rPr>
        <w:t xml:space="preserve"> target group described. For more</w:t>
      </w:r>
      <w:r>
        <w:rPr>
          <w:sz w:val="18"/>
        </w:rPr>
        <w:t>,</w:t>
      </w:r>
      <w:r w:rsidRPr="00FB1574">
        <w:rPr>
          <w:sz w:val="18"/>
        </w:rPr>
        <w:t xml:space="preserve"> see</w:t>
      </w:r>
      <w:r>
        <w:rPr>
          <w:sz w:val="18"/>
        </w:rPr>
        <w:t xml:space="preserve"> </w:t>
      </w:r>
      <w:r w:rsidRPr="00FB1574">
        <w:rPr>
          <w:sz w:val="18"/>
        </w:rPr>
        <w:t>http://www.socialjura.dk/content-storage/love/love/beskaeftigelsesindsatslov/</w:t>
      </w:r>
    </w:p>
  </w:footnote>
  <w:footnote w:id="6">
    <w:p w:rsidR="002E5C42" w:rsidRPr="00355BAE" w:rsidRDefault="002E5C42" w:rsidP="00EE353D">
      <w:pPr>
        <w:rPr>
          <w:sz w:val="18"/>
          <w:szCs w:val="18"/>
          <w:lang w:val="en-US"/>
        </w:rPr>
      </w:pPr>
      <w:r w:rsidRPr="00355BAE">
        <w:rPr>
          <w:rStyle w:val="FootnoteReference"/>
          <w:sz w:val="18"/>
          <w:szCs w:val="18"/>
        </w:rPr>
        <w:footnoteRef/>
      </w:r>
      <w:r w:rsidRPr="00355BAE">
        <w:rPr>
          <w:sz w:val="18"/>
          <w:szCs w:val="18"/>
        </w:rPr>
        <w:t xml:space="preserve"> </w:t>
      </w:r>
      <w:r>
        <w:rPr>
          <w:sz w:val="18"/>
          <w:szCs w:val="18"/>
        </w:rPr>
        <w:t xml:space="preserve">These youth are assigned LAB categories 2.12 and 2.13. For youth </w:t>
      </w:r>
      <w:r w:rsidRPr="00355BAE">
        <w:rPr>
          <w:sz w:val="18"/>
          <w:szCs w:val="18"/>
          <w:lang w:val="en-US"/>
        </w:rPr>
        <w:t xml:space="preserve">with a qualifying degree (LAB </w:t>
      </w:r>
      <w:r>
        <w:rPr>
          <w:sz w:val="18"/>
          <w:szCs w:val="18"/>
          <w:lang w:val="en-US"/>
        </w:rPr>
        <w:t xml:space="preserve">categories </w:t>
      </w:r>
      <w:r w:rsidRPr="00355BAE">
        <w:rPr>
          <w:sz w:val="18"/>
          <w:szCs w:val="18"/>
          <w:lang w:val="en-US"/>
        </w:rPr>
        <w:t>2.2 and 2.3)</w:t>
      </w:r>
      <w:r>
        <w:rPr>
          <w:sz w:val="18"/>
          <w:szCs w:val="18"/>
          <w:lang w:val="en-US"/>
        </w:rPr>
        <w:t>,</w:t>
      </w:r>
      <w:r w:rsidRPr="00355BAE">
        <w:rPr>
          <w:sz w:val="18"/>
          <w:szCs w:val="18"/>
          <w:lang w:val="en-US"/>
        </w:rPr>
        <w:t xml:space="preserve"> the end goal is employment.</w:t>
      </w:r>
      <w:r>
        <w:rPr>
          <w:sz w:val="18"/>
          <w:szCs w:val="18"/>
          <w:lang w:val="en-US"/>
        </w:rPr>
        <w:t xml:space="preserve"> A fuller description of these categories is contained in Section 3 below.</w:t>
      </w:r>
      <w:r w:rsidRPr="00355BAE">
        <w:rPr>
          <w:sz w:val="18"/>
          <w:szCs w:val="18"/>
          <w:lang w:val="en-US"/>
        </w:rPr>
        <w:t xml:space="preserve"> </w:t>
      </w:r>
    </w:p>
    <w:p w:rsidR="002E5C42" w:rsidRPr="00355BAE" w:rsidRDefault="002E5C42" w:rsidP="00EE353D">
      <w:pPr>
        <w:pStyle w:val="FootnoteText"/>
        <w:rPr>
          <w:sz w:val="18"/>
          <w:szCs w:val="18"/>
        </w:rPr>
      </w:pPr>
    </w:p>
  </w:footnote>
  <w:footnote w:id="7">
    <w:p w:rsidR="002E5C42" w:rsidRPr="00CB14BF" w:rsidRDefault="002E5C42">
      <w:pPr>
        <w:pStyle w:val="FootnoteText"/>
      </w:pPr>
      <w:r>
        <w:rPr>
          <w:rStyle w:val="FootnoteReference"/>
        </w:rPr>
        <w:footnoteRef/>
      </w:r>
      <w:r>
        <w:t xml:space="preserve"> </w:t>
      </w:r>
      <w:r>
        <w:rPr>
          <w:sz w:val="18"/>
          <w:szCs w:val="18"/>
        </w:rPr>
        <w:t>LAB category 2.12 defines youth as “Ready for education”, meaning that they are considered ready to start an education within one year and will receive an education-help stipend.</w:t>
      </w:r>
    </w:p>
  </w:footnote>
  <w:footnote w:id="8">
    <w:p w:rsidR="002E5C42" w:rsidRPr="00CB14BF" w:rsidRDefault="002E5C42">
      <w:pPr>
        <w:pStyle w:val="FootnoteText"/>
      </w:pPr>
      <w:r>
        <w:rPr>
          <w:rStyle w:val="FootnoteReference"/>
        </w:rPr>
        <w:footnoteRef/>
      </w:r>
      <w:r>
        <w:t xml:space="preserve"> </w:t>
      </w:r>
      <w:r>
        <w:rPr>
          <w:sz w:val="18"/>
          <w:szCs w:val="18"/>
        </w:rPr>
        <w:t>LAB category 2.13 defines youth as “Ready for activity”, meaning that they are classified as needing extra support in order to prepare for an education, and may not be ready within 12 months. Youth in this category receive the education-help stipend and, when they participate in municipal active measures, an activity supplement.</w:t>
      </w:r>
    </w:p>
  </w:footnote>
  <w:footnote w:id="9">
    <w:p w:rsidR="002E5C42" w:rsidRPr="00CB14BF" w:rsidRDefault="002E5C42">
      <w:pPr>
        <w:pStyle w:val="FootnoteText"/>
      </w:pPr>
      <w:r>
        <w:rPr>
          <w:rStyle w:val="FootnoteReference"/>
        </w:rPr>
        <w:footnoteRef/>
      </w:r>
      <w:r>
        <w:t xml:space="preserve"> </w:t>
      </w:r>
      <w:r>
        <w:rPr>
          <w:sz w:val="18"/>
          <w:szCs w:val="18"/>
        </w:rPr>
        <w:t>LAB category 2.2 defines youth as “job ready”. They already have a qualifying degree (either a vocational education or higher education) and</w:t>
      </w:r>
      <w:r>
        <w:rPr>
          <w:sz w:val="20"/>
          <w:szCs w:val="20"/>
        </w:rPr>
        <w:t xml:space="preserve"> </w:t>
      </w:r>
      <w:r>
        <w:rPr>
          <w:sz w:val="18"/>
          <w:szCs w:val="18"/>
        </w:rPr>
        <w:t xml:space="preserve">are assessed ready to start a job within 3 months. They receive social assistance, the value of which was 17 percent higher than that of the education help stipend in 2017. The value of both benefit types varies depending on age, whether one lives with parents or not, whether one has children or any mental disorders. For current rates see </w:t>
      </w:r>
      <w:hyperlink r:id="rId1" w:history="1">
        <w:r>
          <w:rPr>
            <w:rStyle w:val="Hyperlink"/>
            <w:sz w:val="18"/>
            <w:szCs w:val="18"/>
          </w:rPr>
          <w:t>https://www.borger.dk/arbejde-dagpenge-ferie</w:t>
        </w:r>
      </w:hyperlink>
    </w:p>
  </w:footnote>
  <w:footnote w:id="10">
    <w:p w:rsidR="002E5C42" w:rsidRPr="00CB14BF" w:rsidRDefault="002E5C42">
      <w:pPr>
        <w:pStyle w:val="FootnoteText"/>
      </w:pPr>
      <w:r>
        <w:rPr>
          <w:rStyle w:val="FootnoteReference"/>
        </w:rPr>
        <w:footnoteRef/>
      </w:r>
      <w:r>
        <w:t xml:space="preserve"> </w:t>
      </w:r>
      <w:r>
        <w:rPr>
          <w:sz w:val="18"/>
          <w:szCs w:val="18"/>
        </w:rPr>
        <w:t>LAB category 2.3 defines youth as “Ready for activity”. They have a qualifying degree (either a vocational education or higher education), but are assessed to need more than 3 months to prepare for a job due to e.g. complex social or health related problems. In this category, youth receive social assistance and, when they participate in municipal active measures, an activity supplement.</w:t>
      </w:r>
    </w:p>
  </w:footnote>
  <w:footnote w:id="11">
    <w:p w:rsidR="002E5C42" w:rsidRPr="00850B6F" w:rsidRDefault="002E5C42" w:rsidP="002D64D1">
      <w:pPr>
        <w:rPr>
          <w:lang w:val="en-US"/>
        </w:rPr>
      </w:pPr>
      <w:r w:rsidRPr="00560BA6">
        <w:rPr>
          <w:rStyle w:val="FootnoteReference"/>
          <w:sz w:val="20"/>
          <w:szCs w:val="20"/>
        </w:rPr>
        <w:footnoteRef/>
      </w:r>
      <w:r w:rsidRPr="00560BA6">
        <w:rPr>
          <w:sz w:val="20"/>
          <w:szCs w:val="20"/>
        </w:rPr>
        <w:t xml:space="preserve"> </w:t>
      </w:r>
      <w:r w:rsidRPr="002D64D1">
        <w:rPr>
          <w:sz w:val="18"/>
          <w:szCs w:val="18"/>
          <w:lang w:val="en-US"/>
        </w:rPr>
        <w:t xml:space="preserve">Youth can be exempted from participating in active measures if their caseworker </w:t>
      </w:r>
      <w:r>
        <w:rPr>
          <w:sz w:val="18"/>
          <w:szCs w:val="18"/>
          <w:lang w:val="en-US"/>
        </w:rPr>
        <w:t xml:space="preserve">determines </w:t>
      </w:r>
      <w:r w:rsidRPr="002D64D1">
        <w:rPr>
          <w:sz w:val="18"/>
          <w:szCs w:val="18"/>
          <w:lang w:val="en-US"/>
        </w:rPr>
        <w:t>they are too ill.</w:t>
      </w:r>
    </w:p>
    <w:p w:rsidR="002E5C42" w:rsidRPr="00560BA6" w:rsidRDefault="002E5C42" w:rsidP="009F6F5F">
      <w:pPr>
        <w:pStyle w:val="FootnoteText"/>
        <w:jc w:val="left"/>
        <w:rPr>
          <w:sz w:val="20"/>
          <w:szCs w:val="20"/>
        </w:rPr>
      </w:pPr>
      <w:r>
        <w:rPr>
          <w:sz w:val="18"/>
          <w:szCs w:val="18"/>
        </w:rPr>
        <w:t xml:space="preserve">Regulations governing this are </w:t>
      </w:r>
      <w:r w:rsidRPr="00FB1574">
        <w:rPr>
          <w:sz w:val="18"/>
          <w:szCs w:val="18"/>
        </w:rPr>
        <w:t xml:space="preserve">available from: </w:t>
      </w:r>
      <w:hyperlink r:id="rId2" w:history="1">
        <w:r w:rsidRPr="00FB1574">
          <w:rPr>
            <w:rStyle w:val="Hyperlink"/>
            <w:sz w:val="18"/>
            <w:szCs w:val="18"/>
          </w:rPr>
          <w:t>https://www.retsinformation.dk/Forms/R0710.aspx?id=184891</w:t>
        </w:r>
      </w:hyperlink>
      <w:r w:rsidRPr="00560BA6">
        <w:rPr>
          <w:sz w:val="20"/>
          <w:szCs w:val="20"/>
        </w:rPr>
        <w:t xml:space="preserve"> </w:t>
      </w:r>
    </w:p>
  </w:footnote>
  <w:footnote w:id="12">
    <w:p w:rsidR="002E5C42" w:rsidRPr="00CA1CE2" w:rsidRDefault="002E5C42" w:rsidP="0086770E">
      <w:pPr>
        <w:pStyle w:val="FootnoteText"/>
      </w:pPr>
      <w:r w:rsidRPr="00560BA6">
        <w:rPr>
          <w:rStyle w:val="FootnoteReference"/>
          <w:sz w:val="20"/>
          <w:szCs w:val="20"/>
        </w:rPr>
        <w:footnoteRef/>
      </w:r>
      <w:r w:rsidRPr="00560BA6">
        <w:rPr>
          <w:sz w:val="20"/>
          <w:szCs w:val="20"/>
        </w:rPr>
        <w:t xml:space="preserve"> </w:t>
      </w:r>
      <w:r w:rsidRPr="00FB1574">
        <w:rPr>
          <w:sz w:val="18"/>
          <w:szCs w:val="20"/>
        </w:rPr>
        <w:t>By actively participating in NExTWORK, the youth meet the governmental requirements for receiving social assistance. In NExTWORK, the actual demands on the individual youth will differ depending on his or her ability. Some start with a minimum attendance at the workplace of two hours per week, while others will be expected to have a regular attendance of 10 or 20 hours per week.</w:t>
      </w:r>
    </w:p>
  </w:footnote>
  <w:footnote w:id="13">
    <w:p w:rsidR="002E5C42" w:rsidRPr="0062513B" w:rsidRDefault="002E5C42">
      <w:pPr>
        <w:pStyle w:val="FootnoteText"/>
        <w:rPr>
          <w:lang w:val="en-GB"/>
        </w:rPr>
      </w:pPr>
      <w:r>
        <w:rPr>
          <w:rStyle w:val="FootnoteReference"/>
        </w:rPr>
        <w:footnoteRef/>
      </w:r>
      <w:r>
        <w:t xml:space="preserve"> </w:t>
      </w:r>
      <w:r w:rsidRPr="00FB1574">
        <w:rPr>
          <w:sz w:val="18"/>
          <w:szCs w:val="18"/>
          <w:lang w:val="en-GB"/>
        </w:rPr>
        <w:t>Unauthorised absence results in monetary sanctions through lowering the benefit payment for the month.</w:t>
      </w:r>
    </w:p>
  </w:footnote>
  <w:footnote w:id="14">
    <w:p w:rsidR="002E5C42" w:rsidRPr="003E2F1E" w:rsidRDefault="002E5C42" w:rsidP="00E2630C">
      <w:pPr>
        <w:pStyle w:val="FootnoteText"/>
        <w:rPr>
          <w:sz w:val="18"/>
          <w:szCs w:val="18"/>
          <w:lang w:val="en-IE"/>
        </w:rPr>
      </w:pPr>
      <w:r w:rsidRPr="003E2F1E">
        <w:rPr>
          <w:rStyle w:val="FootnoteReference"/>
          <w:sz w:val="18"/>
          <w:szCs w:val="18"/>
        </w:rPr>
        <w:footnoteRef/>
      </w:r>
      <w:r w:rsidRPr="003E2F1E">
        <w:rPr>
          <w:sz w:val="18"/>
          <w:szCs w:val="18"/>
        </w:rPr>
        <w:t xml:space="preserve"> </w:t>
      </w:r>
      <w:r w:rsidRPr="003E2F1E">
        <w:rPr>
          <w:sz w:val="18"/>
          <w:szCs w:val="18"/>
          <w:lang w:val="en-IE"/>
        </w:rPr>
        <w:t xml:space="preserve">See </w:t>
      </w:r>
      <w:hyperlink r:id="rId3" w:history="1">
        <w:r w:rsidRPr="003E2F1E">
          <w:rPr>
            <w:rStyle w:val="Hyperlink"/>
            <w:sz w:val="18"/>
            <w:szCs w:val="18"/>
            <w:lang w:val="en-IE"/>
          </w:rPr>
          <w:t>http://econ.au.dk/the-national-centre-for-register-based-research/danish-registers/</w:t>
        </w:r>
      </w:hyperlink>
      <w:r w:rsidRPr="003E2F1E">
        <w:rPr>
          <w:sz w:val="18"/>
          <w:szCs w:val="18"/>
          <w:lang w:val="en-IE"/>
        </w:rPr>
        <w:t xml:space="preserve"> </w:t>
      </w:r>
    </w:p>
  </w:footnote>
  <w:footnote w:id="15">
    <w:p w:rsidR="002E5C42" w:rsidRPr="000B0E2B" w:rsidRDefault="002E5C42">
      <w:pPr>
        <w:pStyle w:val="FootnoteText"/>
        <w:rPr>
          <w:sz w:val="18"/>
          <w:szCs w:val="18"/>
          <w:lang w:val="en-GB"/>
        </w:rPr>
      </w:pPr>
      <w:r w:rsidRPr="000B0E2B">
        <w:rPr>
          <w:rStyle w:val="FootnoteReference"/>
          <w:sz w:val="18"/>
          <w:szCs w:val="18"/>
        </w:rPr>
        <w:footnoteRef/>
      </w:r>
      <w:r w:rsidRPr="000B0E2B">
        <w:rPr>
          <w:sz w:val="18"/>
          <w:szCs w:val="18"/>
        </w:rPr>
        <w:t xml:space="preserve"> </w:t>
      </w:r>
      <w:r w:rsidRPr="000B0E2B">
        <w:rPr>
          <w:sz w:val="18"/>
          <w:szCs w:val="18"/>
          <w:lang w:val="en-GB"/>
        </w:rPr>
        <w:t>Note that</w:t>
      </w:r>
      <w:r>
        <w:rPr>
          <w:sz w:val="18"/>
          <w:szCs w:val="18"/>
          <w:lang w:val="en-GB"/>
        </w:rPr>
        <w:t xml:space="preserve"> the</w:t>
      </w:r>
      <w:r w:rsidRPr="000B0E2B">
        <w:rPr>
          <w:sz w:val="18"/>
          <w:szCs w:val="18"/>
          <w:lang w:val="en-GB"/>
        </w:rPr>
        <w:t xml:space="preserve"> frequency </w:t>
      </w:r>
      <w:r>
        <w:rPr>
          <w:sz w:val="18"/>
          <w:szCs w:val="18"/>
          <w:lang w:val="en-GB"/>
        </w:rPr>
        <w:t>with which</w:t>
      </w:r>
      <w:r w:rsidRPr="000B0E2B">
        <w:rPr>
          <w:sz w:val="18"/>
          <w:szCs w:val="18"/>
          <w:lang w:val="en-GB"/>
        </w:rPr>
        <w:t xml:space="preserve"> data</w:t>
      </w:r>
      <w:r>
        <w:rPr>
          <w:sz w:val="18"/>
          <w:szCs w:val="18"/>
          <w:lang w:val="en-GB"/>
        </w:rPr>
        <w:t xml:space="preserve"> are available varies depending on the specific outcome in question.</w:t>
      </w:r>
      <w:r w:rsidRPr="000B0E2B">
        <w:rPr>
          <w:sz w:val="18"/>
          <w:szCs w:val="18"/>
          <w:lang w:val="en-GB"/>
        </w:rPr>
        <w:t xml:space="preserve"> </w:t>
      </w:r>
    </w:p>
  </w:footnote>
  <w:footnote w:id="16">
    <w:p w:rsidR="002E5C42" w:rsidRPr="00363DF3" w:rsidRDefault="002E5C42" w:rsidP="00FA37CA">
      <w:pPr>
        <w:pStyle w:val="Footnote"/>
        <w:rPr>
          <w:sz w:val="18"/>
          <w:szCs w:val="18"/>
        </w:rPr>
      </w:pPr>
      <w:r w:rsidRPr="00363DF3">
        <w:rPr>
          <w:rStyle w:val="FootnoteReference"/>
          <w:sz w:val="18"/>
          <w:szCs w:val="18"/>
        </w:rPr>
        <w:footnoteRef/>
      </w:r>
      <w:r w:rsidRPr="00363DF3">
        <w:rPr>
          <w:sz w:val="18"/>
          <w:szCs w:val="18"/>
        </w:rPr>
        <w:t xml:space="preserve"> </w:t>
      </w:r>
      <w:r w:rsidRPr="00F53ACE">
        <w:rPr>
          <w:sz w:val="18"/>
          <w:szCs w:val="18"/>
        </w:rPr>
        <w:t xml:space="preserve">These figures are given by taking the MDE as a percentage of the baseline proportion e.g. for this outcome 26 weeks following the intervention </w:t>
      </w:r>
      <w:r>
        <w:rPr>
          <w:sz w:val="18"/>
          <w:szCs w:val="18"/>
        </w:rPr>
        <w:t>21</w:t>
      </w:r>
      <w:r w:rsidRPr="00F53ACE">
        <w:rPr>
          <w:sz w:val="18"/>
          <w:szCs w:val="18"/>
        </w:rPr>
        <w:t xml:space="preserve">% = </w:t>
      </w:r>
      <w:r>
        <w:rPr>
          <w:sz w:val="18"/>
          <w:szCs w:val="18"/>
        </w:rPr>
        <w:t>0.063/0.307</w:t>
      </w:r>
      <w:r w:rsidRPr="00F53ACE">
        <w:rPr>
          <w:sz w:val="18"/>
          <w:szCs w:val="18"/>
        </w:rPr>
        <w:t xml:space="preserve">. </w:t>
      </w:r>
      <w:r w:rsidRPr="00FB1574">
        <w:rPr>
          <w:sz w:val="18"/>
          <w:szCs w:val="18"/>
        </w:rPr>
        <w:t>Appendix A shows the evolution of these baseline proportions for our primary outcome measures over time.</w:t>
      </w:r>
    </w:p>
  </w:footnote>
  <w:footnote w:id="17">
    <w:p w:rsidR="002E5C42" w:rsidRPr="0065415B" w:rsidRDefault="002E5C42">
      <w:pPr>
        <w:pStyle w:val="FootnoteText"/>
        <w:rPr>
          <w:lang w:val="en-GB"/>
        </w:rPr>
      </w:pPr>
    </w:p>
  </w:footnote>
  <w:footnote w:id="18">
    <w:p w:rsidR="002E5C42" w:rsidRPr="0023770F" w:rsidRDefault="002E5C42" w:rsidP="00FA37CA">
      <w:pPr>
        <w:pStyle w:val="FootnoteText"/>
        <w:rPr>
          <w:sz w:val="20"/>
          <w:szCs w:val="20"/>
        </w:rPr>
      </w:pPr>
      <w:r w:rsidRPr="0023770F">
        <w:rPr>
          <w:rStyle w:val="FootnoteReference"/>
          <w:sz w:val="20"/>
          <w:szCs w:val="20"/>
        </w:rPr>
        <w:footnoteRef/>
      </w:r>
      <w:r w:rsidRPr="0023770F">
        <w:rPr>
          <w:sz w:val="20"/>
          <w:szCs w:val="20"/>
        </w:rPr>
        <w:t xml:space="preserve"> </w:t>
      </w:r>
      <w:r w:rsidRPr="00FB1574">
        <w:rPr>
          <w:sz w:val="18"/>
          <w:szCs w:val="18"/>
        </w:rPr>
        <w:t>See McKenzie (2012) for discussion of when multiple measurements of outcomes at short intervals provide substantial gains in power. [ref https://ideas.repec.org/a/eee/deveco/v99y2012i2p210-221.html]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C60"/>
    <w:multiLevelType w:val="hybridMultilevel"/>
    <w:tmpl w:val="3E7C97C0"/>
    <w:lvl w:ilvl="0" w:tplc="CE065EF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36161F"/>
    <w:multiLevelType w:val="hybridMultilevel"/>
    <w:tmpl w:val="C8D2A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D73A2"/>
    <w:multiLevelType w:val="hybridMultilevel"/>
    <w:tmpl w:val="AF5023A8"/>
    <w:lvl w:ilvl="0" w:tplc="D0CCCE6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9A1ED9"/>
    <w:multiLevelType w:val="hybridMultilevel"/>
    <w:tmpl w:val="14F413A6"/>
    <w:lvl w:ilvl="0" w:tplc="E53CDD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4CFF"/>
    <w:multiLevelType w:val="hybridMultilevel"/>
    <w:tmpl w:val="B71C61DE"/>
    <w:lvl w:ilvl="0" w:tplc="211C7576">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E64CF"/>
    <w:multiLevelType w:val="hybridMultilevel"/>
    <w:tmpl w:val="34168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3839CF"/>
    <w:multiLevelType w:val="hybridMultilevel"/>
    <w:tmpl w:val="0090DB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13A7947"/>
    <w:multiLevelType w:val="hybridMultilevel"/>
    <w:tmpl w:val="C180BCD6"/>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nsid w:val="23900B27"/>
    <w:multiLevelType w:val="hybridMultilevel"/>
    <w:tmpl w:val="25DCF2CE"/>
    <w:lvl w:ilvl="0" w:tplc="86F04BF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23C36"/>
    <w:multiLevelType w:val="hybridMultilevel"/>
    <w:tmpl w:val="5986E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E1F8E"/>
    <w:multiLevelType w:val="hybridMultilevel"/>
    <w:tmpl w:val="FAEE2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B85FB0"/>
    <w:multiLevelType w:val="hybridMultilevel"/>
    <w:tmpl w:val="5706D34E"/>
    <w:lvl w:ilvl="0" w:tplc="E4145F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29781C"/>
    <w:multiLevelType w:val="hybridMultilevel"/>
    <w:tmpl w:val="38C43502"/>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3">
    <w:nsid w:val="46486BAF"/>
    <w:multiLevelType w:val="hybridMultilevel"/>
    <w:tmpl w:val="C036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65C0B"/>
    <w:multiLevelType w:val="hybridMultilevel"/>
    <w:tmpl w:val="CA48D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2D04E0"/>
    <w:multiLevelType w:val="hybridMultilevel"/>
    <w:tmpl w:val="DC6E2B2E"/>
    <w:lvl w:ilvl="0" w:tplc="E12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84781F"/>
    <w:multiLevelType w:val="hybridMultilevel"/>
    <w:tmpl w:val="BC9060B8"/>
    <w:lvl w:ilvl="0" w:tplc="5568ECD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19B6885"/>
    <w:multiLevelType w:val="hybridMultilevel"/>
    <w:tmpl w:val="66B210A0"/>
    <w:lvl w:ilvl="0" w:tplc="B768844C">
      <w:numFmt w:val="bullet"/>
      <w:lvlText w:val="-"/>
      <w:lvlJc w:val="left"/>
      <w:pPr>
        <w:ind w:left="645" w:hanging="360"/>
      </w:pPr>
      <w:rPr>
        <w:rFonts w:ascii="Times New Roman" w:eastAsia="Times New Roman" w:hAnsi="Times New Roman" w:cs="Times New Roman" w:hint="default"/>
      </w:rPr>
    </w:lvl>
    <w:lvl w:ilvl="1" w:tplc="08090003">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8">
    <w:nsid w:val="54063705"/>
    <w:multiLevelType w:val="hybridMultilevel"/>
    <w:tmpl w:val="6C06B97A"/>
    <w:lvl w:ilvl="0" w:tplc="A94EC808">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100415"/>
    <w:multiLevelType w:val="hybridMultilevel"/>
    <w:tmpl w:val="AED83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43646"/>
    <w:multiLevelType w:val="hybridMultilevel"/>
    <w:tmpl w:val="517EA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3D1F63"/>
    <w:multiLevelType w:val="hybridMultilevel"/>
    <w:tmpl w:val="9140B5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04D3A1D"/>
    <w:multiLevelType w:val="hybridMultilevel"/>
    <w:tmpl w:val="68BEC9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0B82D6B"/>
    <w:multiLevelType w:val="hybridMultilevel"/>
    <w:tmpl w:val="E75C7A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4EF02B6"/>
    <w:multiLevelType w:val="hybridMultilevel"/>
    <w:tmpl w:val="4E101C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A3139D6"/>
    <w:multiLevelType w:val="hybridMultilevel"/>
    <w:tmpl w:val="39B8D576"/>
    <w:lvl w:ilvl="0" w:tplc="E7CADBAE">
      <w:numFmt w:val="bullet"/>
      <w:lvlText w:val="-"/>
      <w:lvlJc w:val="left"/>
      <w:pPr>
        <w:ind w:left="720" w:hanging="360"/>
      </w:pPr>
      <w:rPr>
        <w:rFonts w:ascii="Calibri" w:eastAsiaTheme="minorHAnsi"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B266050"/>
    <w:multiLevelType w:val="hybridMultilevel"/>
    <w:tmpl w:val="EA204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4D2674"/>
    <w:multiLevelType w:val="hybridMultilevel"/>
    <w:tmpl w:val="64D25F32"/>
    <w:lvl w:ilvl="0" w:tplc="6F6AD2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82E4730"/>
    <w:multiLevelType w:val="hybridMultilevel"/>
    <w:tmpl w:val="35CAE4A2"/>
    <w:lvl w:ilvl="0" w:tplc="C39CEE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D0011"/>
    <w:multiLevelType w:val="hybridMultilevel"/>
    <w:tmpl w:val="B69ABD32"/>
    <w:lvl w:ilvl="0" w:tplc="8DFEB0D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B7651"/>
    <w:multiLevelType w:val="hybridMultilevel"/>
    <w:tmpl w:val="9A645E6A"/>
    <w:lvl w:ilvl="0" w:tplc="B768844C">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8"/>
  </w:num>
  <w:num w:numId="2">
    <w:abstractNumId w:val="15"/>
  </w:num>
  <w:num w:numId="3">
    <w:abstractNumId w:val="30"/>
  </w:num>
  <w:num w:numId="4">
    <w:abstractNumId w:val="17"/>
  </w:num>
  <w:num w:numId="5">
    <w:abstractNumId w:val="22"/>
  </w:num>
  <w:num w:numId="6">
    <w:abstractNumId w:val="28"/>
  </w:num>
  <w:num w:numId="7">
    <w:abstractNumId w:val="3"/>
  </w:num>
  <w:num w:numId="8">
    <w:abstractNumId w:val="7"/>
  </w:num>
  <w:num w:numId="9">
    <w:abstractNumId w:val="19"/>
  </w:num>
  <w:num w:numId="10">
    <w:abstractNumId w:val="11"/>
  </w:num>
  <w:num w:numId="11">
    <w:abstractNumId w:val="23"/>
  </w:num>
  <w:num w:numId="12">
    <w:abstractNumId w:val="10"/>
  </w:num>
  <w:num w:numId="13">
    <w:abstractNumId w:val="13"/>
  </w:num>
  <w:num w:numId="14">
    <w:abstractNumId w:val="4"/>
  </w:num>
  <w:num w:numId="15">
    <w:abstractNumId w:val="0"/>
  </w:num>
  <w:num w:numId="16">
    <w:abstractNumId w:val="5"/>
  </w:num>
  <w:num w:numId="17">
    <w:abstractNumId w:val="1"/>
  </w:num>
  <w:num w:numId="18">
    <w:abstractNumId w:val="26"/>
  </w:num>
  <w:num w:numId="19">
    <w:abstractNumId w:val="6"/>
  </w:num>
  <w:num w:numId="20">
    <w:abstractNumId w:val="14"/>
  </w:num>
  <w:num w:numId="21">
    <w:abstractNumId w:val="9"/>
  </w:num>
  <w:num w:numId="22">
    <w:abstractNumId w:val="21"/>
  </w:num>
  <w:num w:numId="23">
    <w:abstractNumId w:val="24"/>
  </w:num>
  <w:num w:numId="24">
    <w:abstractNumId w:val="27"/>
  </w:num>
  <w:num w:numId="25">
    <w:abstractNumId w:val="29"/>
  </w:num>
  <w:num w:numId="26">
    <w:abstractNumId w:val="20"/>
  </w:num>
  <w:num w:numId="27">
    <w:abstractNumId w:val="18"/>
  </w:num>
  <w:num w:numId="28">
    <w:abstractNumId w:val="16"/>
  </w:num>
  <w:num w:numId="29">
    <w:abstractNumId w:val="2"/>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07D24"/>
    <w:rsid w:val="00000078"/>
    <w:rsid w:val="00000A86"/>
    <w:rsid w:val="000028B0"/>
    <w:rsid w:val="00002AD2"/>
    <w:rsid w:val="00003AC8"/>
    <w:rsid w:val="000051EF"/>
    <w:rsid w:val="00011F51"/>
    <w:rsid w:val="00012EB6"/>
    <w:rsid w:val="000139DC"/>
    <w:rsid w:val="000158AB"/>
    <w:rsid w:val="000158E6"/>
    <w:rsid w:val="00016ADD"/>
    <w:rsid w:val="00016CE1"/>
    <w:rsid w:val="00017564"/>
    <w:rsid w:val="00022856"/>
    <w:rsid w:val="00022CA6"/>
    <w:rsid w:val="00023BC6"/>
    <w:rsid w:val="0002710F"/>
    <w:rsid w:val="0002731A"/>
    <w:rsid w:val="000317F4"/>
    <w:rsid w:val="00035A22"/>
    <w:rsid w:val="00036189"/>
    <w:rsid w:val="00036D08"/>
    <w:rsid w:val="00036EFB"/>
    <w:rsid w:val="00037D4A"/>
    <w:rsid w:val="00037FC6"/>
    <w:rsid w:val="000422AF"/>
    <w:rsid w:val="000434D1"/>
    <w:rsid w:val="00044C70"/>
    <w:rsid w:val="0005016F"/>
    <w:rsid w:val="000527D0"/>
    <w:rsid w:val="000534E1"/>
    <w:rsid w:val="0005367C"/>
    <w:rsid w:val="00053AE2"/>
    <w:rsid w:val="0005477C"/>
    <w:rsid w:val="0005593F"/>
    <w:rsid w:val="00056BD3"/>
    <w:rsid w:val="00057028"/>
    <w:rsid w:val="0006024F"/>
    <w:rsid w:val="00061864"/>
    <w:rsid w:val="000624EB"/>
    <w:rsid w:val="00065EF9"/>
    <w:rsid w:val="000668DA"/>
    <w:rsid w:val="00067ACE"/>
    <w:rsid w:val="000730F7"/>
    <w:rsid w:val="00073B37"/>
    <w:rsid w:val="00073D36"/>
    <w:rsid w:val="00074EC5"/>
    <w:rsid w:val="00075281"/>
    <w:rsid w:val="00080579"/>
    <w:rsid w:val="00081672"/>
    <w:rsid w:val="0008227B"/>
    <w:rsid w:val="000825BF"/>
    <w:rsid w:val="00083811"/>
    <w:rsid w:val="000840B8"/>
    <w:rsid w:val="00084CB9"/>
    <w:rsid w:val="0008782F"/>
    <w:rsid w:val="00091E52"/>
    <w:rsid w:val="00092D15"/>
    <w:rsid w:val="00095D21"/>
    <w:rsid w:val="000963BE"/>
    <w:rsid w:val="00097DDD"/>
    <w:rsid w:val="000A4140"/>
    <w:rsid w:val="000A434E"/>
    <w:rsid w:val="000A674D"/>
    <w:rsid w:val="000A78ED"/>
    <w:rsid w:val="000A7AE8"/>
    <w:rsid w:val="000B0E2B"/>
    <w:rsid w:val="000B43A7"/>
    <w:rsid w:val="000B575B"/>
    <w:rsid w:val="000B625F"/>
    <w:rsid w:val="000B6475"/>
    <w:rsid w:val="000B6FAA"/>
    <w:rsid w:val="000B7124"/>
    <w:rsid w:val="000C0FE6"/>
    <w:rsid w:val="000C532B"/>
    <w:rsid w:val="000C5B7E"/>
    <w:rsid w:val="000C6759"/>
    <w:rsid w:val="000D34D2"/>
    <w:rsid w:val="000D67D4"/>
    <w:rsid w:val="000D7E64"/>
    <w:rsid w:val="000E0F53"/>
    <w:rsid w:val="000E0F98"/>
    <w:rsid w:val="000E1FEC"/>
    <w:rsid w:val="000E3AD1"/>
    <w:rsid w:val="000E3D84"/>
    <w:rsid w:val="000E6751"/>
    <w:rsid w:val="000E6DAF"/>
    <w:rsid w:val="000E790B"/>
    <w:rsid w:val="000F0FF4"/>
    <w:rsid w:val="000F14DC"/>
    <w:rsid w:val="000F1672"/>
    <w:rsid w:val="000F3F5F"/>
    <w:rsid w:val="000F4957"/>
    <w:rsid w:val="000F5B86"/>
    <w:rsid w:val="000F7EB7"/>
    <w:rsid w:val="001009F2"/>
    <w:rsid w:val="00101AA7"/>
    <w:rsid w:val="001027CF"/>
    <w:rsid w:val="001032AD"/>
    <w:rsid w:val="0010687D"/>
    <w:rsid w:val="00107DAE"/>
    <w:rsid w:val="00110B2F"/>
    <w:rsid w:val="0011151A"/>
    <w:rsid w:val="00111C1F"/>
    <w:rsid w:val="001126BF"/>
    <w:rsid w:val="00115503"/>
    <w:rsid w:val="00115786"/>
    <w:rsid w:val="00115EC0"/>
    <w:rsid w:val="00116251"/>
    <w:rsid w:val="00120B50"/>
    <w:rsid w:val="00121010"/>
    <w:rsid w:val="00121711"/>
    <w:rsid w:val="00125BA8"/>
    <w:rsid w:val="00127489"/>
    <w:rsid w:val="001279E4"/>
    <w:rsid w:val="00130442"/>
    <w:rsid w:val="00131FC2"/>
    <w:rsid w:val="00132C61"/>
    <w:rsid w:val="00134431"/>
    <w:rsid w:val="00134A0C"/>
    <w:rsid w:val="00136400"/>
    <w:rsid w:val="00136DAA"/>
    <w:rsid w:val="00137067"/>
    <w:rsid w:val="00140229"/>
    <w:rsid w:val="00140347"/>
    <w:rsid w:val="00142361"/>
    <w:rsid w:val="00142A14"/>
    <w:rsid w:val="00143F57"/>
    <w:rsid w:val="001467E7"/>
    <w:rsid w:val="001476FA"/>
    <w:rsid w:val="00147AC7"/>
    <w:rsid w:val="00151A84"/>
    <w:rsid w:val="001579C3"/>
    <w:rsid w:val="00160453"/>
    <w:rsid w:val="0016192B"/>
    <w:rsid w:val="00164635"/>
    <w:rsid w:val="00164A5C"/>
    <w:rsid w:val="00170921"/>
    <w:rsid w:val="001729B4"/>
    <w:rsid w:val="00172F4E"/>
    <w:rsid w:val="001730BB"/>
    <w:rsid w:val="00174A20"/>
    <w:rsid w:val="0018330A"/>
    <w:rsid w:val="00184CF9"/>
    <w:rsid w:val="00186994"/>
    <w:rsid w:val="00186A6B"/>
    <w:rsid w:val="00186C80"/>
    <w:rsid w:val="00186DFB"/>
    <w:rsid w:val="00194E56"/>
    <w:rsid w:val="001955C4"/>
    <w:rsid w:val="001A09F4"/>
    <w:rsid w:val="001A1013"/>
    <w:rsid w:val="001A1C79"/>
    <w:rsid w:val="001A1CFB"/>
    <w:rsid w:val="001A27A2"/>
    <w:rsid w:val="001A2DCD"/>
    <w:rsid w:val="001A32F3"/>
    <w:rsid w:val="001A3448"/>
    <w:rsid w:val="001A568B"/>
    <w:rsid w:val="001A5A8A"/>
    <w:rsid w:val="001B127E"/>
    <w:rsid w:val="001B31B4"/>
    <w:rsid w:val="001B3E12"/>
    <w:rsid w:val="001B438F"/>
    <w:rsid w:val="001B47DA"/>
    <w:rsid w:val="001C0D8E"/>
    <w:rsid w:val="001C12CE"/>
    <w:rsid w:val="001D06EF"/>
    <w:rsid w:val="001D40A0"/>
    <w:rsid w:val="001D61D7"/>
    <w:rsid w:val="001D62AB"/>
    <w:rsid w:val="001D7322"/>
    <w:rsid w:val="001E002C"/>
    <w:rsid w:val="001E0526"/>
    <w:rsid w:val="001E5667"/>
    <w:rsid w:val="001E6EB8"/>
    <w:rsid w:val="001F2C7D"/>
    <w:rsid w:val="001F3719"/>
    <w:rsid w:val="001F5019"/>
    <w:rsid w:val="001F6119"/>
    <w:rsid w:val="00202359"/>
    <w:rsid w:val="00203663"/>
    <w:rsid w:val="002037C6"/>
    <w:rsid w:val="00205B68"/>
    <w:rsid w:val="0021196E"/>
    <w:rsid w:val="00211AED"/>
    <w:rsid w:val="002149E3"/>
    <w:rsid w:val="002154CE"/>
    <w:rsid w:val="00216C5E"/>
    <w:rsid w:val="00220168"/>
    <w:rsid w:val="0022093E"/>
    <w:rsid w:val="00220B72"/>
    <w:rsid w:val="0022227E"/>
    <w:rsid w:val="002243E3"/>
    <w:rsid w:val="00226506"/>
    <w:rsid w:val="00226651"/>
    <w:rsid w:val="00226F6B"/>
    <w:rsid w:val="00230EC0"/>
    <w:rsid w:val="00231CA7"/>
    <w:rsid w:val="002326D1"/>
    <w:rsid w:val="00232A61"/>
    <w:rsid w:val="00235E3F"/>
    <w:rsid w:val="00236B86"/>
    <w:rsid w:val="002400FF"/>
    <w:rsid w:val="00240143"/>
    <w:rsid w:val="00240C03"/>
    <w:rsid w:val="0024287D"/>
    <w:rsid w:val="00244379"/>
    <w:rsid w:val="00244B8A"/>
    <w:rsid w:val="00245284"/>
    <w:rsid w:val="002471F2"/>
    <w:rsid w:val="002510CA"/>
    <w:rsid w:val="00252098"/>
    <w:rsid w:val="0025225C"/>
    <w:rsid w:val="00253A2F"/>
    <w:rsid w:val="00254A27"/>
    <w:rsid w:val="002553EF"/>
    <w:rsid w:val="00256473"/>
    <w:rsid w:val="002574F3"/>
    <w:rsid w:val="00260B78"/>
    <w:rsid w:val="0026125C"/>
    <w:rsid w:val="00263C29"/>
    <w:rsid w:val="00263C4C"/>
    <w:rsid w:val="00264CB8"/>
    <w:rsid w:val="0026798B"/>
    <w:rsid w:val="00273E2C"/>
    <w:rsid w:val="00276848"/>
    <w:rsid w:val="00277A07"/>
    <w:rsid w:val="00280C9C"/>
    <w:rsid w:val="00280DC3"/>
    <w:rsid w:val="00283016"/>
    <w:rsid w:val="002850A9"/>
    <w:rsid w:val="00286DE6"/>
    <w:rsid w:val="002876EE"/>
    <w:rsid w:val="00291413"/>
    <w:rsid w:val="00291DA8"/>
    <w:rsid w:val="00292635"/>
    <w:rsid w:val="00292C24"/>
    <w:rsid w:val="00293197"/>
    <w:rsid w:val="00294494"/>
    <w:rsid w:val="002A1814"/>
    <w:rsid w:val="002A3401"/>
    <w:rsid w:val="002A44EE"/>
    <w:rsid w:val="002A48FE"/>
    <w:rsid w:val="002A49F2"/>
    <w:rsid w:val="002A4AB2"/>
    <w:rsid w:val="002A5AB7"/>
    <w:rsid w:val="002B01B8"/>
    <w:rsid w:val="002B25CB"/>
    <w:rsid w:val="002B2E5A"/>
    <w:rsid w:val="002B7307"/>
    <w:rsid w:val="002B7364"/>
    <w:rsid w:val="002B7BE3"/>
    <w:rsid w:val="002C075D"/>
    <w:rsid w:val="002C2E28"/>
    <w:rsid w:val="002C32BC"/>
    <w:rsid w:val="002C38E2"/>
    <w:rsid w:val="002D00AA"/>
    <w:rsid w:val="002D0A60"/>
    <w:rsid w:val="002D263E"/>
    <w:rsid w:val="002D3EA7"/>
    <w:rsid w:val="002D64D1"/>
    <w:rsid w:val="002D6FC9"/>
    <w:rsid w:val="002D74AA"/>
    <w:rsid w:val="002E0DCF"/>
    <w:rsid w:val="002E1770"/>
    <w:rsid w:val="002E1D1E"/>
    <w:rsid w:val="002E2E32"/>
    <w:rsid w:val="002E5161"/>
    <w:rsid w:val="002E5C42"/>
    <w:rsid w:val="002E6EA8"/>
    <w:rsid w:val="002F0723"/>
    <w:rsid w:val="002F0E28"/>
    <w:rsid w:val="002F49FF"/>
    <w:rsid w:val="002F4E58"/>
    <w:rsid w:val="002F74FC"/>
    <w:rsid w:val="00302BC2"/>
    <w:rsid w:val="00302E2E"/>
    <w:rsid w:val="003035FC"/>
    <w:rsid w:val="0030366B"/>
    <w:rsid w:val="003038AC"/>
    <w:rsid w:val="00304810"/>
    <w:rsid w:val="003048A5"/>
    <w:rsid w:val="00304DB6"/>
    <w:rsid w:val="00306397"/>
    <w:rsid w:val="00307C20"/>
    <w:rsid w:val="00311137"/>
    <w:rsid w:val="00314993"/>
    <w:rsid w:val="00321984"/>
    <w:rsid w:val="00321A90"/>
    <w:rsid w:val="00322363"/>
    <w:rsid w:val="00324432"/>
    <w:rsid w:val="003247C0"/>
    <w:rsid w:val="003253B9"/>
    <w:rsid w:val="003268B0"/>
    <w:rsid w:val="00326B69"/>
    <w:rsid w:val="00327B2E"/>
    <w:rsid w:val="00332CC4"/>
    <w:rsid w:val="00333BCE"/>
    <w:rsid w:val="003341D9"/>
    <w:rsid w:val="00334A93"/>
    <w:rsid w:val="00337781"/>
    <w:rsid w:val="0034022A"/>
    <w:rsid w:val="003406B0"/>
    <w:rsid w:val="00343F43"/>
    <w:rsid w:val="00344C78"/>
    <w:rsid w:val="00346B2E"/>
    <w:rsid w:val="003471E6"/>
    <w:rsid w:val="00347AF4"/>
    <w:rsid w:val="00350F6A"/>
    <w:rsid w:val="003513C1"/>
    <w:rsid w:val="0035291F"/>
    <w:rsid w:val="00355BAE"/>
    <w:rsid w:val="003566A0"/>
    <w:rsid w:val="00357C26"/>
    <w:rsid w:val="00357ED6"/>
    <w:rsid w:val="00360113"/>
    <w:rsid w:val="00361A0F"/>
    <w:rsid w:val="00362288"/>
    <w:rsid w:val="00363860"/>
    <w:rsid w:val="00363DF3"/>
    <w:rsid w:val="0036432C"/>
    <w:rsid w:val="00364822"/>
    <w:rsid w:val="00373120"/>
    <w:rsid w:val="00373429"/>
    <w:rsid w:val="00373694"/>
    <w:rsid w:val="00373AF7"/>
    <w:rsid w:val="0037437F"/>
    <w:rsid w:val="00374AD1"/>
    <w:rsid w:val="0037506F"/>
    <w:rsid w:val="003760A1"/>
    <w:rsid w:val="00376A8C"/>
    <w:rsid w:val="003802A3"/>
    <w:rsid w:val="00381121"/>
    <w:rsid w:val="003822E0"/>
    <w:rsid w:val="00382326"/>
    <w:rsid w:val="003824BF"/>
    <w:rsid w:val="003824D9"/>
    <w:rsid w:val="00382AA6"/>
    <w:rsid w:val="003857D0"/>
    <w:rsid w:val="00385BC3"/>
    <w:rsid w:val="00393E94"/>
    <w:rsid w:val="0039404F"/>
    <w:rsid w:val="00395CC2"/>
    <w:rsid w:val="00395F94"/>
    <w:rsid w:val="003A146E"/>
    <w:rsid w:val="003A3A68"/>
    <w:rsid w:val="003A4947"/>
    <w:rsid w:val="003A4AEB"/>
    <w:rsid w:val="003A5F10"/>
    <w:rsid w:val="003A7B7F"/>
    <w:rsid w:val="003B095C"/>
    <w:rsid w:val="003B0B9F"/>
    <w:rsid w:val="003B12FE"/>
    <w:rsid w:val="003B2B85"/>
    <w:rsid w:val="003B3C1E"/>
    <w:rsid w:val="003B43F6"/>
    <w:rsid w:val="003B4F4F"/>
    <w:rsid w:val="003B53E4"/>
    <w:rsid w:val="003B5698"/>
    <w:rsid w:val="003B7837"/>
    <w:rsid w:val="003C0A1C"/>
    <w:rsid w:val="003C148E"/>
    <w:rsid w:val="003C781A"/>
    <w:rsid w:val="003D1117"/>
    <w:rsid w:val="003D1D39"/>
    <w:rsid w:val="003D4641"/>
    <w:rsid w:val="003E1C90"/>
    <w:rsid w:val="003E2451"/>
    <w:rsid w:val="003E2D39"/>
    <w:rsid w:val="003E2F1E"/>
    <w:rsid w:val="003E47FA"/>
    <w:rsid w:val="003E5470"/>
    <w:rsid w:val="003E6494"/>
    <w:rsid w:val="003F0678"/>
    <w:rsid w:val="003F65FD"/>
    <w:rsid w:val="003F6C58"/>
    <w:rsid w:val="003F772C"/>
    <w:rsid w:val="003F7DA1"/>
    <w:rsid w:val="00400F3C"/>
    <w:rsid w:val="00402424"/>
    <w:rsid w:val="00402708"/>
    <w:rsid w:val="004028A2"/>
    <w:rsid w:val="00403022"/>
    <w:rsid w:val="00404E3E"/>
    <w:rsid w:val="00407D24"/>
    <w:rsid w:val="00410FD4"/>
    <w:rsid w:val="00411BFE"/>
    <w:rsid w:val="00411FC7"/>
    <w:rsid w:val="004120FB"/>
    <w:rsid w:val="00414BBC"/>
    <w:rsid w:val="00417F88"/>
    <w:rsid w:val="0042034D"/>
    <w:rsid w:val="0042206E"/>
    <w:rsid w:val="00422AFD"/>
    <w:rsid w:val="00422F73"/>
    <w:rsid w:val="00423742"/>
    <w:rsid w:val="00424213"/>
    <w:rsid w:val="004252AC"/>
    <w:rsid w:val="00433C91"/>
    <w:rsid w:val="004342A4"/>
    <w:rsid w:val="00434DEA"/>
    <w:rsid w:val="00437024"/>
    <w:rsid w:val="00440C6F"/>
    <w:rsid w:val="00441BEC"/>
    <w:rsid w:val="004427DA"/>
    <w:rsid w:val="00442809"/>
    <w:rsid w:val="00442C4C"/>
    <w:rsid w:val="00443B71"/>
    <w:rsid w:val="004467E3"/>
    <w:rsid w:val="00447FCD"/>
    <w:rsid w:val="00451981"/>
    <w:rsid w:val="00451B24"/>
    <w:rsid w:val="00453F81"/>
    <w:rsid w:val="004544E9"/>
    <w:rsid w:val="004553BE"/>
    <w:rsid w:val="00455EC9"/>
    <w:rsid w:val="00456729"/>
    <w:rsid w:val="00461B4E"/>
    <w:rsid w:val="00463D9B"/>
    <w:rsid w:val="00464D56"/>
    <w:rsid w:val="0047103B"/>
    <w:rsid w:val="00471665"/>
    <w:rsid w:val="00471DA4"/>
    <w:rsid w:val="00473574"/>
    <w:rsid w:val="004737BA"/>
    <w:rsid w:val="00474860"/>
    <w:rsid w:val="0048253F"/>
    <w:rsid w:val="00483834"/>
    <w:rsid w:val="004857D9"/>
    <w:rsid w:val="00486249"/>
    <w:rsid w:val="00486437"/>
    <w:rsid w:val="00486513"/>
    <w:rsid w:val="0049224B"/>
    <w:rsid w:val="00495C4D"/>
    <w:rsid w:val="00496A73"/>
    <w:rsid w:val="00497962"/>
    <w:rsid w:val="004A032F"/>
    <w:rsid w:val="004A1313"/>
    <w:rsid w:val="004A16F6"/>
    <w:rsid w:val="004A3304"/>
    <w:rsid w:val="004A66BE"/>
    <w:rsid w:val="004A7618"/>
    <w:rsid w:val="004B07E0"/>
    <w:rsid w:val="004B18C4"/>
    <w:rsid w:val="004B1967"/>
    <w:rsid w:val="004B2C39"/>
    <w:rsid w:val="004B2E38"/>
    <w:rsid w:val="004B2E68"/>
    <w:rsid w:val="004B46BE"/>
    <w:rsid w:val="004B64E6"/>
    <w:rsid w:val="004C1D90"/>
    <w:rsid w:val="004C556E"/>
    <w:rsid w:val="004C5629"/>
    <w:rsid w:val="004C6702"/>
    <w:rsid w:val="004D2089"/>
    <w:rsid w:val="004D43DE"/>
    <w:rsid w:val="004D4E14"/>
    <w:rsid w:val="004D5874"/>
    <w:rsid w:val="004D6F06"/>
    <w:rsid w:val="004E1035"/>
    <w:rsid w:val="004E4BD1"/>
    <w:rsid w:val="004E5D29"/>
    <w:rsid w:val="004E66AD"/>
    <w:rsid w:val="004E72ED"/>
    <w:rsid w:val="004F05A2"/>
    <w:rsid w:val="004F1D1B"/>
    <w:rsid w:val="004F4C9A"/>
    <w:rsid w:val="004F6BB6"/>
    <w:rsid w:val="004F6E99"/>
    <w:rsid w:val="004F7373"/>
    <w:rsid w:val="004F744A"/>
    <w:rsid w:val="004F7B9A"/>
    <w:rsid w:val="00501853"/>
    <w:rsid w:val="00506180"/>
    <w:rsid w:val="005100C6"/>
    <w:rsid w:val="0051041E"/>
    <w:rsid w:val="00511102"/>
    <w:rsid w:val="00512689"/>
    <w:rsid w:val="00513615"/>
    <w:rsid w:val="00514CDE"/>
    <w:rsid w:val="00516A85"/>
    <w:rsid w:val="00516D85"/>
    <w:rsid w:val="00517301"/>
    <w:rsid w:val="00517C0D"/>
    <w:rsid w:val="00517CFB"/>
    <w:rsid w:val="00521C98"/>
    <w:rsid w:val="00522A08"/>
    <w:rsid w:val="00524AD2"/>
    <w:rsid w:val="00524C3F"/>
    <w:rsid w:val="00526C7A"/>
    <w:rsid w:val="005274E8"/>
    <w:rsid w:val="00530931"/>
    <w:rsid w:val="00531086"/>
    <w:rsid w:val="005338E0"/>
    <w:rsid w:val="00540082"/>
    <w:rsid w:val="00540EE0"/>
    <w:rsid w:val="00541A65"/>
    <w:rsid w:val="00541BCA"/>
    <w:rsid w:val="00542894"/>
    <w:rsid w:val="00544117"/>
    <w:rsid w:val="00544121"/>
    <w:rsid w:val="0054709B"/>
    <w:rsid w:val="00550EAB"/>
    <w:rsid w:val="00550FD0"/>
    <w:rsid w:val="00551BB7"/>
    <w:rsid w:val="00551C8E"/>
    <w:rsid w:val="00552C6D"/>
    <w:rsid w:val="00552CE1"/>
    <w:rsid w:val="0055309B"/>
    <w:rsid w:val="00555572"/>
    <w:rsid w:val="00555E6C"/>
    <w:rsid w:val="00557349"/>
    <w:rsid w:val="00560BA6"/>
    <w:rsid w:val="00560D2C"/>
    <w:rsid w:val="0056221A"/>
    <w:rsid w:val="0056576F"/>
    <w:rsid w:val="00567AB0"/>
    <w:rsid w:val="00570A2E"/>
    <w:rsid w:val="00571091"/>
    <w:rsid w:val="00571496"/>
    <w:rsid w:val="00572ABC"/>
    <w:rsid w:val="00573506"/>
    <w:rsid w:val="00573D8B"/>
    <w:rsid w:val="00574795"/>
    <w:rsid w:val="0057607F"/>
    <w:rsid w:val="00576F6D"/>
    <w:rsid w:val="00580876"/>
    <w:rsid w:val="00581073"/>
    <w:rsid w:val="00581F9F"/>
    <w:rsid w:val="00584914"/>
    <w:rsid w:val="00584920"/>
    <w:rsid w:val="0058588C"/>
    <w:rsid w:val="00585DAC"/>
    <w:rsid w:val="005917F9"/>
    <w:rsid w:val="0059376B"/>
    <w:rsid w:val="00595C6C"/>
    <w:rsid w:val="00595F8A"/>
    <w:rsid w:val="00597B08"/>
    <w:rsid w:val="00597C2D"/>
    <w:rsid w:val="00597F4B"/>
    <w:rsid w:val="005A042B"/>
    <w:rsid w:val="005A281B"/>
    <w:rsid w:val="005A375C"/>
    <w:rsid w:val="005A4BE8"/>
    <w:rsid w:val="005A788B"/>
    <w:rsid w:val="005B04EC"/>
    <w:rsid w:val="005B0511"/>
    <w:rsid w:val="005B1399"/>
    <w:rsid w:val="005B22C8"/>
    <w:rsid w:val="005B29BA"/>
    <w:rsid w:val="005B33D6"/>
    <w:rsid w:val="005B4C12"/>
    <w:rsid w:val="005C0027"/>
    <w:rsid w:val="005C046C"/>
    <w:rsid w:val="005C1E65"/>
    <w:rsid w:val="005C26F5"/>
    <w:rsid w:val="005C2EC6"/>
    <w:rsid w:val="005C482F"/>
    <w:rsid w:val="005C4F6C"/>
    <w:rsid w:val="005C5DAF"/>
    <w:rsid w:val="005C6416"/>
    <w:rsid w:val="005C6464"/>
    <w:rsid w:val="005C6F3B"/>
    <w:rsid w:val="005D1920"/>
    <w:rsid w:val="005D1CB4"/>
    <w:rsid w:val="005D1FF7"/>
    <w:rsid w:val="005D222A"/>
    <w:rsid w:val="005D5234"/>
    <w:rsid w:val="005D5278"/>
    <w:rsid w:val="005D7166"/>
    <w:rsid w:val="005D748E"/>
    <w:rsid w:val="005D7C25"/>
    <w:rsid w:val="005E07A3"/>
    <w:rsid w:val="005E46C9"/>
    <w:rsid w:val="005E4779"/>
    <w:rsid w:val="005E6F21"/>
    <w:rsid w:val="005E71C0"/>
    <w:rsid w:val="005F1F2A"/>
    <w:rsid w:val="005F3712"/>
    <w:rsid w:val="005F4554"/>
    <w:rsid w:val="005F673A"/>
    <w:rsid w:val="006002A3"/>
    <w:rsid w:val="006010E3"/>
    <w:rsid w:val="006023A1"/>
    <w:rsid w:val="00602A9E"/>
    <w:rsid w:val="00603A10"/>
    <w:rsid w:val="00604046"/>
    <w:rsid w:val="00605DD2"/>
    <w:rsid w:val="00606333"/>
    <w:rsid w:val="006066E9"/>
    <w:rsid w:val="00606EEE"/>
    <w:rsid w:val="0060718E"/>
    <w:rsid w:val="00611651"/>
    <w:rsid w:val="00613971"/>
    <w:rsid w:val="00616BB6"/>
    <w:rsid w:val="00617D8F"/>
    <w:rsid w:val="00621929"/>
    <w:rsid w:val="0062390B"/>
    <w:rsid w:val="00624792"/>
    <w:rsid w:val="0062513B"/>
    <w:rsid w:val="006253C9"/>
    <w:rsid w:val="00625FFF"/>
    <w:rsid w:val="006266B6"/>
    <w:rsid w:val="00627DBA"/>
    <w:rsid w:val="0063035E"/>
    <w:rsid w:val="00630651"/>
    <w:rsid w:val="0063123F"/>
    <w:rsid w:val="00631257"/>
    <w:rsid w:val="0063330E"/>
    <w:rsid w:val="00635B3A"/>
    <w:rsid w:val="00636033"/>
    <w:rsid w:val="00636354"/>
    <w:rsid w:val="00640D1A"/>
    <w:rsid w:val="00643BD6"/>
    <w:rsid w:val="0064452A"/>
    <w:rsid w:val="00645A0D"/>
    <w:rsid w:val="006536E4"/>
    <w:rsid w:val="0065415B"/>
    <w:rsid w:val="006554E2"/>
    <w:rsid w:val="00656477"/>
    <w:rsid w:val="006600A9"/>
    <w:rsid w:val="006619A5"/>
    <w:rsid w:val="006654EE"/>
    <w:rsid w:val="00667005"/>
    <w:rsid w:val="0066786C"/>
    <w:rsid w:val="00670438"/>
    <w:rsid w:val="00670ECC"/>
    <w:rsid w:val="00671E4A"/>
    <w:rsid w:val="00671F59"/>
    <w:rsid w:val="0067536D"/>
    <w:rsid w:val="00676306"/>
    <w:rsid w:val="0067663E"/>
    <w:rsid w:val="00676A4B"/>
    <w:rsid w:val="00676AFB"/>
    <w:rsid w:val="00680296"/>
    <w:rsid w:val="0068100D"/>
    <w:rsid w:val="0068317E"/>
    <w:rsid w:val="00684635"/>
    <w:rsid w:val="0068631A"/>
    <w:rsid w:val="00687990"/>
    <w:rsid w:val="00687AC4"/>
    <w:rsid w:val="00687B7C"/>
    <w:rsid w:val="006918DA"/>
    <w:rsid w:val="00692B44"/>
    <w:rsid w:val="006942C2"/>
    <w:rsid w:val="00695D66"/>
    <w:rsid w:val="00695E85"/>
    <w:rsid w:val="00696D67"/>
    <w:rsid w:val="006A1993"/>
    <w:rsid w:val="006A1BCE"/>
    <w:rsid w:val="006A6B57"/>
    <w:rsid w:val="006B0840"/>
    <w:rsid w:val="006B0F90"/>
    <w:rsid w:val="006B1483"/>
    <w:rsid w:val="006B1B5B"/>
    <w:rsid w:val="006B2521"/>
    <w:rsid w:val="006B349D"/>
    <w:rsid w:val="006B428F"/>
    <w:rsid w:val="006B43A3"/>
    <w:rsid w:val="006B5461"/>
    <w:rsid w:val="006B6CC2"/>
    <w:rsid w:val="006C0B84"/>
    <w:rsid w:val="006C107E"/>
    <w:rsid w:val="006C1A49"/>
    <w:rsid w:val="006C2513"/>
    <w:rsid w:val="006C35ED"/>
    <w:rsid w:val="006C419F"/>
    <w:rsid w:val="006C4837"/>
    <w:rsid w:val="006C655B"/>
    <w:rsid w:val="006C655C"/>
    <w:rsid w:val="006C6A76"/>
    <w:rsid w:val="006C7407"/>
    <w:rsid w:val="006D029A"/>
    <w:rsid w:val="006D333E"/>
    <w:rsid w:val="006D3BBA"/>
    <w:rsid w:val="006D6D9E"/>
    <w:rsid w:val="006E0B5A"/>
    <w:rsid w:val="006E3240"/>
    <w:rsid w:val="006E3460"/>
    <w:rsid w:val="006E4F6B"/>
    <w:rsid w:val="006E5704"/>
    <w:rsid w:val="006E71FA"/>
    <w:rsid w:val="006E7532"/>
    <w:rsid w:val="006F0046"/>
    <w:rsid w:val="006F24B2"/>
    <w:rsid w:val="006F29BA"/>
    <w:rsid w:val="006F34BA"/>
    <w:rsid w:val="006F52BA"/>
    <w:rsid w:val="0070199F"/>
    <w:rsid w:val="00702135"/>
    <w:rsid w:val="00703EE4"/>
    <w:rsid w:val="007056B8"/>
    <w:rsid w:val="00706EE2"/>
    <w:rsid w:val="00711026"/>
    <w:rsid w:val="00712F4E"/>
    <w:rsid w:val="007136ED"/>
    <w:rsid w:val="00713BAE"/>
    <w:rsid w:val="007141A9"/>
    <w:rsid w:val="007155DB"/>
    <w:rsid w:val="00723733"/>
    <w:rsid w:val="00723974"/>
    <w:rsid w:val="007246ED"/>
    <w:rsid w:val="007257EB"/>
    <w:rsid w:val="0072795A"/>
    <w:rsid w:val="00731150"/>
    <w:rsid w:val="007331C6"/>
    <w:rsid w:val="0073338F"/>
    <w:rsid w:val="00734008"/>
    <w:rsid w:val="007350CA"/>
    <w:rsid w:val="00736C3A"/>
    <w:rsid w:val="00740BFC"/>
    <w:rsid w:val="00740EF5"/>
    <w:rsid w:val="00741560"/>
    <w:rsid w:val="00741737"/>
    <w:rsid w:val="0074174F"/>
    <w:rsid w:val="007420BF"/>
    <w:rsid w:val="007422C9"/>
    <w:rsid w:val="00742892"/>
    <w:rsid w:val="00743BAD"/>
    <w:rsid w:val="00744964"/>
    <w:rsid w:val="00744C54"/>
    <w:rsid w:val="00745C41"/>
    <w:rsid w:val="00750AAA"/>
    <w:rsid w:val="0075141B"/>
    <w:rsid w:val="00751478"/>
    <w:rsid w:val="0075238F"/>
    <w:rsid w:val="00752854"/>
    <w:rsid w:val="00752FB3"/>
    <w:rsid w:val="00755CDE"/>
    <w:rsid w:val="00757B67"/>
    <w:rsid w:val="00760097"/>
    <w:rsid w:val="007623FF"/>
    <w:rsid w:val="007633D1"/>
    <w:rsid w:val="007656D4"/>
    <w:rsid w:val="007665FF"/>
    <w:rsid w:val="00766FC8"/>
    <w:rsid w:val="0076704E"/>
    <w:rsid w:val="007706DA"/>
    <w:rsid w:val="00771C9E"/>
    <w:rsid w:val="00772B85"/>
    <w:rsid w:val="007741DA"/>
    <w:rsid w:val="00775DE6"/>
    <w:rsid w:val="007760CC"/>
    <w:rsid w:val="00782301"/>
    <w:rsid w:val="007825F0"/>
    <w:rsid w:val="00784D78"/>
    <w:rsid w:val="007872D4"/>
    <w:rsid w:val="00787C50"/>
    <w:rsid w:val="00792021"/>
    <w:rsid w:val="007931F1"/>
    <w:rsid w:val="0079357A"/>
    <w:rsid w:val="007956B8"/>
    <w:rsid w:val="007A06E5"/>
    <w:rsid w:val="007A0E89"/>
    <w:rsid w:val="007A10D2"/>
    <w:rsid w:val="007A1463"/>
    <w:rsid w:val="007A17A2"/>
    <w:rsid w:val="007A38DD"/>
    <w:rsid w:val="007A3D1F"/>
    <w:rsid w:val="007A5781"/>
    <w:rsid w:val="007A6A01"/>
    <w:rsid w:val="007B1334"/>
    <w:rsid w:val="007B15B0"/>
    <w:rsid w:val="007B2E43"/>
    <w:rsid w:val="007B34EA"/>
    <w:rsid w:val="007B3A11"/>
    <w:rsid w:val="007B4435"/>
    <w:rsid w:val="007B5D64"/>
    <w:rsid w:val="007B62CB"/>
    <w:rsid w:val="007B682E"/>
    <w:rsid w:val="007B6EDB"/>
    <w:rsid w:val="007B7C64"/>
    <w:rsid w:val="007C0523"/>
    <w:rsid w:val="007C085F"/>
    <w:rsid w:val="007C0CF5"/>
    <w:rsid w:val="007C19EA"/>
    <w:rsid w:val="007C1F97"/>
    <w:rsid w:val="007C2ECC"/>
    <w:rsid w:val="007C5110"/>
    <w:rsid w:val="007C66F7"/>
    <w:rsid w:val="007C75C2"/>
    <w:rsid w:val="007D02F8"/>
    <w:rsid w:val="007D143D"/>
    <w:rsid w:val="007D1DC5"/>
    <w:rsid w:val="007D33CF"/>
    <w:rsid w:val="007D342C"/>
    <w:rsid w:val="007D587C"/>
    <w:rsid w:val="007D5CDA"/>
    <w:rsid w:val="007E0427"/>
    <w:rsid w:val="007E0C16"/>
    <w:rsid w:val="007E7254"/>
    <w:rsid w:val="007F0C3D"/>
    <w:rsid w:val="007F1A09"/>
    <w:rsid w:val="007F3CE7"/>
    <w:rsid w:val="007F4012"/>
    <w:rsid w:val="007F4067"/>
    <w:rsid w:val="007F413F"/>
    <w:rsid w:val="007F45DE"/>
    <w:rsid w:val="007F4946"/>
    <w:rsid w:val="007F71DB"/>
    <w:rsid w:val="0080190B"/>
    <w:rsid w:val="00802FD6"/>
    <w:rsid w:val="008039C9"/>
    <w:rsid w:val="00807C68"/>
    <w:rsid w:val="00810246"/>
    <w:rsid w:val="00810497"/>
    <w:rsid w:val="008112B8"/>
    <w:rsid w:val="008115A0"/>
    <w:rsid w:val="00813C9D"/>
    <w:rsid w:val="008173F5"/>
    <w:rsid w:val="00820DE7"/>
    <w:rsid w:val="00821AD0"/>
    <w:rsid w:val="00821C0F"/>
    <w:rsid w:val="00825375"/>
    <w:rsid w:val="008254F0"/>
    <w:rsid w:val="00825F0A"/>
    <w:rsid w:val="00826F8D"/>
    <w:rsid w:val="00827B9D"/>
    <w:rsid w:val="008343BF"/>
    <w:rsid w:val="00834AFE"/>
    <w:rsid w:val="00836FC0"/>
    <w:rsid w:val="00837503"/>
    <w:rsid w:val="00837948"/>
    <w:rsid w:val="00837BDE"/>
    <w:rsid w:val="008402BB"/>
    <w:rsid w:val="008417DA"/>
    <w:rsid w:val="00841ABF"/>
    <w:rsid w:val="00843C41"/>
    <w:rsid w:val="00845354"/>
    <w:rsid w:val="00851D02"/>
    <w:rsid w:val="00852282"/>
    <w:rsid w:val="00852846"/>
    <w:rsid w:val="008548E6"/>
    <w:rsid w:val="0085778D"/>
    <w:rsid w:val="0086046F"/>
    <w:rsid w:val="008612C4"/>
    <w:rsid w:val="00862195"/>
    <w:rsid w:val="008648EB"/>
    <w:rsid w:val="0086770E"/>
    <w:rsid w:val="0087066B"/>
    <w:rsid w:val="00871374"/>
    <w:rsid w:val="008718FF"/>
    <w:rsid w:val="0087312A"/>
    <w:rsid w:val="008743DB"/>
    <w:rsid w:val="00875725"/>
    <w:rsid w:val="008811ED"/>
    <w:rsid w:val="0088135B"/>
    <w:rsid w:val="0088140D"/>
    <w:rsid w:val="008824C9"/>
    <w:rsid w:val="00882E6A"/>
    <w:rsid w:val="008867C0"/>
    <w:rsid w:val="008868E3"/>
    <w:rsid w:val="00890422"/>
    <w:rsid w:val="0089048B"/>
    <w:rsid w:val="008916A6"/>
    <w:rsid w:val="00891BE2"/>
    <w:rsid w:val="008937E3"/>
    <w:rsid w:val="00894511"/>
    <w:rsid w:val="00895846"/>
    <w:rsid w:val="008A1123"/>
    <w:rsid w:val="008A448C"/>
    <w:rsid w:val="008A5DDE"/>
    <w:rsid w:val="008A70FD"/>
    <w:rsid w:val="008A7192"/>
    <w:rsid w:val="008B03A7"/>
    <w:rsid w:val="008B58D7"/>
    <w:rsid w:val="008B77AA"/>
    <w:rsid w:val="008B7D44"/>
    <w:rsid w:val="008C0456"/>
    <w:rsid w:val="008C1509"/>
    <w:rsid w:val="008C1A6B"/>
    <w:rsid w:val="008C2EE6"/>
    <w:rsid w:val="008D5DFB"/>
    <w:rsid w:val="008E03F6"/>
    <w:rsid w:val="008E31AF"/>
    <w:rsid w:val="008E6B73"/>
    <w:rsid w:val="008F1120"/>
    <w:rsid w:val="008F202C"/>
    <w:rsid w:val="008F3368"/>
    <w:rsid w:val="008F3710"/>
    <w:rsid w:val="008F3AC9"/>
    <w:rsid w:val="008F4F17"/>
    <w:rsid w:val="008F4F57"/>
    <w:rsid w:val="008F5347"/>
    <w:rsid w:val="008F71AD"/>
    <w:rsid w:val="008F7BAB"/>
    <w:rsid w:val="00902396"/>
    <w:rsid w:val="00902A4A"/>
    <w:rsid w:val="00903FDE"/>
    <w:rsid w:val="00906A71"/>
    <w:rsid w:val="0091095D"/>
    <w:rsid w:val="00910D50"/>
    <w:rsid w:val="00911E61"/>
    <w:rsid w:val="009120CC"/>
    <w:rsid w:val="0091229A"/>
    <w:rsid w:val="00914E5D"/>
    <w:rsid w:val="00915ECB"/>
    <w:rsid w:val="00927973"/>
    <w:rsid w:val="00930E78"/>
    <w:rsid w:val="00931025"/>
    <w:rsid w:val="00931034"/>
    <w:rsid w:val="00931181"/>
    <w:rsid w:val="009347B9"/>
    <w:rsid w:val="009434CC"/>
    <w:rsid w:val="009504AF"/>
    <w:rsid w:val="00953271"/>
    <w:rsid w:val="00954527"/>
    <w:rsid w:val="009557DF"/>
    <w:rsid w:val="009565F8"/>
    <w:rsid w:val="00962169"/>
    <w:rsid w:val="009626C5"/>
    <w:rsid w:val="00962783"/>
    <w:rsid w:val="0096440E"/>
    <w:rsid w:val="00970165"/>
    <w:rsid w:val="00970917"/>
    <w:rsid w:val="0097157B"/>
    <w:rsid w:val="00972A0A"/>
    <w:rsid w:val="00972B8C"/>
    <w:rsid w:val="00975A6F"/>
    <w:rsid w:val="00975D74"/>
    <w:rsid w:val="00977AE4"/>
    <w:rsid w:val="00977EC1"/>
    <w:rsid w:val="00982CCE"/>
    <w:rsid w:val="00984F3A"/>
    <w:rsid w:val="00986A93"/>
    <w:rsid w:val="009875AD"/>
    <w:rsid w:val="00990C77"/>
    <w:rsid w:val="00991FED"/>
    <w:rsid w:val="009932C0"/>
    <w:rsid w:val="009947BB"/>
    <w:rsid w:val="00995710"/>
    <w:rsid w:val="0099576F"/>
    <w:rsid w:val="009A2447"/>
    <w:rsid w:val="009A3259"/>
    <w:rsid w:val="009A39B2"/>
    <w:rsid w:val="009A3B39"/>
    <w:rsid w:val="009A67F5"/>
    <w:rsid w:val="009A6907"/>
    <w:rsid w:val="009B06D3"/>
    <w:rsid w:val="009B137B"/>
    <w:rsid w:val="009B14D2"/>
    <w:rsid w:val="009B19E3"/>
    <w:rsid w:val="009B23B5"/>
    <w:rsid w:val="009B2F95"/>
    <w:rsid w:val="009B46D9"/>
    <w:rsid w:val="009B7AD1"/>
    <w:rsid w:val="009C2836"/>
    <w:rsid w:val="009C2B24"/>
    <w:rsid w:val="009D1E2B"/>
    <w:rsid w:val="009D21F1"/>
    <w:rsid w:val="009D49B0"/>
    <w:rsid w:val="009D5A8F"/>
    <w:rsid w:val="009D5CFB"/>
    <w:rsid w:val="009D6146"/>
    <w:rsid w:val="009E000E"/>
    <w:rsid w:val="009E11B2"/>
    <w:rsid w:val="009E2049"/>
    <w:rsid w:val="009E23D2"/>
    <w:rsid w:val="009E69E1"/>
    <w:rsid w:val="009F0C50"/>
    <w:rsid w:val="009F17CB"/>
    <w:rsid w:val="009F1CD4"/>
    <w:rsid w:val="009F45DA"/>
    <w:rsid w:val="009F60F2"/>
    <w:rsid w:val="009F637D"/>
    <w:rsid w:val="009F6F5F"/>
    <w:rsid w:val="009F7BB9"/>
    <w:rsid w:val="00A008AF"/>
    <w:rsid w:val="00A010CA"/>
    <w:rsid w:val="00A01C80"/>
    <w:rsid w:val="00A02FD8"/>
    <w:rsid w:val="00A03682"/>
    <w:rsid w:val="00A0391E"/>
    <w:rsid w:val="00A03BB4"/>
    <w:rsid w:val="00A040BA"/>
    <w:rsid w:val="00A055CD"/>
    <w:rsid w:val="00A059BC"/>
    <w:rsid w:val="00A07828"/>
    <w:rsid w:val="00A11F9D"/>
    <w:rsid w:val="00A1316E"/>
    <w:rsid w:val="00A13BB2"/>
    <w:rsid w:val="00A167F2"/>
    <w:rsid w:val="00A20655"/>
    <w:rsid w:val="00A20A52"/>
    <w:rsid w:val="00A216AF"/>
    <w:rsid w:val="00A244DB"/>
    <w:rsid w:val="00A24831"/>
    <w:rsid w:val="00A25806"/>
    <w:rsid w:val="00A26906"/>
    <w:rsid w:val="00A308AB"/>
    <w:rsid w:val="00A30BA4"/>
    <w:rsid w:val="00A30F88"/>
    <w:rsid w:val="00A31904"/>
    <w:rsid w:val="00A32347"/>
    <w:rsid w:val="00A3235D"/>
    <w:rsid w:val="00A33865"/>
    <w:rsid w:val="00A33C12"/>
    <w:rsid w:val="00A35539"/>
    <w:rsid w:val="00A355D8"/>
    <w:rsid w:val="00A37C90"/>
    <w:rsid w:val="00A428B3"/>
    <w:rsid w:val="00A459EF"/>
    <w:rsid w:val="00A461F3"/>
    <w:rsid w:val="00A47D9B"/>
    <w:rsid w:val="00A503A1"/>
    <w:rsid w:val="00A543D3"/>
    <w:rsid w:val="00A5754E"/>
    <w:rsid w:val="00A57BCC"/>
    <w:rsid w:val="00A6091C"/>
    <w:rsid w:val="00A617F9"/>
    <w:rsid w:val="00A625A3"/>
    <w:rsid w:val="00A626EC"/>
    <w:rsid w:val="00A63991"/>
    <w:rsid w:val="00A657D0"/>
    <w:rsid w:val="00A66834"/>
    <w:rsid w:val="00A70308"/>
    <w:rsid w:val="00A75CE3"/>
    <w:rsid w:val="00A773BB"/>
    <w:rsid w:val="00A773C9"/>
    <w:rsid w:val="00A77B94"/>
    <w:rsid w:val="00A82882"/>
    <w:rsid w:val="00A83A9F"/>
    <w:rsid w:val="00A865B6"/>
    <w:rsid w:val="00A87AB8"/>
    <w:rsid w:val="00A87BE1"/>
    <w:rsid w:val="00A91457"/>
    <w:rsid w:val="00A96C3A"/>
    <w:rsid w:val="00A976DA"/>
    <w:rsid w:val="00AA02D4"/>
    <w:rsid w:val="00AA06EB"/>
    <w:rsid w:val="00AA2FB6"/>
    <w:rsid w:val="00AA4CF4"/>
    <w:rsid w:val="00AA6023"/>
    <w:rsid w:val="00AA6036"/>
    <w:rsid w:val="00AB0CCB"/>
    <w:rsid w:val="00AB0DC4"/>
    <w:rsid w:val="00AB0E54"/>
    <w:rsid w:val="00AB1439"/>
    <w:rsid w:val="00AB3C3E"/>
    <w:rsid w:val="00AB4EEA"/>
    <w:rsid w:val="00AB5787"/>
    <w:rsid w:val="00AB661C"/>
    <w:rsid w:val="00AB6A2D"/>
    <w:rsid w:val="00AB6F66"/>
    <w:rsid w:val="00AB7D99"/>
    <w:rsid w:val="00AC1406"/>
    <w:rsid w:val="00AC150A"/>
    <w:rsid w:val="00AC4336"/>
    <w:rsid w:val="00AC5755"/>
    <w:rsid w:val="00AD11DF"/>
    <w:rsid w:val="00AD1230"/>
    <w:rsid w:val="00AD2D47"/>
    <w:rsid w:val="00AD3596"/>
    <w:rsid w:val="00AD70E3"/>
    <w:rsid w:val="00AD72C2"/>
    <w:rsid w:val="00AD763C"/>
    <w:rsid w:val="00AD7699"/>
    <w:rsid w:val="00AE0414"/>
    <w:rsid w:val="00AE1445"/>
    <w:rsid w:val="00AE1709"/>
    <w:rsid w:val="00AE3F6A"/>
    <w:rsid w:val="00AE4F6C"/>
    <w:rsid w:val="00AE6402"/>
    <w:rsid w:val="00AE702A"/>
    <w:rsid w:val="00AF5D51"/>
    <w:rsid w:val="00B00DB4"/>
    <w:rsid w:val="00B01519"/>
    <w:rsid w:val="00B03E4E"/>
    <w:rsid w:val="00B0602E"/>
    <w:rsid w:val="00B073CE"/>
    <w:rsid w:val="00B1035F"/>
    <w:rsid w:val="00B110F6"/>
    <w:rsid w:val="00B13310"/>
    <w:rsid w:val="00B13EE0"/>
    <w:rsid w:val="00B141D5"/>
    <w:rsid w:val="00B17D4F"/>
    <w:rsid w:val="00B22829"/>
    <w:rsid w:val="00B24900"/>
    <w:rsid w:val="00B251EF"/>
    <w:rsid w:val="00B252A5"/>
    <w:rsid w:val="00B27092"/>
    <w:rsid w:val="00B276CA"/>
    <w:rsid w:val="00B27A51"/>
    <w:rsid w:val="00B308CC"/>
    <w:rsid w:val="00B364B3"/>
    <w:rsid w:val="00B417CF"/>
    <w:rsid w:val="00B424F4"/>
    <w:rsid w:val="00B425AA"/>
    <w:rsid w:val="00B43238"/>
    <w:rsid w:val="00B446D8"/>
    <w:rsid w:val="00B44EAE"/>
    <w:rsid w:val="00B458F2"/>
    <w:rsid w:val="00B45FC8"/>
    <w:rsid w:val="00B5126B"/>
    <w:rsid w:val="00B51F43"/>
    <w:rsid w:val="00B520E6"/>
    <w:rsid w:val="00B5555F"/>
    <w:rsid w:val="00B56076"/>
    <w:rsid w:val="00B61C48"/>
    <w:rsid w:val="00B636FD"/>
    <w:rsid w:val="00B63E6B"/>
    <w:rsid w:val="00B66E71"/>
    <w:rsid w:val="00B70201"/>
    <w:rsid w:val="00B7058B"/>
    <w:rsid w:val="00B734A3"/>
    <w:rsid w:val="00B73862"/>
    <w:rsid w:val="00B7412B"/>
    <w:rsid w:val="00B74B90"/>
    <w:rsid w:val="00B766E2"/>
    <w:rsid w:val="00B805AD"/>
    <w:rsid w:val="00B80ED6"/>
    <w:rsid w:val="00B817DD"/>
    <w:rsid w:val="00B81BB6"/>
    <w:rsid w:val="00B81D27"/>
    <w:rsid w:val="00B81F56"/>
    <w:rsid w:val="00B8398F"/>
    <w:rsid w:val="00B83B38"/>
    <w:rsid w:val="00B83FBE"/>
    <w:rsid w:val="00B8443E"/>
    <w:rsid w:val="00B857E3"/>
    <w:rsid w:val="00B85E03"/>
    <w:rsid w:val="00B90583"/>
    <w:rsid w:val="00B91D4F"/>
    <w:rsid w:val="00B91E45"/>
    <w:rsid w:val="00B92BE1"/>
    <w:rsid w:val="00B96BAB"/>
    <w:rsid w:val="00B96FA4"/>
    <w:rsid w:val="00BA34A8"/>
    <w:rsid w:val="00BA35EC"/>
    <w:rsid w:val="00BA44AB"/>
    <w:rsid w:val="00BB1525"/>
    <w:rsid w:val="00BB2666"/>
    <w:rsid w:val="00BB2C17"/>
    <w:rsid w:val="00BB3548"/>
    <w:rsid w:val="00BB4360"/>
    <w:rsid w:val="00BB4EC0"/>
    <w:rsid w:val="00BB6043"/>
    <w:rsid w:val="00BB6190"/>
    <w:rsid w:val="00BB73D4"/>
    <w:rsid w:val="00BB7A75"/>
    <w:rsid w:val="00BC07BA"/>
    <w:rsid w:val="00BC23B8"/>
    <w:rsid w:val="00BC389D"/>
    <w:rsid w:val="00BC5A41"/>
    <w:rsid w:val="00BC6FFD"/>
    <w:rsid w:val="00BC734A"/>
    <w:rsid w:val="00BC7B57"/>
    <w:rsid w:val="00BD120B"/>
    <w:rsid w:val="00BD1EAD"/>
    <w:rsid w:val="00BD3AFF"/>
    <w:rsid w:val="00BD4623"/>
    <w:rsid w:val="00BD5D55"/>
    <w:rsid w:val="00BD6B8F"/>
    <w:rsid w:val="00BD6D9B"/>
    <w:rsid w:val="00BE11DF"/>
    <w:rsid w:val="00BE5550"/>
    <w:rsid w:val="00BE6C38"/>
    <w:rsid w:val="00BE7848"/>
    <w:rsid w:val="00BF023E"/>
    <w:rsid w:val="00BF718D"/>
    <w:rsid w:val="00BF7E79"/>
    <w:rsid w:val="00C0160B"/>
    <w:rsid w:val="00C0328F"/>
    <w:rsid w:val="00C04290"/>
    <w:rsid w:val="00C06808"/>
    <w:rsid w:val="00C074B2"/>
    <w:rsid w:val="00C0778C"/>
    <w:rsid w:val="00C113E8"/>
    <w:rsid w:val="00C139E6"/>
    <w:rsid w:val="00C13AFF"/>
    <w:rsid w:val="00C13F81"/>
    <w:rsid w:val="00C142D4"/>
    <w:rsid w:val="00C15256"/>
    <w:rsid w:val="00C1770F"/>
    <w:rsid w:val="00C17AAC"/>
    <w:rsid w:val="00C17ECD"/>
    <w:rsid w:val="00C22302"/>
    <w:rsid w:val="00C225E2"/>
    <w:rsid w:val="00C23505"/>
    <w:rsid w:val="00C24688"/>
    <w:rsid w:val="00C25948"/>
    <w:rsid w:val="00C27838"/>
    <w:rsid w:val="00C27C68"/>
    <w:rsid w:val="00C324B0"/>
    <w:rsid w:val="00C344E0"/>
    <w:rsid w:val="00C375DE"/>
    <w:rsid w:val="00C40368"/>
    <w:rsid w:val="00C44A68"/>
    <w:rsid w:val="00C47376"/>
    <w:rsid w:val="00C501AB"/>
    <w:rsid w:val="00C5112C"/>
    <w:rsid w:val="00C53195"/>
    <w:rsid w:val="00C5344F"/>
    <w:rsid w:val="00C57000"/>
    <w:rsid w:val="00C65071"/>
    <w:rsid w:val="00C66F58"/>
    <w:rsid w:val="00C67C76"/>
    <w:rsid w:val="00C77E18"/>
    <w:rsid w:val="00C81299"/>
    <w:rsid w:val="00C815B3"/>
    <w:rsid w:val="00C81B1D"/>
    <w:rsid w:val="00C82C75"/>
    <w:rsid w:val="00C84822"/>
    <w:rsid w:val="00C850C7"/>
    <w:rsid w:val="00C872C9"/>
    <w:rsid w:val="00C918B1"/>
    <w:rsid w:val="00C91BEB"/>
    <w:rsid w:val="00C94DCC"/>
    <w:rsid w:val="00C9586F"/>
    <w:rsid w:val="00C969EB"/>
    <w:rsid w:val="00C9703E"/>
    <w:rsid w:val="00C97A00"/>
    <w:rsid w:val="00CA00B1"/>
    <w:rsid w:val="00CA0406"/>
    <w:rsid w:val="00CA0BC0"/>
    <w:rsid w:val="00CA1CE2"/>
    <w:rsid w:val="00CA20A7"/>
    <w:rsid w:val="00CA2613"/>
    <w:rsid w:val="00CA36F7"/>
    <w:rsid w:val="00CA7A6C"/>
    <w:rsid w:val="00CB0DDB"/>
    <w:rsid w:val="00CB12C2"/>
    <w:rsid w:val="00CB14BF"/>
    <w:rsid w:val="00CB1BE2"/>
    <w:rsid w:val="00CB4755"/>
    <w:rsid w:val="00CC00F2"/>
    <w:rsid w:val="00CC07FA"/>
    <w:rsid w:val="00CC2F2D"/>
    <w:rsid w:val="00CC4419"/>
    <w:rsid w:val="00CC5E6C"/>
    <w:rsid w:val="00CD10B4"/>
    <w:rsid w:val="00CD21F1"/>
    <w:rsid w:val="00CD2A5E"/>
    <w:rsid w:val="00CD2EFC"/>
    <w:rsid w:val="00CD4322"/>
    <w:rsid w:val="00CD4711"/>
    <w:rsid w:val="00CD7604"/>
    <w:rsid w:val="00CE2C86"/>
    <w:rsid w:val="00CE2F75"/>
    <w:rsid w:val="00CE31FD"/>
    <w:rsid w:val="00CE3BC8"/>
    <w:rsid w:val="00CE586E"/>
    <w:rsid w:val="00CE7E14"/>
    <w:rsid w:val="00CF39F8"/>
    <w:rsid w:val="00CF3A59"/>
    <w:rsid w:val="00CF5D48"/>
    <w:rsid w:val="00D002F7"/>
    <w:rsid w:val="00D003C7"/>
    <w:rsid w:val="00D018B4"/>
    <w:rsid w:val="00D036CC"/>
    <w:rsid w:val="00D03D89"/>
    <w:rsid w:val="00D07F16"/>
    <w:rsid w:val="00D10468"/>
    <w:rsid w:val="00D10D66"/>
    <w:rsid w:val="00D1302A"/>
    <w:rsid w:val="00D14812"/>
    <w:rsid w:val="00D16602"/>
    <w:rsid w:val="00D23645"/>
    <w:rsid w:val="00D24D87"/>
    <w:rsid w:val="00D2523B"/>
    <w:rsid w:val="00D25D42"/>
    <w:rsid w:val="00D31AE9"/>
    <w:rsid w:val="00D3387F"/>
    <w:rsid w:val="00D345B9"/>
    <w:rsid w:val="00D36754"/>
    <w:rsid w:val="00D37590"/>
    <w:rsid w:val="00D37D9B"/>
    <w:rsid w:val="00D4161C"/>
    <w:rsid w:val="00D4364A"/>
    <w:rsid w:val="00D4543E"/>
    <w:rsid w:val="00D455DA"/>
    <w:rsid w:val="00D502A9"/>
    <w:rsid w:val="00D55B5E"/>
    <w:rsid w:val="00D56CCF"/>
    <w:rsid w:val="00D608A1"/>
    <w:rsid w:val="00D60D8B"/>
    <w:rsid w:val="00D629C3"/>
    <w:rsid w:val="00D63614"/>
    <w:rsid w:val="00D64C11"/>
    <w:rsid w:val="00D65FDC"/>
    <w:rsid w:val="00D71B62"/>
    <w:rsid w:val="00D723E9"/>
    <w:rsid w:val="00D72461"/>
    <w:rsid w:val="00D72C49"/>
    <w:rsid w:val="00D74237"/>
    <w:rsid w:val="00D74AA3"/>
    <w:rsid w:val="00D8131E"/>
    <w:rsid w:val="00D82522"/>
    <w:rsid w:val="00D82A4A"/>
    <w:rsid w:val="00D82AA4"/>
    <w:rsid w:val="00D82E98"/>
    <w:rsid w:val="00D93595"/>
    <w:rsid w:val="00D93E12"/>
    <w:rsid w:val="00D93F5E"/>
    <w:rsid w:val="00D96B12"/>
    <w:rsid w:val="00DA09ED"/>
    <w:rsid w:val="00DA1D6B"/>
    <w:rsid w:val="00DA1FEA"/>
    <w:rsid w:val="00DA3884"/>
    <w:rsid w:val="00DA3F21"/>
    <w:rsid w:val="00DA6221"/>
    <w:rsid w:val="00DB16CE"/>
    <w:rsid w:val="00DB1823"/>
    <w:rsid w:val="00DB20AD"/>
    <w:rsid w:val="00DB2786"/>
    <w:rsid w:val="00DB346A"/>
    <w:rsid w:val="00DB4157"/>
    <w:rsid w:val="00DB4310"/>
    <w:rsid w:val="00DB56C1"/>
    <w:rsid w:val="00DB5ABD"/>
    <w:rsid w:val="00DB6D77"/>
    <w:rsid w:val="00DC078D"/>
    <w:rsid w:val="00DC328A"/>
    <w:rsid w:val="00DC34E9"/>
    <w:rsid w:val="00DC4E58"/>
    <w:rsid w:val="00DC57F3"/>
    <w:rsid w:val="00DD0C76"/>
    <w:rsid w:val="00DD3B3F"/>
    <w:rsid w:val="00DD3D3A"/>
    <w:rsid w:val="00DD416F"/>
    <w:rsid w:val="00DD481D"/>
    <w:rsid w:val="00DD5B02"/>
    <w:rsid w:val="00DD5D45"/>
    <w:rsid w:val="00DD75AD"/>
    <w:rsid w:val="00DE1CEE"/>
    <w:rsid w:val="00DE3262"/>
    <w:rsid w:val="00DE5025"/>
    <w:rsid w:val="00DE5645"/>
    <w:rsid w:val="00DE6DAB"/>
    <w:rsid w:val="00DE7A21"/>
    <w:rsid w:val="00DF0288"/>
    <w:rsid w:val="00DF234A"/>
    <w:rsid w:val="00DF359C"/>
    <w:rsid w:val="00DF41AB"/>
    <w:rsid w:val="00DF5449"/>
    <w:rsid w:val="00DF7C4A"/>
    <w:rsid w:val="00E00277"/>
    <w:rsid w:val="00E014E2"/>
    <w:rsid w:val="00E01EA7"/>
    <w:rsid w:val="00E0244B"/>
    <w:rsid w:val="00E033B5"/>
    <w:rsid w:val="00E041C2"/>
    <w:rsid w:val="00E105F4"/>
    <w:rsid w:val="00E130C9"/>
    <w:rsid w:val="00E13F94"/>
    <w:rsid w:val="00E142B5"/>
    <w:rsid w:val="00E146D3"/>
    <w:rsid w:val="00E17222"/>
    <w:rsid w:val="00E21F57"/>
    <w:rsid w:val="00E229DB"/>
    <w:rsid w:val="00E23459"/>
    <w:rsid w:val="00E24CC8"/>
    <w:rsid w:val="00E25BA3"/>
    <w:rsid w:val="00E2630C"/>
    <w:rsid w:val="00E269E3"/>
    <w:rsid w:val="00E3187D"/>
    <w:rsid w:val="00E3257F"/>
    <w:rsid w:val="00E338C1"/>
    <w:rsid w:val="00E35746"/>
    <w:rsid w:val="00E4112B"/>
    <w:rsid w:val="00E42AAE"/>
    <w:rsid w:val="00E45946"/>
    <w:rsid w:val="00E5209B"/>
    <w:rsid w:val="00E53172"/>
    <w:rsid w:val="00E53D14"/>
    <w:rsid w:val="00E556A8"/>
    <w:rsid w:val="00E628F9"/>
    <w:rsid w:val="00E62F90"/>
    <w:rsid w:val="00E62FA3"/>
    <w:rsid w:val="00E63EBE"/>
    <w:rsid w:val="00E71CC6"/>
    <w:rsid w:val="00E71F37"/>
    <w:rsid w:val="00E74F36"/>
    <w:rsid w:val="00E75145"/>
    <w:rsid w:val="00E755C2"/>
    <w:rsid w:val="00E77215"/>
    <w:rsid w:val="00E80042"/>
    <w:rsid w:val="00E8061D"/>
    <w:rsid w:val="00E80EF7"/>
    <w:rsid w:val="00E8147C"/>
    <w:rsid w:val="00E820AD"/>
    <w:rsid w:val="00E831A6"/>
    <w:rsid w:val="00E85E4B"/>
    <w:rsid w:val="00E86BFA"/>
    <w:rsid w:val="00E92BFE"/>
    <w:rsid w:val="00E938FA"/>
    <w:rsid w:val="00E96E16"/>
    <w:rsid w:val="00EA0D41"/>
    <w:rsid w:val="00EA16A0"/>
    <w:rsid w:val="00EA3C1B"/>
    <w:rsid w:val="00EA3D87"/>
    <w:rsid w:val="00EA54BF"/>
    <w:rsid w:val="00EB24A5"/>
    <w:rsid w:val="00EB63AF"/>
    <w:rsid w:val="00EB74C4"/>
    <w:rsid w:val="00EB74ED"/>
    <w:rsid w:val="00EC0897"/>
    <w:rsid w:val="00EC1B4A"/>
    <w:rsid w:val="00EC3338"/>
    <w:rsid w:val="00EC46EF"/>
    <w:rsid w:val="00EC5961"/>
    <w:rsid w:val="00EC6451"/>
    <w:rsid w:val="00EC67F2"/>
    <w:rsid w:val="00EC6BE4"/>
    <w:rsid w:val="00EC7FA0"/>
    <w:rsid w:val="00ED073E"/>
    <w:rsid w:val="00ED1ADE"/>
    <w:rsid w:val="00ED5F4E"/>
    <w:rsid w:val="00ED7C5A"/>
    <w:rsid w:val="00EE1431"/>
    <w:rsid w:val="00EE24EF"/>
    <w:rsid w:val="00EE2556"/>
    <w:rsid w:val="00EE353D"/>
    <w:rsid w:val="00EE362F"/>
    <w:rsid w:val="00EE5A50"/>
    <w:rsid w:val="00EE6720"/>
    <w:rsid w:val="00EE713E"/>
    <w:rsid w:val="00EF04A9"/>
    <w:rsid w:val="00EF297C"/>
    <w:rsid w:val="00EF2B8F"/>
    <w:rsid w:val="00EF2DC3"/>
    <w:rsid w:val="00EF5BAB"/>
    <w:rsid w:val="00EF66EA"/>
    <w:rsid w:val="00F02114"/>
    <w:rsid w:val="00F03EAF"/>
    <w:rsid w:val="00F03F45"/>
    <w:rsid w:val="00F0492D"/>
    <w:rsid w:val="00F04E4B"/>
    <w:rsid w:val="00F05C2C"/>
    <w:rsid w:val="00F064FB"/>
    <w:rsid w:val="00F10C91"/>
    <w:rsid w:val="00F1629C"/>
    <w:rsid w:val="00F220A1"/>
    <w:rsid w:val="00F224F2"/>
    <w:rsid w:val="00F260DA"/>
    <w:rsid w:val="00F26D78"/>
    <w:rsid w:val="00F27FFD"/>
    <w:rsid w:val="00F300E6"/>
    <w:rsid w:val="00F32D90"/>
    <w:rsid w:val="00F3312B"/>
    <w:rsid w:val="00F34665"/>
    <w:rsid w:val="00F35D5D"/>
    <w:rsid w:val="00F379FB"/>
    <w:rsid w:val="00F42C56"/>
    <w:rsid w:val="00F42D9D"/>
    <w:rsid w:val="00F42FD3"/>
    <w:rsid w:val="00F43475"/>
    <w:rsid w:val="00F44FC9"/>
    <w:rsid w:val="00F47054"/>
    <w:rsid w:val="00F47F34"/>
    <w:rsid w:val="00F52718"/>
    <w:rsid w:val="00F52C36"/>
    <w:rsid w:val="00F537E8"/>
    <w:rsid w:val="00F53ACE"/>
    <w:rsid w:val="00F54E0E"/>
    <w:rsid w:val="00F557C9"/>
    <w:rsid w:val="00F57E55"/>
    <w:rsid w:val="00F610BF"/>
    <w:rsid w:val="00F6152E"/>
    <w:rsid w:val="00F617FF"/>
    <w:rsid w:val="00F61D98"/>
    <w:rsid w:val="00F62F2C"/>
    <w:rsid w:val="00F64B51"/>
    <w:rsid w:val="00F65B7E"/>
    <w:rsid w:val="00F66176"/>
    <w:rsid w:val="00F67CF9"/>
    <w:rsid w:val="00F71557"/>
    <w:rsid w:val="00F72658"/>
    <w:rsid w:val="00F7290C"/>
    <w:rsid w:val="00F73F3D"/>
    <w:rsid w:val="00F7407A"/>
    <w:rsid w:val="00F756D0"/>
    <w:rsid w:val="00F76809"/>
    <w:rsid w:val="00F772B4"/>
    <w:rsid w:val="00F776A8"/>
    <w:rsid w:val="00F77ABE"/>
    <w:rsid w:val="00F801CE"/>
    <w:rsid w:val="00F82120"/>
    <w:rsid w:val="00F859A8"/>
    <w:rsid w:val="00F86CB2"/>
    <w:rsid w:val="00F905D9"/>
    <w:rsid w:val="00F90BDE"/>
    <w:rsid w:val="00F919D0"/>
    <w:rsid w:val="00F91BEE"/>
    <w:rsid w:val="00F92ACF"/>
    <w:rsid w:val="00F95CD9"/>
    <w:rsid w:val="00F95FFE"/>
    <w:rsid w:val="00FA11A3"/>
    <w:rsid w:val="00FA1847"/>
    <w:rsid w:val="00FA1D2C"/>
    <w:rsid w:val="00FA37CA"/>
    <w:rsid w:val="00FA3FAA"/>
    <w:rsid w:val="00FA4145"/>
    <w:rsid w:val="00FA4AD4"/>
    <w:rsid w:val="00FA4B8D"/>
    <w:rsid w:val="00FB00AD"/>
    <w:rsid w:val="00FB0C90"/>
    <w:rsid w:val="00FB0DF5"/>
    <w:rsid w:val="00FB1574"/>
    <w:rsid w:val="00FB17A7"/>
    <w:rsid w:val="00FB4CF7"/>
    <w:rsid w:val="00FB515B"/>
    <w:rsid w:val="00FB55E5"/>
    <w:rsid w:val="00FB5FE0"/>
    <w:rsid w:val="00FB6770"/>
    <w:rsid w:val="00FC202C"/>
    <w:rsid w:val="00FC3B8F"/>
    <w:rsid w:val="00FC4000"/>
    <w:rsid w:val="00FC5B72"/>
    <w:rsid w:val="00FC707D"/>
    <w:rsid w:val="00FD40C7"/>
    <w:rsid w:val="00FD4880"/>
    <w:rsid w:val="00FD61BD"/>
    <w:rsid w:val="00FD6B52"/>
    <w:rsid w:val="00FD72B4"/>
    <w:rsid w:val="00FE14C3"/>
    <w:rsid w:val="00FE1BF3"/>
    <w:rsid w:val="00FE376F"/>
    <w:rsid w:val="00FE50F4"/>
    <w:rsid w:val="00FE7A80"/>
    <w:rsid w:val="00FE7E16"/>
    <w:rsid w:val="00FF1179"/>
    <w:rsid w:val="00FF5A07"/>
    <w:rsid w:val="00FF6C03"/>
    <w:rsid w:val="00FF7583"/>
    <w:rsid w:val="00FF7A62"/>
    <w:rsid w:val="00FF7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FF"/>
    <w:pPr>
      <w:jc w:val="both"/>
    </w:pPr>
  </w:style>
  <w:style w:type="paragraph" w:styleId="Heading1">
    <w:name w:val="heading 1"/>
    <w:basedOn w:val="Normal"/>
    <w:next w:val="Normal"/>
    <w:link w:val="Heading1Char"/>
    <w:uiPriority w:val="9"/>
    <w:qFormat/>
    <w:rsid w:val="00521C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1C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78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40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24"/>
    <w:pPr>
      <w:ind w:left="720"/>
      <w:contextualSpacing/>
    </w:pPr>
  </w:style>
  <w:style w:type="paragraph" w:customStyle="1" w:styleId="Body">
    <w:name w:val="Body"/>
    <w:rsid w:val="00F62F2C"/>
    <w:rPr>
      <w:rFonts w:ascii="Helvetica" w:eastAsia="ヒラギノ角ゴ Pro W3" w:hAnsi="Helvetica" w:cs="Times New Roman"/>
      <w:color w:val="000000"/>
      <w:szCs w:val="20"/>
      <w:lang w:val="en-US" w:eastAsia="da-DK"/>
    </w:rPr>
  </w:style>
  <w:style w:type="character" w:styleId="CommentReference">
    <w:name w:val="annotation reference"/>
    <w:basedOn w:val="DefaultParagraphFont"/>
    <w:uiPriority w:val="99"/>
    <w:semiHidden/>
    <w:unhideWhenUsed/>
    <w:rsid w:val="00E35746"/>
    <w:rPr>
      <w:sz w:val="18"/>
      <w:szCs w:val="18"/>
    </w:rPr>
  </w:style>
  <w:style w:type="paragraph" w:styleId="CommentText">
    <w:name w:val="annotation text"/>
    <w:basedOn w:val="Normal"/>
    <w:link w:val="CommentTextChar"/>
    <w:uiPriority w:val="99"/>
    <w:unhideWhenUsed/>
    <w:rsid w:val="00E35746"/>
    <w:rPr>
      <w:rFonts w:eastAsiaTheme="minorEastAsia"/>
      <w:lang w:val="en-US"/>
    </w:rPr>
  </w:style>
  <w:style w:type="character" w:customStyle="1" w:styleId="CommentTextChar">
    <w:name w:val="Comment Text Char"/>
    <w:basedOn w:val="DefaultParagraphFont"/>
    <w:link w:val="CommentText"/>
    <w:uiPriority w:val="99"/>
    <w:rsid w:val="00E35746"/>
    <w:rPr>
      <w:rFonts w:eastAsiaTheme="minorEastAsia"/>
      <w:lang w:val="en-US"/>
    </w:rPr>
  </w:style>
  <w:style w:type="paragraph" w:styleId="FootnoteText">
    <w:name w:val="footnote text"/>
    <w:basedOn w:val="Normal"/>
    <w:link w:val="FootnoteTextChar"/>
    <w:uiPriority w:val="99"/>
    <w:unhideWhenUsed/>
    <w:rsid w:val="00E35746"/>
    <w:rPr>
      <w:rFonts w:eastAsiaTheme="minorEastAsia"/>
      <w:lang w:val="en-US"/>
    </w:rPr>
  </w:style>
  <w:style w:type="character" w:customStyle="1" w:styleId="FootnoteTextChar">
    <w:name w:val="Footnote Text Char"/>
    <w:basedOn w:val="DefaultParagraphFont"/>
    <w:link w:val="FootnoteText"/>
    <w:uiPriority w:val="99"/>
    <w:rsid w:val="00E35746"/>
    <w:rPr>
      <w:rFonts w:eastAsiaTheme="minorEastAsia"/>
      <w:lang w:val="en-US"/>
    </w:rPr>
  </w:style>
  <w:style w:type="character" w:styleId="FootnoteReference">
    <w:name w:val="footnote reference"/>
    <w:basedOn w:val="DefaultParagraphFont"/>
    <w:uiPriority w:val="99"/>
    <w:unhideWhenUsed/>
    <w:rsid w:val="00E35746"/>
    <w:rPr>
      <w:vertAlign w:val="superscript"/>
    </w:rPr>
  </w:style>
  <w:style w:type="paragraph" w:styleId="BalloonText">
    <w:name w:val="Balloon Text"/>
    <w:basedOn w:val="Normal"/>
    <w:link w:val="BalloonTextChar"/>
    <w:uiPriority w:val="99"/>
    <w:semiHidden/>
    <w:unhideWhenUsed/>
    <w:rsid w:val="00E357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5746"/>
    <w:rPr>
      <w:rFonts w:ascii="Times New Roman" w:hAnsi="Times New Roman" w:cs="Times New Roman"/>
      <w:sz w:val="18"/>
      <w:szCs w:val="18"/>
    </w:rPr>
  </w:style>
  <w:style w:type="character" w:customStyle="1" w:styleId="Heading1Char">
    <w:name w:val="Heading 1 Char"/>
    <w:basedOn w:val="DefaultParagraphFont"/>
    <w:link w:val="Heading1"/>
    <w:uiPriority w:val="9"/>
    <w:rsid w:val="00521C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1C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78E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402BB"/>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C5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501AB"/>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862195"/>
    <w:rPr>
      <w:color w:val="808080"/>
    </w:rPr>
  </w:style>
  <w:style w:type="paragraph" w:styleId="CommentSubject">
    <w:name w:val="annotation subject"/>
    <w:basedOn w:val="CommentText"/>
    <w:next w:val="CommentText"/>
    <w:link w:val="CommentSubjectChar"/>
    <w:uiPriority w:val="99"/>
    <w:semiHidden/>
    <w:unhideWhenUsed/>
    <w:rsid w:val="008A7192"/>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8A7192"/>
    <w:rPr>
      <w:rFonts w:eastAsiaTheme="minorEastAsia"/>
      <w:b/>
      <w:bCs/>
      <w:sz w:val="20"/>
      <w:szCs w:val="20"/>
      <w:lang w:val="en-US"/>
    </w:rPr>
  </w:style>
  <w:style w:type="table" w:customStyle="1" w:styleId="PlainTable21">
    <w:name w:val="Plain Table 21"/>
    <w:basedOn w:val="TableNormal"/>
    <w:uiPriority w:val="42"/>
    <w:rsid w:val="00363DF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363DF3"/>
    <w:pPr>
      <w:spacing w:after="200"/>
    </w:pPr>
    <w:rPr>
      <w:rFonts w:ascii="Times New Roman" w:hAnsi="Times New Roman" w:cs="Times New Roman"/>
      <w:i/>
      <w:iCs/>
      <w:color w:val="44546A" w:themeColor="text2"/>
      <w:sz w:val="18"/>
      <w:szCs w:val="18"/>
      <w:lang w:val="en-US"/>
    </w:rPr>
  </w:style>
  <w:style w:type="paragraph" w:customStyle="1" w:styleId="Footnote">
    <w:name w:val="Footnote"/>
    <w:basedOn w:val="FootnoteText"/>
    <w:link w:val="FootnoteChar"/>
    <w:qFormat/>
    <w:rsid w:val="00363DF3"/>
  </w:style>
  <w:style w:type="table" w:styleId="TableGrid">
    <w:name w:val="Table Grid"/>
    <w:basedOn w:val="TableNormal"/>
    <w:uiPriority w:val="59"/>
    <w:rsid w:val="002C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
    <w:name w:val="Footnote Char"/>
    <w:basedOn w:val="FootnoteTextChar"/>
    <w:link w:val="Footnote"/>
    <w:rsid w:val="00363DF3"/>
    <w:rPr>
      <w:rFonts w:eastAsiaTheme="minorEastAsia"/>
      <w:lang w:val="en-US"/>
    </w:rPr>
  </w:style>
  <w:style w:type="character" w:styleId="Hyperlink">
    <w:name w:val="Hyperlink"/>
    <w:basedOn w:val="DefaultParagraphFont"/>
    <w:uiPriority w:val="99"/>
    <w:unhideWhenUsed/>
    <w:rsid w:val="00AC1406"/>
    <w:rPr>
      <w:color w:val="0563C1" w:themeColor="hyperlink"/>
      <w:u w:val="single"/>
    </w:rPr>
  </w:style>
  <w:style w:type="character" w:customStyle="1" w:styleId="UnresolvedMention1">
    <w:name w:val="Unresolved Mention1"/>
    <w:basedOn w:val="DefaultParagraphFont"/>
    <w:uiPriority w:val="99"/>
    <w:semiHidden/>
    <w:unhideWhenUsed/>
    <w:rsid w:val="00AC1406"/>
    <w:rPr>
      <w:color w:val="808080"/>
      <w:shd w:val="clear" w:color="auto" w:fill="E6E6E6"/>
    </w:rPr>
  </w:style>
  <w:style w:type="paragraph" w:styleId="Revision">
    <w:name w:val="Revision"/>
    <w:hidden/>
    <w:uiPriority w:val="99"/>
    <w:semiHidden/>
    <w:rsid w:val="00C9703E"/>
  </w:style>
  <w:style w:type="paragraph" w:customStyle="1" w:styleId="Default">
    <w:name w:val="Default"/>
    <w:rsid w:val="00FA37C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1467E7"/>
    <w:rPr>
      <w:color w:val="954F72" w:themeColor="followedHyperlink"/>
      <w:u w:val="single"/>
    </w:rPr>
  </w:style>
  <w:style w:type="character" w:customStyle="1" w:styleId="apple-converted-space">
    <w:name w:val="apple-converted-space"/>
    <w:basedOn w:val="DefaultParagraphFont"/>
    <w:rsid w:val="00A20655"/>
  </w:style>
  <w:style w:type="paragraph" w:styleId="Header">
    <w:name w:val="header"/>
    <w:basedOn w:val="Normal"/>
    <w:link w:val="HeaderChar"/>
    <w:uiPriority w:val="99"/>
    <w:unhideWhenUsed/>
    <w:rsid w:val="006F34BA"/>
    <w:pPr>
      <w:tabs>
        <w:tab w:val="center" w:pos="4513"/>
        <w:tab w:val="right" w:pos="9026"/>
      </w:tabs>
    </w:pPr>
  </w:style>
  <w:style w:type="character" w:customStyle="1" w:styleId="HeaderChar">
    <w:name w:val="Header Char"/>
    <w:basedOn w:val="DefaultParagraphFont"/>
    <w:link w:val="Header"/>
    <w:uiPriority w:val="99"/>
    <w:rsid w:val="006F34BA"/>
  </w:style>
  <w:style w:type="paragraph" w:styleId="Footer">
    <w:name w:val="footer"/>
    <w:basedOn w:val="Normal"/>
    <w:link w:val="FooterChar"/>
    <w:uiPriority w:val="99"/>
    <w:unhideWhenUsed/>
    <w:rsid w:val="006F34BA"/>
    <w:pPr>
      <w:tabs>
        <w:tab w:val="center" w:pos="4513"/>
        <w:tab w:val="right" w:pos="9026"/>
      </w:tabs>
    </w:pPr>
  </w:style>
  <w:style w:type="character" w:customStyle="1" w:styleId="FooterChar">
    <w:name w:val="Footer Char"/>
    <w:basedOn w:val="DefaultParagraphFont"/>
    <w:link w:val="Footer"/>
    <w:uiPriority w:val="99"/>
    <w:rsid w:val="006F34BA"/>
  </w:style>
  <w:style w:type="paragraph" w:styleId="BodyText">
    <w:name w:val="Body Text"/>
    <w:link w:val="BodyTextChar"/>
    <w:rsid w:val="00EA3D87"/>
    <w:pPr>
      <w:pBdr>
        <w:top w:val="nil"/>
        <w:left w:val="nil"/>
        <w:bottom w:val="nil"/>
        <w:right w:val="nil"/>
        <w:between w:val="nil"/>
        <w:bar w:val="nil"/>
      </w:pBdr>
    </w:pPr>
    <w:rPr>
      <w:rFonts w:ascii="Cambria" w:eastAsia="Cambria" w:hAnsi="Cambria" w:cs="Cambria"/>
      <w:color w:val="000000"/>
      <w:u w:color="000000"/>
      <w:bdr w:val="nil"/>
      <w:lang w:val="nl-NL" w:eastAsia="da-DK"/>
    </w:rPr>
  </w:style>
  <w:style w:type="character" w:customStyle="1" w:styleId="BodyTextChar">
    <w:name w:val="Body Text Char"/>
    <w:basedOn w:val="DefaultParagraphFont"/>
    <w:link w:val="BodyText"/>
    <w:rsid w:val="00EA3D87"/>
    <w:rPr>
      <w:rFonts w:ascii="Cambria" w:eastAsia="Cambria" w:hAnsi="Cambria" w:cs="Cambria"/>
      <w:color w:val="000000"/>
      <w:u w:color="000000"/>
      <w:bdr w:val="nil"/>
      <w:lang w:val="nl-NL" w:eastAsia="da-DK"/>
    </w:rPr>
  </w:style>
  <w:style w:type="paragraph" w:styleId="Bibliography">
    <w:name w:val="Bibliography"/>
    <w:basedOn w:val="Normal"/>
    <w:next w:val="Normal"/>
    <w:uiPriority w:val="37"/>
    <w:unhideWhenUsed/>
    <w:rsid w:val="004F05A2"/>
  </w:style>
  <w:style w:type="paragraph" w:styleId="EndnoteText">
    <w:name w:val="endnote text"/>
    <w:basedOn w:val="Normal"/>
    <w:link w:val="EndnoteTextChar"/>
    <w:uiPriority w:val="99"/>
    <w:semiHidden/>
    <w:unhideWhenUsed/>
    <w:rsid w:val="00841ABF"/>
    <w:rPr>
      <w:sz w:val="20"/>
      <w:szCs w:val="20"/>
    </w:rPr>
  </w:style>
  <w:style w:type="character" w:customStyle="1" w:styleId="EndnoteTextChar">
    <w:name w:val="Endnote Text Char"/>
    <w:basedOn w:val="DefaultParagraphFont"/>
    <w:link w:val="EndnoteText"/>
    <w:uiPriority w:val="99"/>
    <w:semiHidden/>
    <w:rsid w:val="00841ABF"/>
    <w:rPr>
      <w:sz w:val="20"/>
      <w:szCs w:val="20"/>
    </w:rPr>
  </w:style>
  <w:style w:type="character" w:styleId="EndnoteReference">
    <w:name w:val="endnote reference"/>
    <w:basedOn w:val="DefaultParagraphFont"/>
    <w:uiPriority w:val="99"/>
    <w:semiHidden/>
    <w:unhideWhenUsed/>
    <w:rsid w:val="00841ABF"/>
    <w:rPr>
      <w:vertAlign w:val="superscript"/>
    </w:rPr>
  </w:style>
</w:styles>
</file>

<file path=word/webSettings.xml><?xml version="1.0" encoding="utf-8"?>
<w:webSettings xmlns:r="http://schemas.openxmlformats.org/officeDocument/2006/relationships" xmlns:w="http://schemas.openxmlformats.org/wordprocessingml/2006/main">
  <w:divs>
    <w:div w:id="57019825">
      <w:bodyDiv w:val="1"/>
      <w:marLeft w:val="0"/>
      <w:marRight w:val="0"/>
      <w:marTop w:val="0"/>
      <w:marBottom w:val="0"/>
      <w:divBdr>
        <w:top w:val="none" w:sz="0" w:space="0" w:color="auto"/>
        <w:left w:val="none" w:sz="0" w:space="0" w:color="auto"/>
        <w:bottom w:val="none" w:sz="0" w:space="0" w:color="auto"/>
        <w:right w:val="none" w:sz="0" w:space="0" w:color="auto"/>
      </w:divBdr>
    </w:div>
    <w:div w:id="207887305">
      <w:bodyDiv w:val="1"/>
      <w:marLeft w:val="0"/>
      <w:marRight w:val="0"/>
      <w:marTop w:val="0"/>
      <w:marBottom w:val="0"/>
      <w:divBdr>
        <w:top w:val="none" w:sz="0" w:space="0" w:color="auto"/>
        <w:left w:val="none" w:sz="0" w:space="0" w:color="auto"/>
        <w:bottom w:val="none" w:sz="0" w:space="0" w:color="auto"/>
        <w:right w:val="none" w:sz="0" w:space="0" w:color="auto"/>
      </w:divBdr>
    </w:div>
    <w:div w:id="252202032">
      <w:bodyDiv w:val="1"/>
      <w:marLeft w:val="0"/>
      <w:marRight w:val="0"/>
      <w:marTop w:val="0"/>
      <w:marBottom w:val="0"/>
      <w:divBdr>
        <w:top w:val="none" w:sz="0" w:space="0" w:color="auto"/>
        <w:left w:val="none" w:sz="0" w:space="0" w:color="auto"/>
        <w:bottom w:val="none" w:sz="0" w:space="0" w:color="auto"/>
        <w:right w:val="none" w:sz="0" w:space="0" w:color="auto"/>
      </w:divBdr>
    </w:div>
    <w:div w:id="485244776">
      <w:bodyDiv w:val="1"/>
      <w:marLeft w:val="0"/>
      <w:marRight w:val="0"/>
      <w:marTop w:val="0"/>
      <w:marBottom w:val="0"/>
      <w:divBdr>
        <w:top w:val="none" w:sz="0" w:space="0" w:color="auto"/>
        <w:left w:val="none" w:sz="0" w:space="0" w:color="auto"/>
        <w:bottom w:val="none" w:sz="0" w:space="0" w:color="auto"/>
        <w:right w:val="none" w:sz="0" w:space="0" w:color="auto"/>
      </w:divBdr>
    </w:div>
    <w:div w:id="512768970">
      <w:bodyDiv w:val="1"/>
      <w:marLeft w:val="0"/>
      <w:marRight w:val="0"/>
      <w:marTop w:val="0"/>
      <w:marBottom w:val="0"/>
      <w:divBdr>
        <w:top w:val="none" w:sz="0" w:space="0" w:color="auto"/>
        <w:left w:val="none" w:sz="0" w:space="0" w:color="auto"/>
        <w:bottom w:val="none" w:sz="0" w:space="0" w:color="auto"/>
        <w:right w:val="none" w:sz="0" w:space="0" w:color="auto"/>
      </w:divBdr>
    </w:div>
    <w:div w:id="530653126">
      <w:bodyDiv w:val="1"/>
      <w:marLeft w:val="0"/>
      <w:marRight w:val="0"/>
      <w:marTop w:val="0"/>
      <w:marBottom w:val="0"/>
      <w:divBdr>
        <w:top w:val="none" w:sz="0" w:space="0" w:color="auto"/>
        <w:left w:val="none" w:sz="0" w:space="0" w:color="auto"/>
        <w:bottom w:val="none" w:sz="0" w:space="0" w:color="auto"/>
        <w:right w:val="none" w:sz="0" w:space="0" w:color="auto"/>
      </w:divBdr>
    </w:div>
    <w:div w:id="942565950">
      <w:bodyDiv w:val="1"/>
      <w:marLeft w:val="0"/>
      <w:marRight w:val="0"/>
      <w:marTop w:val="0"/>
      <w:marBottom w:val="0"/>
      <w:divBdr>
        <w:top w:val="none" w:sz="0" w:space="0" w:color="auto"/>
        <w:left w:val="none" w:sz="0" w:space="0" w:color="auto"/>
        <w:bottom w:val="none" w:sz="0" w:space="0" w:color="auto"/>
        <w:right w:val="none" w:sz="0" w:space="0" w:color="auto"/>
      </w:divBdr>
    </w:div>
    <w:div w:id="943616696">
      <w:bodyDiv w:val="1"/>
      <w:marLeft w:val="0"/>
      <w:marRight w:val="0"/>
      <w:marTop w:val="0"/>
      <w:marBottom w:val="0"/>
      <w:divBdr>
        <w:top w:val="none" w:sz="0" w:space="0" w:color="auto"/>
        <w:left w:val="none" w:sz="0" w:space="0" w:color="auto"/>
        <w:bottom w:val="none" w:sz="0" w:space="0" w:color="auto"/>
        <w:right w:val="none" w:sz="0" w:space="0" w:color="auto"/>
      </w:divBdr>
    </w:div>
    <w:div w:id="1232502696">
      <w:bodyDiv w:val="1"/>
      <w:marLeft w:val="0"/>
      <w:marRight w:val="0"/>
      <w:marTop w:val="0"/>
      <w:marBottom w:val="0"/>
      <w:divBdr>
        <w:top w:val="none" w:sz="0" w:space="0" w:color="auto"/>
        <w:left w:val="none" w:sz="0" w:space="0" w:color="auto"/>
        <w:bottom w:val="none" w:sz="0" w:space="0" w:color="auto"/>
        <w:right w:val="none" w:sz="0" w:space="0" w:color="auto"/>
      </w:divBdr>
    </w:div>
    <w:div w:id="1272973672">
      <w:bodyDiv w:val="1"/>
      <w:marLeft w:val="0"/>
      <w:marRight w:val="0"/>
      <w:marTop w:val="0"/>
      <w:marBottom w:val="0"/>
      <w:divBdr>
        <w:top w:val="none" w:sz="0" w:space="0" w:color="auto"/>
        <w:left w:val="none" w:sz="0" w:space="0" w:color="auto"/>
        <w:bottom w:val="none" w:sz="0" w:space="0" w:color="auto"/>
        <w:right w:val="none" w:sz="0" w:space="0" w:color="auto"/>
      </w:divBdr>
    </w:div>
    <w:div w:id="1337807399">
      <w:bodyDiv w:val="1"/>
      <w:marLeft w:val="0"/>
      <w:marRight w:val="0"/>
      <w:marTop w:val="0"/>
      <w:marBottom w:val="0"/>
      <w:divBdr>
        <w:top w:val="none" w:sz="0" w:space="0" w:color="auto"/>
        <w:left w:val="none" w:sz="0" w:space="0" w:color="auto"/>
        <w:bottom w:val="none" w:sz="0" w:space="0" w:color="auto"/>
        <w:right w:val="none" w:sz="0" w:space="0" w:color="auto"/>
      </w:divBdr>
    </w:div>
    <w:div w:id="1593929001">
      <w:bodyDiv w:val="1"/>
      <w:marLeft w:val="0"/>
      <w:marRight w:val="0"/>
      <w:marTop w:val="0"/>
      <w:marBottom w:val="0"/>
      <w:divBdr>
        <w:top w:val="none" w:sz="0" w:space="0" w:color="auto"/>
        <w:left w:val="none" w:sz="0" w:space="0" w:color="auto"/>
        <w:bottom w:val="none" w:sz="0" w:space="0" w:color="auto"/>
        <w:right w:val="none" w:sz="0" w:space="0" w:color="auto"/>
      </w:divBdr>
    </w:div>
    <w:div w:id="1601058838">
      <w:bodyDiv w:val="1"/>
      <w:marLeft w:val="0"/>
      <w:marRight w:val="0"/>
      <w:marTop w:val="0"/>
      <w:marBottom w:val="0"/>
      <w:divBdr>
        <w:top w:val="none" w:sz="0" w:space="0" w:color="auto"/>
        <w:left w:val="none" w:sz="0" w:space="0" w:color="auto"/>
        <w:bottom w:val="none" w:sz="0" w:space="0" w:color="auto"/>
        <w:right w:val="none" w:sz="0" w:space="0" w:color="auto"/>
      </w:divBdr>
      <w:divsChild>
        <w:div w:id="1134517444">
          <w:marLeft w:val="0"/>
          <w:marRight w:val="0"/>
          <w:marTop w:val="0"/>
          <w:marBottom w:val="0"/>
          <w:divBdr>
            <w:top w:val="none" w:sz="0" w:space="0" w:color="auto"/>
            <w:left w:val="none" w:sz="0" w:space="0" w:color="auto"/>
            <w:bottom w:val="none" w:sz="0" w:space="0" w:color="auto"/>
            <w:right w:val="none" w:sz="0" w:space="0" w:color="auto"/>
          </w:divBdr>
        </w:div>
      </w:divsChild>
    </w:div>
    <w:div w:id="1637762384">
      <w:bodyDiv w:val="1"/>
      <w:marLeft w:val="0"/>
      <w:marRight w:val="0"/>
      <w:marTop w:val="0"/>
      <w:marBottom w:val="0"/>
      <w:divBdr>
        <w:top w:val="none" w:sz="0" w:space="0" w:color="auto"/>
        <w:left w:val="none" w:sz="0" w:space="0" w:color="auto"/>
        <w:bottom w:val="none" w:sz="0" w:space="0" w:color="auto"/>
        <w:right w:val="none" w:sz="0" w:space="0" w:color="auto"/>
      </w:divBdr>
    </w:div>
    <w:div w:id="1664695377">
      <w:bodyDiv w:val="1"/>
      <w:marLeft w:val="0"/>
      <w:marRight w:val="0"/>
      <w:marTop w:val="0"/>
      <w:marBottom w:val="0"/>
      <w:divBdr>
        <w:top w:val="none" w:sz="0" w:space="0" w:color="auto"/>
        <w:left w:val="none" w:sz="0" w:space="0" w:color="auto"/>
        <w:bottom w:val="none" w:sz="0" w:space="0" w:color="auto"/>
        <w:right w:val="none" w:sz="0" w:space="0" w:color="auto"/>
      </w:divBdr>
    </w:div>
    <w:div w:id="1858885906">
      <w:bodyDiv w:val="1"/>
      <w:marLeft w:val="0"/>
      <w:marRight w:val="0"/>
      <w:marTop w:val="0"/>
      <w:marBottom w:val="0"/>
      <w:divBdr>
        <w:top w:val="none" w:sz="0" w:space="0" w:color="auto"/>
        <w:left w:val="none" w:sz="0" w:space="0" w:color="auto"/>
        <w:bottom w:val="none" w:sz="0" w:space="0" w:color="auto"/>
        <w:right w:val="none" w:sz="0" w:space="0" w:color="auto"/>
      </w:divBdr>
    </w:div>
    <w:div w:id="1894534119">
      <w:bodyDiv w:val="1"/>
      <w:marLeft w:val="0"/>
      <w:marRight w:val="0"/>
      <w:marTop w:val="0"/>
      <w:marBottom w:val="0"/>
      <w:divBdr>
        <w:top w:val="none" w:sz="0" w:space="0" w:color="auto"/>
        <w:left w:val="none" w:sz="0" w:space="0" w:color="auto"/>
        <w:bottom w:val="none" w:sz="0" w:space="0" w:color="auto"/>
        <w:right w:val="none" w:sz="0" w:space="0" w:color="auto"/>
      </w:divBdr>
    </w:div>
    <w:div w:id="197054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works.d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econ.au.dk/the-national-centre-for-register-based-research/danish-registers/" TargetMode="External"/><Relationship Id="rId2" Type="http://schemas.openxmlformats.org/officeDocument/2006/relationships/hyperlink" Target="https://www.retsinformation.dk/Forms/R0710.aspx?id=184891" TargetMode="External"/><Relationship Id="rId1" Type="http://schemas.openxmlformats.org/officeDocument/2006/relationships/hyperlink" Target="https://www.borger.dk/arbejde-dagpenge-f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Ore12</b:Tag>
    <b:SourceType>JournalArticle</b:SourceType>
    <b:Guid>{AA90F717-5CFF-4775-A5DA-30C0262764B7}</b:Guid>
    <b:Author>
      <b:Author>
        <b:NameList>
          <b:Person>
            <b:Last>Oreopoulos</b:Last>
            <b:First>Philip</b:First>
          </b:Person>
          <b:Person>
            <b:Last>von Wachter</b:Last>
            <b:First>Till</b:First>
          </b:Person>
          <b:Person>
            <b:Last>Heisz</b:Last>
            <b:First>Andrew</b:First>
          </b:Person>
        </b:NameList>
      </b:Author>
    </b:Author>
    <b:Title>The Short- and Long-Term Career Effects of Graduating in a Recession</b:Title>
    <b:JournalName>American Economic Journal: Applied Economcs, Vol.4, No. 1</b:JournalName>
    <b:Year>2012</b:Year>
    <b:Pages>pp. 1 - 29</b:Pages>
    <b:RefOrder>7</b:RefOrder>
  </b:Source>
  <b:Source>
    <b:Tag>Pau05</b:Tag>
    <b:SourceType>JournalArticle</b:SourceType>
    <b:Guid>{FD939FD8-63B6-45B3-A794-29DD76501F9D}</b:Guid>
    <b:Author>
      <b:Author>
        <b:NameList>
          <b:Person>
            <b:Last>Gregg</b:Last>
            <b:First>Paul</b:First>
          </b:Person>
          <b:Person>
            <b:Last>Tominey</b:Last>
            <b:First>Emma</b:First>
          </b:Person>
        </b:NameList>
      </b:Author>
    </b:Author>
    <b:Title>The Wage Scar From Male Youth Unemployment</b:Title>
    <b:Year>2005</b:Year>
    <b:JournalName>Labour Economics, Volume 12, Issue 4</b:JournalName>
    <b:Pages>pp. 487 - 509</b:Pages>
    <b:RefOrder>8</b:RefOrder>
  </b:Source>
  <b:Source>
    <b:Tag>Bel18</b:Tag>
    <b:SourceType>JournalArticle</b:SourceType>
    <b:Guid>{39880223-F07B-4CEB-AA68-574FE5E11581}</b:Guid>
    <b:Author>
      <b:Author>
        <b:NameList>
          <b:Person>
            <b:Last>Bell</b:Last>
            <b:First>Brian</b:First>
          </b:Person>
          <b:Person>
            <b:Last>Bindler</b:Last>
            <b:First>Anna</b:First>
          </b:Person>
          <b:Person>
            <b:Last>Machin</b:Last>
            <b:First>Stephen</b:First>
          </b:Person>
        </b:NameList>
      </b:Author>
    </b:Author>
    <b:Title>Crime Scars: Recessions and the Making of Career Criminals</b:Title>
    <b:JournalName>Review of Economics and Statistics, Volume 100, Issue 3</b:JournalName>
    <b:Year>2018</b:Year>
    <b:Pages>pp. 392 - 404</b:Pages>
    <b:RefOrder>1</b:RefOrder>
  </b:Source>
  <b:Source>
    <b:Tag>Dal13</b:Tag>
    <b:SourceType>JournalArticle</b:SourceType>
    <b:Guid>{E6D7D37F-C000-41D4-8205-3E6D3F362C2A}</b:Guid>
    <b:Author>
      <b:Author>
        <b:NameList>
          <b:Person>
            <b:Last>Daly</b:Last>
            <b:First>Michael</b:First>
          </b:Person>
          <b:Person>
            <b:Last>Delaney</b:Last>
            <b:First>Liam</b:First>
          </b:Person>
        </b:NameList>
      </b:Author>
    </b:Author>
    <b:Title>The Scarring Effect of Unemployment Throughout Adulthood on Psychological Distress at age 50</b:Title>
    <b:JournalName>Social Science &amp; Medicine, Volume 80</b:JournalName>
    <b:Year>2013</b:Year>
    <b:Pages>pp. 19 - 23</b:Pages>
    <b:RefOrder>2</b:RefOrder>
  </b:Source>
  <b:Source>
    <b:Tag>Cre16</b:Tag>
    <b:SourceType>JournalArticle</b:SourceType>
    <b:Guid>{7F785105-4A46-42A6-9932-65486EE532E6}</b:Guid>
    <b:Author>
      <b:Author>
        <b:NameList>
          <b:Person>
            <b:Last>Crepon</b:Last>
            <b:First>Bruno</b:First>
          </b:Person>
          <b:Person>
            <b:Last>van den Berg</b:Last>
            <b:First>Gerard</b:First>
          </b:Person>
        </b:NameList>
      </b:Author>
    </b:Author>
    <b:Title>Active Labour Market Policies</b:Title>
    <b:JournalName>Annual Review of Economics, Volume 8</b:JournalName>
    <b:Year>2016</b:Year>
    <b:Pages>pp. 521 - 546</b:Pages>
    <b:RefOrder>3</b:RefOrder>
  </b:Source>
  <b:Source>
    <b:Tag>Car15</b:Tag>
    <b:SourceType>JournalArticle</b:SourceType>
    <b:Guid>{0278D6FD-7A53-4C56-97F3-40503B8C3616}</b:Guid>
    <b:Author>
      <b:Author>
        <b:NameList>
          <b:Person>
            <b:Last>Card</b:Last>
            <b:First>David</b:First>
          </b:Person>
          <b:Person>
            <b:Last>Kluve</b:Last>
            <b:First>Jochen</b:First>
          </b:Person>
          <b:Person>
            <b:Last>Weber</b:Last>
            <b:First>Andrea</b:First>
          </b:Person>
        </b:NameList>
      </b:Author>
    </b:Author>
    <b:Title>Active Labour Market Policy Evaluations: A Meta-Analysis</b:Title>
    <b:JournalName>NBER Working Paper Series, Working Paper 16173</b:JournalName>
    <b:Year>2015</b:Year>
    <b:Pages>pp. 1 - 48</b:Pages>
    <b:RefOrder>5</b:RefOrder>
  </b:Source>
  <b:Source>
    <b:Tag>Cal16</b:Tag>
    <b:SourceType>JournalArticle</b:SourceType>
    <b:Guid>{34FF3C85-08D5-432B-AECD-CBFF837D8E10}</b:Guid>
    <b:Author>
      <b:Author>
        <b:NameList>
          <b:Person>
            <b:Last>Caliendo</b:Last>
            <b:First>Marco</b:First>
          </b:Person>
          <b:Person>
            <b:Last>Schmidl</b:Last>
            <b:First>Ricarda</b:First>
          </b:Person>
        </b:NameList>
      </b:Author>
    </b:Author>
    <b:Title>Youth Unemployment and Active Labor Market Policies in Europe</b:Title>
    <b:JournalName>IZA Journal of Labor Policy, Volume 5, Issue 1</b:JournalName>
    <b:Year>2016</b:Year>
    <b:Pages>pp. 1 - 30</b:Pages>
    <b:RefOrder>4</b:RefOrder>
  </b:Source>
  <b:Source>
    <b:Tag>Lan16</b:Tag>
    <b:SourceType>JournalArticle</b:SourceType>
    <b:Guid>{9F09336F-E73D-40EA-B4AA-88489953D5AC}</b:Guid>
    <b:Author>
      <b:Author>
        <b:NameList>
          <b:Person>
            <b:Last>Landersø</b:Last>
            <b:First>Rasmus</b:First>
          </b:Person>
          <b:Person>
            <b:Last>Heckman</b:Last>
            <b:First>James</b:First>
          </b:Person>
        </b:NameList>
      </b:Author>
    </b:Author>
    <b:Title>The Scandanavian Fantasy: The Sources of Intergenerational Mobility in Denmark and the US</b:Title>
    <b:JournalName>The Scandinavian Journal of Economics, Volume 119, Issue 1</b:JournalName>
    <b:Year>2016</b:Year>
    <b:Pages>pp. 178 - 230</b:Pages>
    <b:RefOrder>9</b:RefOrder>
  </b:Source>
  <b:Source>
    <b:Tag>Sch16</b:Tag>
    <b:SourceType>JournalArticle</b:SourceType>
    <b:Guid>{44310260-8C89-4FAF-89D7-6562CE80BB96}</b:Guid>
    <b:Author>
      <b:Author>
        <b:NameList>
          <b:Person>
            <b:Last>Schultz-Nielsen</b:Last>
            <b:First>Marie</b:First>
            <b:Middle>Louise</b:Middle>
          </b:Person>
          <b:Person>
            <b:Last>Skaksen</b:Last>
            <b:First>Jan</b:First>
            <b:Middle>Rose</b:Middle>
          </b:Person>
        </b:NameList>
      </b:Author>
    </b:Author>
    <b:Title>Den Økonomiske gevinst Ved at Inkludere de Udsatte Unge</b:Title>
    <b:JournalName>Rockwool Fondens Forskningsenhed Arbejdspapir nr. 39</b:JournalName>
    <b:Year>2016</b:Year>
    <b:Pages>pp. 1 - 14</b:Pages>
    <b:RefOrder>10</b:RefOrder>
  </b:Source>
  <b:Source>
    <b:Tag>Ake00</b:Tag>
    <b:SourceType>JournalArticle</b:SourceType>
    <b:Guid>{75B8165B-3F04-4F75-B7E9-5C10465C6AE4}</b:Guid>
    <b:Author>
      <b:Author>
        <b:NameList>
          <b:Person>
            <b:Last>Akerlof</b:Last>
            <b:First>George</b:First>
          </b:Person>
          <b:Person>
            <b:Last>Kranton</b:Last>
            <b:First>Rachel</b:First>
          </b:Person>
        </b:NameList>
      </b:Author>
    </b:Author>
    <b:Title>Economics and Identity</b:Title>
    <b:JournalName>The Quarterly Journal of Economics</b:JournalName>
    <b:Year>2010</b:Year>
    <b:Pages>pp. 715 - 753</b:Pages>
    <b:RefOrder>6</b:RefOrder>
  </b:Source>
  <b:Source>
    <b:Tag>Ben07</b:Tag>
    <b:SourceType>JournalArticle</b:SourceType>
    <b:Guid>{8BA8F34D-6169-4FCA-A3F2-2A5FD32EF4CD}</b:Guid>
    <b:Author>
      <b:Author>
        <b:NameList>
          <b:Person>
            <b:Last>Benson</b:Last>
            <b:First>Peter</b:First>
          </b:Person>
          <b:Person>
            <b:Last>Scales</b:Last>
            <b:First>Peter</b:First>
          </b:Person>
          <b:Person>
            <b:Last>Hamilton</b:Last>
            <b:First>Stephen</b:First>
          </b:Person>
          <b:Person>
            <b:Last>Sesma</b:Last>
            <b:First>Arturo</b:First>
          </b:Person>
        </b:NameList>
      </b:Author>
    </b:Author>
    <b:Title>Positive Youth Development: Theory, Research and Applications</b:Title>
    <b:JournalName>Handbook of Child Psychology</b:JournalName>
    <b:Year>2007</b:Year>
    <b:RefOrder>11</b:RefOrder>
  </b:Source>
  <b:Source>
    <b:Tag>Vyg80</b:Tag>
    <b:SourceType>Book</b:SourceType>
    <b:Guid>{C9C16867-F3F5-4CD1-B4D7-C275BDF5ED54}</b:Guid>
    <b:Author>
      <b:Author>
        <b:NameList>
          <b:Person>
            <b:Last>Vygotsky</b:Last>
            <b:First>L.S.</b:First>
          </b:Person>
        </b:NameList>
      </b:Author>
    </b:Author>
    <b:Title>Mind in Society: Development of Higher Psychological Processes</b:Title>
    <b:Year>1980</b:Year>
    <b:Publisher>Harvard University Press</b:Publisher>
    <b:RefOrder>12</b:RefOrder>
  </b:Source>
  <b:Source>
    <b:Tag>Bru93</b:Tag>
    <b:SourceType>Book</b:SourceType>
    <b:Guid>{C151D4D8-8D0D-4C58-83B1-E15F200822EE}</b:Guid>
    <b:Author>
      <b:Author>
        <b:NameList>
          <b:Person>
            <b:Last>Bruner</b:Last>
            <b:First>Jerome</b:First>
          </b:Person>
        </b:NameList>
      </b:Author>
    </b:Author>
    <b:Title>Acts of Meaning</b:Title>
    <b:Year>1993</b:Year>
    <b:Publisher>Harvard University Press</b:Publisher>
    <b:RefOrder>13</b:RefOrder>
  </b:Source>
  <b:Source>
    <b:Tag>Nis12</b:Tag>
    <b:SourceType>Book</b:SourceType>
    <b:Guid>{E50914DA-2D34-4313-AE5D-BE24F4294C8F}</b:Guid>
    <b:Author>
      <b:Author>
        <b:NameList>
          <b:Person>
            <b:Last>Nissen</b:Last>
            <b:First>Morten</b:First>
          </b:Person>
        </b:NameList>
      </b:Author>
    </b:Author>
    <b:Title>The Subjectivity of Participation: Articulating Social Work Practice with Youth in Copenhagen</b:Title>
    <b:Year>2012</b:Year>
    <b:Publisher>Palgrave Macmillan</b:Publisher>
    <b:RefOrder>14</b:RefOrder>
  </b:Source>
  <b:Source>
    <b:Tag>Whi07</b:Tag>
    <b:SourceType>Book</b:SourceType>
    <b:Guid>{907763D9-9763-43DC-9B35-C4A6B11A1C96}</b:Guid>
    <b:Author>
      <b:Author>
        <b:NameList>
          <b:Person>
            <b:Last>White</b:Last>
            <b:First>Michael</b:First>
          </b:Person>
        </b:NameList>
      </b:Author>
    </b:Author>
    <b:Title>Maps of narrative practice</b:Title>
    <b:Year>2007</b:Year>
    <b:City>New York</b:City>
    <b:Publisher>WW Norton &amp; Co</b:Publisher>
    <b:RefOrder>15</b:RefOrder>
  </b:Source>
  <b:Source>
    <b:Tag>Ros96</b:Tag>
    <b:SourceType>Book</b:SourceType>
    <b:Guid>{A6574BD4-FBEF-41E9-A5A8-BC83FBBB4ECB}</b:Guid>
    <b:Author>
      <b:Author>
        <b:NameList>
          <b:Person>
            <b:Last>Rose</b:Last>
            <b:First>Nikolas</b:First>
          </b:Person>
        </b:NameList>
      </b:Author>
    </b:Author>
    <b:Title>Iventing our Selves</b:Title>
    <b:Year>1996</b:Year>
    <b:Publisher>Cambridge University Press</b:Publisher>
    <b:RefOrder>16</b:RefOrder>
  </b:Source>
  <b:Source>
    <b:Tag>Whi03</b:Tag>
    <b:SourceType>JournalArticle</b:SourceType>
    <b:Guid>{3935DF45-7E74-4F5C-8C75-2A31961A6ECA}</b:Guid>
    <b:Author>
      <b:Author>
        <b:NameList>
          <b:Person>
            <b:Last>White</b:Last>
            <b:First>Michael</b:First>
          </b:Person>
        </b:NameList>
      </b:Author>
    </b:Author>
    <b:Title>Narrative Practice and Community Assignments</b:Title>
    <b:Year>2003</b:Year>
    <b:JournalName>International Journal of Narrative Therapy &amp; Community Work</b:JournalName>
    <b:Pages>pp. 17-55</b:Pages>
    <b:RefOrder>17</b:RefOrder>
  </b:Source>
  <b:Source>
    <b:Tag>Fou97</b:Tag>
    <b:SourceType>BookSection</b:SourceType>
    <b:Guid>{DC13D68B-2008-4970-BCEC-B1112B80D6DA}</b:Guid>
    <b:Author>
      <b:Author>
        <b:NameList>
          <b:Person>
            <b:Last>Foucault</b:Last>
            <b:First>Michel</b:First>
          </b:Person>
        </b:NameList>
      </b:Author>
      <b:BookAuthor>
        <b:NameList>
          <b:Person>
            <b:Last>Foucault</b:Last>
            <b:First>Michel</b:First>
          </b:Person>
          <b:Person>
            <b:Last>Rabinow</b:Last>
            <b:First>Paul</b:First>
          </b:Person>
        </b:NameList>
      </b:BookAuthor>
    </b:Author>
    <b:Title>Technologies of the Self</b:Title>
    <b:Year>1997</b:Year>
    <b:City>New York</b:City>
    <b:Publisher>WW Norton</b:Publisher>
    <b:BookTitle>Ethics: subjectivity and truth</b:BookTitle>
    <b:RefOrder>18</b:RefOrder>
  </b:Source>
  <b:Source>
    <b:Tag>Rom05</b:Tag>
    <b:SourceType>JournalArticle</b:SourceType>
    <b:Guid>{8EE50E4C-28F7-469D-A5E4-1A4E82988721}</b:Guid>
    <b:Author>
      <b:Author>
        <b:NameList>
          <b:Person>
            <b:Last>Romano</b:Last>
            <b:First>Joseph</b:First>
          </b:Person>
          <b:Person>
            <b:Last>Wolf</b:Last>
            <b:First>Michael</b:First>
          </b:Person>
        </b:NameList>
      </b:Author>
    </b:Author>
    <b:Title>Stepwise Multiple Testing as Formalized Data Snooping</b:Title>
    <b:Year>2005</b:Year>
    <b:Pages>Volume 73, Issue 4, pp. 1237-1282</b:Pages>
    <b:JournalName>Econometrica</b:JournalName>
    <b:RefOrder>19</b:RefOrder>
  </b:Source>
  <b:Source>
    <b:Tag>Rom051</b:Tag>
    <b:SourceType>JournalArticle</b:SourceType>
    <b:Guid>{C4104091-1996-484C-98C4-9E3BB89250EE}</b:Guid>
    <b:Author>
      <b:Author>
        <b:NameList>
          <b:Person>
            <b:Last>Romano</b:Last>
            <b:First>Joseph</b:First>
          </b:Person>
          <b:Person>
            <b:Last>Wolf</b:Last>
            <b:First>Michael</b:First>
          </b:Person>
        </b:NameList>
      </b:Author>
    </b:Author>
    <b:Title>Exact and Approximate Stepdown Methods for Multiple Hypothesis Testing</b:Title>
    <b:JournalName>Journal of the American Statistical Association</b:JournalName>
    <b:Year>2011</b:Year>
    <b:Pages>Volume 100, Issue 469, pp. 94-108</b:Pages>
    <b:RefOrder>20</b:RefOrder>
  </b:Source>
</b:Sources>
</file>

<file path=customXml/itemProps1.xml><?xml version="1.0" encoding="utf-8"?>
<ds:datastoreItem xmlns:ds="http://schemas.openxmlformats.org/officeDocument/2006/customXml" ds:itemID="{458AC020-CDD7-418B-B580-04F98335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7378</Words>
  <Characters>42061</Characters>
  <Application>Microsoft Office Word</Application>
  <DocSecurity>0</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Institute for Fiscal Studies</Company>
  <LinksUpToDate>false</LinksUpToDate>
  <CharactersWithSpaces>49341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Krutikova</dc:creator>
  <cp:lastModifiedBy>sam_c</cp:lastModifiedBy>
  <cp:revision>2</cp:revision>
  <cp:lastPrinted>2018-09-12T08:43:00Z</cp:lastPrinted>
  <dcterms:created xsi:type="dcterms:W3CDTF">2019-10-08T12:54:00Z</dcterms:created>
  <dcterms:modified xsi:type="dcterms:W3CDTF">2019-10-08T12:54:00Z</dcterms:modified>
</cp:coreProperties>
</file>