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7C34" w:rsidRDefault="00940BF5">
      <w:pPr>
        <w:rPr>
          <w:b/>
        </w:rPr>
      </w:pPr>
      <w:r>
        <w:rPr>
          <w:b/>
        </w:rPr>
        <w:t>Title: Can Asset Transfer &amp; Asset Protection Policies Alter Poverty Dynamics in Northern Kenya?</w:t>
      </w:r>
    </w:p>
    <w:p w:rsidR="00F47C34" w:rsidRDefault="00F47C34">
      <w:pPr>
        <w:rPr>
          <w:b/>
        </w:rPr>
      </w:pPr>
    </w:p>
    <w:p w:rsidR="00F47C34" w:rsidRDefault="00940BF5">
      <w:r>
        <w:rPr>
          <w:b/>
        </w:rPr>
        <w:t>Country</w:t>
      </w:r>
      <w:r w:rsidR="00E402C3">
        <w:rPr>
          <w:b/>
        </w:rPr>
        <w:t xml:space="preserve">: </w:t>
      </w:r>
      <w:r>
        <w:t>Kenya</w:t>
      </w:r>
    </w:p>
    <w:p w:rsidR="00E402C3" w:rsidRDefault="00E402C3">
      <w:pPr>
        <w:rPr>
          <w:b/>
        </w:rPr>
      </w:pPr>
    </w:p>
    <w:p w:rsidR="00F47C34" w:rsidRDefault="00940BF5">
      <w:r>
        <w:rPr>
          <w:b/>
        </w:rPr>
        <w:t>Region</w:t>
      </w:r>
      <w:r w:rsidR="00E402C3">
        <w:rPr>
          <w:b/>
        </w:rPr>
        <w:t xml:space="preserve">: </w:t>
      </w:r>
      <w:r>
        <w:t>Samburu County</w:t>
      </w:r>
    </w:p>
    <w:p w:rsidR="00E402C3" w:rsidRDefault="00E402C3"/>
    <w:p w:rsidR="00E402C3" w:rsidRPr="00E402C3" w:rsidRDefault="00940BF5">
      <w:pPr>
        <w:rPr>
          <w:bCs/>
        </w:rPr>
      </w:pPr>
      <w:r>
        <w:rPr>
          <w:b/>
        </w:rPr>
        <w:t>Primary Investigator</w:t>
      </w:r>
      <w:r w:rsidR="00E402C3">
        <w:rPr>
          <w:b/>
        </w:rPr>
        <w:t xml:space="preserve">: </w:t>
      </w:r>
      <w:r w:rsidR="00E402C3" w:rsidRPr="00E402C3">
        <w:rPr>
          <w:bCs/>
        </w:rPr>
        <w:t xml:space="preserve">Nathan Jensen, International Livestock Research Institute, </w:t>
      </w:r>
      <w:hyperlink r:id="rId7" w:history="1">
        <w:r w:rsidR="00E402C3" w:rsidRPr="00E402C3">
          <w:rPr>
            <w:rStyle w:val="Hyperlink"/>
            <w:bCs/>
          </w:rPr>
          <w:t>n.jensen@cgiar.org</w:t>
        </w:r>
      </w:hyperlink>
    </w:p>
    <w:p w:rsidR="00E402C3" w:rsidRDefault="00E402C3">
      <w:pPr>
        <w:rPr>
          <w:b/>
        </w:rPr>
      </w:pPr>
    </w:p>
    <w:p w:rsidR="00F47C34" w:rsidRDefault="00940BF5">
      <w:pPr>
        <w:rPr>
          <w:b/>
        </w:rPr>
      </w:pPr>
      <w:r>
        <w:rPr>
          <w:b/>
        </w:rPr>
        <w:t>Abstract</w:t>
      </w:r>
    </w:p>
    <w:p w:rsidR="00E402C3" w:rsidRPr="00E402C3" w:rsidRDefault="00E402C3" w:rsidP="00E402C3">
      <w:pPr>
        <w:rPr>
          <w:bCs/>
        </w:rPr>
      </w:pPr>
      <w:r w:rsidRPr="00E402C3">
        <w:rPr>
          <w:bCs/>
        </w:rPr>
        <w:t>The pastoralist regions of Northern Kenya have seen a number of interventions intended to address the deep poverty and the extreme vulnerability with which it is intertwined. This research examines two of those interventions that have recently received a great deal of public support and recognition.</w:t>
      </w:r>
      <w:r>
        <w:rPr>
          <w:bCs/>
        </w:rPr>
        <w:t xml:space="preserve"> </w:t>
      </w:r>
      <w:r w:rsidRPr="00E402C3">
        <w:rPr>
          <w:bCs/>
        </w:rPr>
        <w:t>Index Based Livestock Insurance (IBLI) Asset Protection Program, which developed a satellite-based index that triggers payouts to households that experience climatic shocks, allowing them to protect their assets. Rural Entrepreneur Access Project (REAP) Asset Transfer (or Graduation) Program, which transfers and helps poor women build a suite of tangible and intangible (or psychological) assets.</w:t>
      </w:r>
    </w:p>
    <w:p w:rsidR="00E402C3" w:rsidRPr="00E402C3" w:rsidRDefault="00E402C3" w:rsidP="00E402C3">
      <w:pPr>
        <w:rPr>
          <w:bCs/>
        </w:rPr>
      </w:pPr>
    </w:p>
    <w:p w:rsidR="00E402C3" w:rsidRPr="00E402C3" w:rsidRDefault="00E402C3" w:rsidP="00E402C3">
      <w:pPr>
        <w:rPr>
          <w:bCs/>
        </w:rPr>
      </w:pPr>
      <w:r w:rsidRPr="00E402C3">
        <w:rPr>
          <w:bCs/>
        </w:rPr>
        <w:t>While there is evidence that both programs are individually effective in the short to medium term, the programs have the potential to complement each other and in combination offer a package that fundamentally alters poverty in the region. Having secured the cooperation of the program implementers, the research proposed here will test the efficacy of this package and how best and most cost-effectively to assemble it.</w:t>
      </w:r>
      <w:r>
        <w:rPr>
          <w:bCs/>
        </w:rPr>
        <w:t xml:space="preserve"> </w:t>
      </w:r>
      <w:bookmarkStart w:id="0" w:name="_GoBack"/>
      <w:bookmarkEnd w:id="0"/>
      <w:r w:rsidRPr="00E402C3">
        <w:rPr>
          <w:bCs/>
        </w:rPr>
        <w:t>The primary objectives of the proposed research are to (1) measure the impact of each of Rural Entrepreneur Access Project (REAP) graduation program and Index Based Livestock Insurance (IBLI) on the extent and depth of poverty at the community level in Samburu North in northern Kenya, and (2) compare that to the impacts of a package that combines both interventions.</w:t>
      </w:r>
    </w:p>
    <w:p w:rsidR="00F47C34" w:rsidRDefault="00940BF5">
      <w:pPr>
        <w:pStyle w:val="Heading1"/>
      </w:pPr>
      <w:bookmarkStart w:id="1" w:name="_4tedurmnnpq7" w:colFirst="0" w:colLast="0"/>
      <w:bookmarkEnd w:id="1"/>
      <w:r>
        <w:t>Experimental Details</w:t>
      </w:r>
    </w:p>
    <w:p w:rsidR="00F47C34" w:rsidRDefault="00940BF5">
      <w:pPr>
        <w:numPr>
          <w:ilvl w:val="0"/>
          <w:numId w:val="1"/>
        </w:numPr>
        <w:rPr>
          <w:b/>
        </w:rPr>
      </w:pPr>
      <w:r>
        <w:rPr>
          <w:b/>
        </w:rPr>
        <w:t>Interventions</w:t>
      </w:r>
    </w:p>
    <w:p w:rsidR="00F47C34" w:rsidRDefault="00F47C34">
      <w:pPr>
        <w:ind w:left="720"/>
        <w:rPr>
          <w:b/>
        </w:rPr>
      </w:pPr>
    </w:p>
    <w:p w:rsidR="00F47C34" w:rsidRDefault="00940BF5">
      <w:r>
        <w:t>Intervention 1: REAP (Rural Entrepreneur Access Project)</w:t>
      </w:r>
    </w:p>
    <w:p w:rsidR="00F47C34" w:rsidRDefault="00940BF5">
      <w:r>
        <w:t>The NGO BOMA has implemented the REAP graduation intervention in the Kenyan ASALs following a model relatively similar to the BRAC ultra-poor programs. The REAP intervention is a two-year program tha</w:t>
      </w:r>
      <w:r>
        <w:t>t helps targeted women to build 3-person businesses. It includes a support package consisting of business training, cash grants for micro-enterprise start-up and support in starting and registering savings groups, as well as intense one-on-one training and</w:t>
      </w:r>
      <w:r>
        <w:t xml:space="preserve"> mentoring. </w:t>
      </w:r>
    </w:p>
    <w:p w:rsidR="00F47C34" w:rsidRDefault="00F47C34"/>
    <w:p w:rsidR="00F47C34" w:rsidRDefault="00940BF5">
      <w:r>
        <w:t xml:space="preserve">The objective of the REAP program is to address three constraints faced by the poorest households in the ASALs: low income, irregular cash flows, and scarce access to financial </w:t>
      </w:r>
      <w:r>
        <w:lastRenderedPageBreak/>
        <w:t xml:space="preserve">services. The goal is to lift households out of extreme poverty, </w:t>
      </w:r>
      <w:r>
        <w:t>i.e. for graduating women to be able to meet basic needs such as accessing food security, paying education and medical expenditures, and building a small savings base. External assessments of the REAP intervention have shown that at the point of graduation</w:t>
      </w:r>
      <w:r>
        <w:t>, it improves the welfare of its participants (</w:t>
      </w:r>
      <w:proofErr w:type="spellStart"/>
      <w:r>
        <w:rPr>
          <w:color w:val="222222"/>
          <w:sz w:val="20"/>
          <w:szCs w:val="20"/>
          <w:highlight w:val="white"/>
        </w:rPr>
        <w:t>Gobin</w:t>
      </w:r>
      <w:proofErr w:type="spellEnd"/>
      <w:r>
        <w:rPr>
          <w:color w:val="222222"/>
          <w:sz w:val="20"/>
          <w:szCs w:val="20"/>
          <w:highlight w:val="white"/>
        </w:rPr>
        <w:t>, Santos, &amp; Toth, 2017)</w:t>
      </w:r>
      <w:r>
        <w:t xml:space="preserve">. While the price of this intervention is somewhat modest compared to continuing cash transfers, the cost and intensity of the REAP (and other graduation programs) raises questions </w:t>
      </w:r>
      <w:r>
        <w:t xml:space="preserve">about how to lower its cost and more rapidly spread its benefits.  </w:t>
      </w:r>
    </w:p>
    <w:p w:rsidR="00F47C34" w:rsidRDefault="00F47C34"/>
    <w:p w:rsidR="00F47C34" w:rsidRDefault="00940BF5">
      <w:r>
        <w:t xml:space="preserve">Intervention 2: Index Based Livestock Insurance (IBLI) </w:t>
      </w:r>
    </w:p>
    <w:p w:rsidR="00F47C34" w:rsidRDefault="00940BF5">
      <w:r>
        <w:t xml:space="preserve">IBLI has been sold as a commercial insurance product in northern Kenya since 2010. The insurance relies on an NDVI satellite index </w:t>
      </w:r>
      <w:r>
        <w:t>to measure relative forage availability and make insurance payments when levels are much below normal for that region during that period. Since its inception, IBLI has expanded to include seven counties in Kenya and the Borena Zone of Ethiopia. The governm</w:t>
      </w:r>
      <w:r>
        <w:t>ent of Kenya launched the Kenya Livestock Insurance program (KLIP) in 2015, which purchases IBLI insurance coverage for over 18,000 targeted pastoralists. Findings from various studies suggest that IBLI has the potential to alter poverty dynamics by preven</w:t>
      </w:r>
      <w:r>
        <w:t xml:space="preserve">ting descent and promoting ascent of poor households ( e.g., Janzen &amp; Carter 2019; Jensen, Mude &amp; Barrett 2018; </w:t>
      </w:r>
      <w:r>
        <w:rPr>
          <w:color w:val="222222"/>
          <w:sz w:val="20"/>
          <w:szCs w:val="20"/>
          <w:highlight w:val="white"/>
        </w:rPr>
        <w:t>Matsuda, Takahashi &amp; Ikegami, 2019</w:t>
      </w:r>
      <w:r>
        <w:t>) .</w:t>
      </w:r>
      <w:r>
        <w:rPr>
          <w:sz w:val="14"/>
          <w:szCs w:val="14"/>
        </w:rPr>
        <w:t xml:space="preserve"> </w:t>
      </w:r>
      <w:r>
        <w:t xml:space="preserve">These important impacts coupled with the low demand for the commercial product suggest an opportunity for </w:t>
      </w:r>
      <w:r>
        <w:t xml:space="preserve">public support in the form of premium subsidies as well as other institutional and policy support.  </w:t>
      </w:r>
    </w:p>
    <w:p w:rsidR="00F47C34" w:rsidRDefault="00F47C34"/>
    <w:p w:rsidR="00F47C34" w:rsidRDefault="00940BF5">
      <w:r>
        <w:t>For this study, a private insurance company will offer IBLI contracts in the study area beginning in January 2018. The study will then randomize participa</w:t>
      </w:r>
      <w:r>
        <w:t>nts into one of four research arms: a control, a KLIP-like 100% subsidy for a specific number of animals, and 2 novel subsidy schemes. . At the heart of the alternative subsidy schemes are a  smoother, less discriminatory rate of subsidy on individually sc</w:t>
      </w:r>
      <w:r>
        <w:t>alable contingent social protection (i.e., subsidized insurance coverage). This design would provide a level of insurance coverage that households can adjust to their level of TLU holding. The level of subsidies is progressively phased out in order to avoi</w:t>
      </w:r>
      <w:r>
        <w:t xml:space="preserve">d the discouragement effect that is characteristic of the KLIP (where the price jumps from 0 to 100% of the market price after a household receives an allotment of free insurance. </w:t>
      </w:r>
    </w:p>
    <w:p w:rsidR="00F47C34" w:rsidRDefault="00F47C34">
      <w:pPr>
        <w:rPr>
          <w:b/>
        </w:rPr>
      </w:pPr>
    </w:p>
    <w:p w:rsidR="00F47C34" w:rsidRDefault="00F47C34"/>
    <w:p w:rsidR="00F47C34" w:rsidRDefault="00940BF5">
      <w:pPr>
        <w:rPr>
          <w:b/>
        </w:rPr>
      </w:pPr>
      <w:r>
        <w:rPr>
          <w:b/>
        </w:rPr>
        <w:t>Intervention Start Date</w:t>
      </w:r>
    </w:p>
    <w:p w:rsidR="00F47C34" w:rsidRDefault="00940BF5">
      <w:r>
        <w:t>January 2018</w:t>
      </w:r>
    </w:p>
    <w:p w:rsidR="00F47C34" w:rsidRDefault="00F47C34"/>
    <w:p w:rsidR="00F47C34" w:rsidRDefault="00940BF5">
      <w:pPr>
        <w:rPr>
          <w:b/>
        </w:rPr>
      </w:pPr>
      <w:r>
        <w:rPr>
          <w:b/>
        </w:rPr>
        <w:t>Intervention End Date</w:t>
      </w:r>
    </w:p>
    <w:p w:rsidR="00F47C34" w:rsidRDefault="00940BF5">
      <w:r>
        <w:t>January 2022</w:t>
      </w:r>
    </w:p>
    <w:p w:rsidR="00F47C34" w:rsidRDefault="00940BF5">
      <w:pPr>
        <w:pStyle w:val="Heading1"/>
      </w:pPr>
      <w:bookmarkStart w:id="2" w:name="_51xtcr8va8i3" w:colFirst="0" w:colLast="0"/>
      <w:bookmarkEnd w:id="2"/>
      <w:r>
        <w:t>Outcomes (end points)</w:t>
      </w:r>
    </w:p>
    <w:p w:rsidR="00F47C34" w:rsidRDefault="00940BF5">
      <w:r>
        <w:t xml:space="preserve">This study will measure the impact of the interventions jointly and individually on three groups of outcomes: material well-being, subjective well-being, and expenditure patterns sensitive to intra-household power dynamics. </w:t>
      </w:r>
    </w:p>
    <w:p w:rsidR="00F47C34" w:rsidRDefault="00F47C34"/>
    <w:p w:rsidR="00F47C34" w:rsidRDefault="00940BF5">
      <w:r>
        <w:lastRenderedPageBreak/>
        <w:t>We consider each of these grou</w:t>
      </w:r>
      <w:r>
        <w:t>ps of outcomes a ‘family’ for the purposes of hypothesis testing, and will use best practice methods to control the familywise error rate (e.g. Holm-Bonferroni or similar).</w:t>
      </w:r>
    </w:p>
    <w:p w:rsidR="00F47C34" w:rsidRDefault="00F47C34"/>
    <w:p w:rsidR="00F47C34" w:rsidRDefault="00940BF5">
      <w:pPr>
        <w:rPr>
          <w:b/>
        </w:rPr>
      </w:pPr>
      <w:r>
        <w:rPr>
          <w:b/>
        </w:rPr>
        <w:t>Material Well-being</w:t>
      </w:r>
    </w:p>
    <w:p w:rsidR="00F47C34" w:rsidRDefault="00F47C34">
      <w:pPr>
        <w:rPr>
          <w:b/>
        </w:rPr>
      </w:pPr>
    </w:p>
    <w:p w:rsidR="00F47C34" w:rsidRDefault="00940BF5">
      <w:r>
        <w:t>We will be measuring the impact of the two programs on two ou</w:t>
      </w:r>
      <w:r>
        <w:t>tcomes in the ‘material well-being’ family: income and productive assets.</w:t>
      </w:r>
    </w:p>
    <w:p w:rsidR="00F47C34" w:rsidRDefault="00F47C34"/>
    <w:p w:rsidR="00F47C34" w:rsidRDefault="00940BF5">
      <w:r>
        <w:t>Household income will be measured by calculating the value of animal products and any other agricultural products (which are rare in this study) produced based on sale prices from t</w:t>
      </w:r>
      <w:r>
        <w:t xml:space="preserve">he dataset and combining that with reported earnings  from other sources. </w:t>
      </w:r>
    </w:p>
    <w:p w:rsidR="00F47C34" w:rsidRDefault="00F47C34"/>
    <w:p w:rsidR="00F47C34" w:rsidRDefault="00940BF5">
      <w:r>
        <w:t xml:space="preserve">The BOMA program is designed to directly increase ownership of productive assets by women, and by extension their households. To measure total change in productive assets, we will </w:t>
      </w:r>
      <w:r>
        <w:t>calculate the total value of those assets using value and price information collected in the survey. Livestock are by far the most commonly-owned assets, and for those we can use sale prices. The value of other assets is reported in the survey, and will be</w:t>
      </w:r>
      <w:r>
        <w:t xml:space="preserve"> combined with livestock values to calculate total asset holdings.</w:t>
      </w:r>
    </w:p>
    <w:p w:rsidR="00F47C34" w:rsidRDefault="00F47C34"/>
    <w:p w:rsidR="00F47C34" w:rsidRDefault="00940BF5">
      <w:pPr>
        <w:rPr>
          <w:b/>
        </w:rPr>
      </w:pPr>
      <w:r>
        <w:rPr>
          <w:b/>
        </w:rPr>
        <w:t>Subjective Well-being</w:t>
      </w:r>
    </w:p>
    <w:p w:rsidR="00F47C34" w:rsidRDefault="00F47C34">
      <w:pPr>
        <w:rPr>
          <w:b/>
        </w:rPr>
      </w:pPr>
    </w:p>
    <w:p w:rsidR="00F47C34" w:rsidRDefault="00940BF5">
      <w:r>
        <w:t>In the category of subjective well-being, we will focus on two outcomes: reported 10-item CES-D score and locus of control, which measures the extent to which respon</w:t>
      </w:r>
      <w:r>
        <w:t>dents feel their own choices affect life outcomes.</w:t>
      </w:r>
    </w:p>
    <w:p w:rsidR="00F47C34" w:rsidRDefault="00F47C34"/>
    <w:p w:rsidR="00F47C34" w:rsidRDefault="00940BF5">
      <w:r>
        <w:t xml:space="preserve">The CES-D Score will be calculated by summing numeric values of answers to the 10 CES-D questions, as is standard practice with this score. </w:t>
      </w:r>
    </w:p>
    <w:p w:rsidR="00F47C34" w:rsidRDefault="00F47C34"/>
    <w:p w:rsidR="00F47C34" w:rsidRDefault="00940BF5">
      <w:r>
        <w:t>The internal locus of control index will be calculated using q</w:t>
      </w:r>
      <w:r>
        <w:t>uestions LOC014, LOC011, LOC003, LOC017, and LOC012 in the survey. For each question where the respondent answers ‘Agree’ or ‘Strongly Agree’ the index increases by one, and for each in which they answer ‘Disagree’ or ‘Strongly Disagree’ it decreases by on</w:t>
      </w:r>
      <w:r>
        <w:t>e. We’ll also calculate and test for changes in the overall locus of control index, which uses answers from all questions.</w:t>
      </w:r>
    </w:p>
    <w:p w:rsidR="00F47C34" w:rsidRDefault="00F47C34"/>
    <w:p w:rsidR="00F47C34" w:rsidRDefault="00940BF5">
      <w:pPr>
        <w:rPr>
          <w:b/>
        </w:rPr>
      </w:pPr>
      <w:r>
        <w:rPr>
          <w:b/>
        </w:rPr>
        <w:t xml:space="preserve">Women Empowerment </w:t>
      </w:r>
    </w:p>
    <w:p w:rsidR="00F47C34" w:rsidRDefault="00F47C34">
      <w:pPr>
        <w:rPr>
          <w:b/>
        </w:rPr>
      </w:pPr>
    </w:p>
    <w:p w:rsidR="00F47C34" w:rsidRDefault="00940BF5">
      <w:r>
        <w:t>The women empowerment index will be constructed based on the International Food Policy Research Institute’s guid</w:t>
      </w:r>
      <w:r>
        <w:t>elines for their Women Empowerment in Agriculture survey, though our questions differ slightly, as they were drawn on the BOMA project’s monitoring and evaluation program. Rather than averaging the numerical results, we will follow IFPRI in using a thresho</w:t>
      </w:r>
      <w:r>
        <w:t>ld based approach for each of two categories: expenditures and assets. The expenditures category will include questions d1-d5 in the survey (five total questions), while the assets category will include questions d6 onward (nine questions). For each catego</w:t>
      </w:r>
      <w:r>
        <w:t xml:space="preserve">ry, we will count the </w:t>
      </w:r>
      <w:r>
        <w:rPr>
          <w:i/>
        </w:rPr>
        <w:lastRenderedPageBreak/>
        <w:t>share</w:t>
      </w:r>
      <w:r>
        <w:t xml:space="preserve"> of questions to which the respondent answered that they have at least </w:t>
      </w:r>
      <w:r>
        <w:rPr>
          <w:i/>
        </w:rPr>
        <w:t>some</w:t>
      </w:r>
      <w:r>
        <w:t xml:space="preserve"> say (specifically, they answered </w:t>
      </w:r>
      <w:r>
        <w:rPr>
          <w:sz w:val="24"/>
          <w:szCs w:val="24"/>
        </w:rPr>
        <w:t>“</w:t>
      </w:r>
      <w:r>
        <w:t>Somewhat – I make some decisions or have a say in some decisions” or better). Results from each of the two categories will then be averaged to generate the empowerment index.</w:t>
      </w:r>
    </w:p>
    <w:p w:rsidR="00F47C34" w:rsidRDefault="00F47C34"/>
    <w:p w:rsidR="00F47C34" w:rsidRDefault="00940BF5">
      <w:pPr>
        <w:rPr>
          <w:b/>
        </w:rPr>
      </w:pPr>
      <w:r>
        <w:rPr>
          <w:b/>
        </w:rPr>
        <w:t>Expenditure Patterns/ Nutrition</w:t>
      </w:r>
    </w:p>
    <w:p w:rsidR="00F47C34" w:rsidRDefault="00F47C34">
      <w:pPr>
        <w:rPr>
          <w:b/>
        </w:rPr>
      </w:pPr>
    </w:p>
    <w:p w:rsidR="00F47C34" w:rsidRDefault="00940BF5">
      <w:r>
        <w:t>We also expect that the interventions may alter</w:t>
      </w:r>
      <w:r>
        <w:t xml:space="preserve"> household expenditure patterns, particularly toward school and nutrition. We will focus on effects in Household Dietary Diversity Scores (HDDS) and the share of boys/girls attending primary school.</w:t>
      </w:r>
    </w:p>
    <w:p w:rsidR="00F47C34" w:rsidRDefault="00F47C34">
      <w:pPr>
        <w:ind w:left="720"/>
        <w:rPr>
          <w:b/>
        </w:rPr>
      </w:pPr>
    </w:p>
    <w:p w:rsidR="00F47C34" w:rsidRDefault="00940BF5">
      <w:pPr>
        <w:rPr>
          <w:b/>
        </w:rPr>
      </w:pPr>
      <w:r>
        <w:rPr>
          <w:b/>
        </w:rPr>
        <w:t>Experimental Design</w:t>
      </w:r>
    </w:p>
    <w:p w:rsidR="00F47C34" w:rsidRDefault="00F47C34"/>
    <w:p w:rsidR="00F47C34" w:rsidRDefault="00940BF5">
      <w:r>
        <w:t>As described above, the study will focus on two sub-populations of interest</w:t>
      </w:r>
      <w:r>
        <w:rPr>
          <w:vertAlign w:val="superscript"/>
        </w:rPr>
        <w:footnoteReference w:id="1"/>
      </w:r>
      <w:r>
        <w:t>: (</w:t>
      </w:r>
      <w:proofErr w:type="spellStart"/>
      <w:r>
        <w:t>i</w:t>
      </w:r>
      <w:proofErr w:type="spellEnd"/>
      <w:r>
        <w:t>) Poor households who are eligible for the REAP program; and, (ii) Vulnerable, non-poor households who are not REAP-eligible but whose assets and living standards place them ju</w:t>
      </w:r>
      <w:r>
        <w:t>st above the eligibility threshold. See footnote 1 for detail on wealth ranking.</w:t>
      </w:r>
    </w:p>
    <w:p w:rsidR="00F47C34" w:rsidRDefault="00F47C34"/>
    <w:p w:rsidR="00F47C34" w:rsidRDefault="00940BF5">
      <w:r>
        <w:t>The experimental design randomly allocates poor, and vulnerable women to the 4 primary treatment arms :</w:t>
      </w:r>
    </w:p>
    <w:p w:rsidR="00F47C34" w:rsidRDefault="00940BF5">
      <w:pPr>
        <w:numPr>
          <w:ilvl w:val="0"/>
          <w:numId w:val="7"/>
        </w:numPr>
      </w:pPr>
      <w:r>
        <w:t>Control: Poor and vulnerable households with no encouragement to purch</w:t>
      </w:r>
      <w:r>
        <w:t>ase IBLI and no opportunity to participate in REAP.</w:t>
      </w:r>
    </w:p>
    <w:p w:rsidR="00F47C34" w:rsidRDefault="00940BF5">
      <w:pPr>
        <w:numPr>
          <w:ilvl w:val="0"/>
          <w:numId w:val="7"/>
        </w:numPr>
      </w:pPr>
      <w:r>
        <w:t>IBLI: Poor and vulnerable households receive a premium discount for IBLI and no opportunity to participate in REAP.</w:t>
      </w:r>
    </w:p>
    <w:p w:rsidR="00F47C34" w:rsidRDefault="00940BF5">
      <w:pPr>
        <w:numPr>
          <w:ilvl w:val="0"/>
          <w:numId w:val="7"/>
        </w:numPr>
      </w:pPr>
      <w:r>
        <w:t>REAP: Poor households have the opportunity to participate in the REAP program but who re</w:t>
      </w:r>
      <w:r>
        <w:t>ceive with no encouragement to purchase IBLI.</w:t>
      </w:r>
    </w:p>
    <w:p w:rsidR="00F47C34" w:rsidRDefault="00940BF5">
      <w:pPr>
        <w:numPr>
          <w:ilvl w:val="0"/>
          <w:numId w:val="7"/>
        </w:numPr>
      </w:pPr>
      <w:r>
        <w:t xml:space="preserve">REAP + IBLI: Poor households have the opportunity to participate in the REAP program and receive a premium discount for IBLI. </w:t>
      </w:r>
    </w:p>
    <w:p w:rsidR="00F47C34" w:rsidRDefault="00F47C34"/>
    <w:p w:rsidR="00F47C34" w:rsidRDefault="00940BF5">
      <w:pPr>
        <w:rPr>
          <w:b/>
        </w:rPr>
      </w:pPr>
      <w:r>
        <w:rPr>
          <w:b/>
        </w:rPr>
        <w:t>Wave of enrollment for REAP-eligible women</w:t>
      </w:r>
    </w:p>
    <w:p w:rsidR="00F47C34" w:rsidRDefault="00F47C34">
      <w:pPr>
        <w:rPr>
          <w:b/>
        </w:rPr>
      </w:pPr>
    </w:p>
    <w:p w:rsidR="00F47C34" w:rsidRDefault="00940BF5">
      <w:r>
        <w:t>Because the REAP program is rolled out</w:t>
      </w:r>
      <w:r>
        <w:t xml:space="preserve"> in waves, women recruited into the REAP program in different waves will have differing durations under in the REAP program by the time of the midline survey. The figures reported in this document correspond to the original planned wave </w:t>
      </w:r>
      <w:r>
        <w:lastRenderedPageBreak/>
        <w:t xml:space="preserve">schedule. They had </w:t>
      </w:r>
      <w:r>
        <w:t xml:space="preserve">changed slightly due to logistical issues by the time this pre-analysis plan was written. </w:t>
      </w:r>
    </w:p>
    <w:p w:rsidR="00F47C34" w:rsidRDefault="00F47C34"/>
    <w:p w:rsidR="00F47C34" w:rsidRDefault="00940BF5">
      <w:r>
        <w:t>The lower half of Table A2.1 subdivides treated women by the treatment duration they will have received by midline and endline. Women with a 24-month treatment dura</w:t>
      </w:r>
      <w:r>
        <w:t xml:space="preserve">tion are those enrolled in wave 1 initiated in March, 2018; those with an 18-month treatment duration are those from wave 2 initiated in September 2018; etc. </w:t>
      </w:r>
    </w:p>
    <w:p w:rsidR="00F47C34" w:rsidRDefault="00F47C34"/>
    <w:p w:rsidR="00F47C34" w:rsidRDefault="00940BF5">
      <w:r>
        <w:t>Following the saturation protocol detailed in the next section, women in the REAP-eligible group</w:t>
      </w:r>
      <w:r>
        <w:t xml:space="preserve"> will be allocated randomly to the following 5 groups prior to initiation of the first REAP wave:</w:t>
      </w:r>
    </w:p>
    <w:p w:rsidR="00F47C34" w:rsidRDefault="00940BF5">
      <w:pPr>
        <w:numPr>
          <w:ilvl w:val="0"/>
          <w:numId w:val="6"/>
        </w:numPr>
      </w:pPr>
      <w:r>
        <w:t>Wave 1 households to be offered REAP enrollment in March, 2018;</w:t>
      </w:r>
    </w:p>
    <w:p w:rsidR="00F47C34" w:rsidRDefault="00940BF5">
      <w:pPr>
        <w:numPr>
          <w:ilvl w:val="0"/>
          <w:numId w:val="6"/>
        </w:numPr>
      </w:pPr>
      <w:r>
        <w:t xml:space="preserve">Wave 2 households to be offered REAP enrollment in September 2018;  </w:t>
      </w:r>
    </w:p>
    <w:p w:rsidR="00F47C34" w:rsidRDefault="00940BF5">
      <w:pPr>
        <w:numPr>
          <w:ilvl w:val="0"/>
          <w:numId w:val="6"/>
        </w:numPr>
      </w:pPr>
      <w:r>
        <w:t>Wave 3 households to be o</w:t>
      </w:r>
      <w:r>
        <w:t>ffered REAP enrollment in March 2019;</w:t>
      </w:r>
    </w:p>
    <w:p w:rsidR="00F47C34" w:rsidRDefault="00940BF5">
      <w:pPr>
        <w:numPr>
          <w:ilvl w:val="0"/>
          <w:numId w:val="6"/>
        </w:numPr>
      </w:pPr>
      <w:r>
        <w:t>Wave 4 households to be offered REAP enrollment in September 2019;</w:t>
      </w:r>
    </w:p>
    <w:p w:rsidR="00F47C34" w:rsidRDefault="00940BF5">
      <w:pPr>
        <w:numPr>
          <w:ilvl w:val="0"/>
          <w:numId w:val="6"/>
        </w:numPr>
      </w:pPr>
      <w:r>
        <w:t>Wave 5 households to be offered REAP enrollment in March 2020; and</w:t>
      </w:r>
    </w:p>
    <w:p w:rsidR="00F47C34" w:rsidRDefault="00940BF5">
      <w:pPr>
        <w:numPr>
          <w:ilvl w:val="0"/>
          <w:numId w:val="6"/>
        </w:numPr>
      </w:pPr>
      <w:r>
        <w:t xml:space="preserve">Permanent Control Households  </w:t>
      </w:r>
    </w:p>
    <w:p w:rsidR="00F47C34" w:rsidRDefault="00F47C34"/>
    <w:p w:rsidR="00F47C34" w:rsidRDefault="00940BF5">
      <w:pPr>
        <w:rPr>
          <w:b/>
        </w:rPr>
      </w:pPr>
      <w:r>
        <w:rPr>
          <w:b/>
        </w:rPr>
        <w:t>Experimental Design Details</w:t>
      </w:r>
    </w:p>
    <w:p w:rsidR="00F47C34" w:rsidRDefault="00940BF5">
      <w:r>
        <w:t>This project includes th</w:t>
      </w:r>
      <w:r>
        <w:t xml:space="preserve">ree different subsidy schemes and a control group purchasing insurance at the market rates. The participants were randomly allocated into treatment or control groups, those that were in the treatment group were then allocated to one of the subsidy groups. </w:t>
      </w:r>
      <w:r>
        <w:t xml:space="preserve">All three subsidy schemes are expected to increase uptake, thereby providing causal identification.  All three schemes offer the same total value of </w:t>
      </w:r>
      <w:r w:rsidR="00FC36BD">
        <w:t>subsidies</w:t>
      </w:r>
      <w:r>
        <w:t>; they are cost neutral to the project. The subsidy schemes have the following details.</w:t>
      </w:r>
    </w:p>
    <w:p w:rsidR="00F47C34" w:rsidRDefault="00F47C34"/>
    <w:p w:rsidR="00F47C34" w:rsidRDefault="00940BF5">
      <w:r>
        <w:t>Control:</w:t>
      </w:r>
    </w:p>
    <w:p w:rsidR="00F47C34" w:rsidRDefault="00940BF5">
      <w:pPr>
        <w:numPr>
          <w:ilvl w:val="0"/>
          <w:numId w:val="3"/>
        </w:numPr>
      </w:pPr>
      <w:r>
        <w:t xml:space="preserve">Insurance coverage available at the commercial premium rates, which vary by index unit but are on the order of 12%-15% of the insured value. </w:t>
      </w:r>
    </w:p>
    <w:p w:rsidR="00F47C34" w:rsidRDefault="00F47C34"/>
    <w:p w:rsidR="00F47C34" w:rsidRDefault="00940BF5">
      <w:r>
        <w:t xml:space="preserve">Scheme A: </w:t>
      </w:r>
    </w:p>
    <w:p w:rsidR="00F47C34" w:rsidRDefault="00940BF5">
      <w:pPr>
        <w:numPr>
          <w:ilvl w:val="0"/>
          <w:numId w:val="2"/>
        </w:numPr>
      </w:pPr>
      <w:r>
        <w:t xml:space="preserve">100% subsidy for the first 4 cattle equivalents, which have an insured value of KES 56,000 (about USD </w:t>
      </w:r>
      <w:r>
        <w:t>523).</w:t>
      </w:r>
    </w:p>
    <w:p w:rsidR="00F47C34" w:rsidRDefault="00940BF5">
      <w:pPr>
        <w:numPr>
          <w:ilvl w:val="0"/>
          <w:numId w:val="2"/>
        </w:numPr>
      </w:pPr>
      <w:r>
        <w:t>0% subsidy on any further coverage.</w:t>
      </w:r>
    </w:p>
    <w:p w:rsidR="00F47C34" w:rsidRDefault="00F47C34"/>
    <w:p w:rsidR="00F47C34" w:rsidRDefault="00940BF5">
      <w:r>
        <w:t>Scheme B:</w:t>
      </w:r>
    </w:p>
    <w:p w:rsidR="00F47C34" w:rsidRDefault="00940BF5">
      <w:pPr>
        <w:numPr>
          <w:ilvl w:val="0"/>
          <w:numId w:val="4"/>
        </w:numPr>
      </w:pPr>
      <w:r>
        <w:t>95% subsidy for the first cattle equivalent.</w:t>
      </w:r>
    </w:p>
    <w:p w:rsidR="00F47C34" w:rsidRDefault="00940BF5">
      <w:pPr>
        <w:numPr>
          <w:ilvl w:val="0"/>
          <w:numId w:val="4"/>
        </w:numPr>
      </w:pPr>
      <w:r>
        <w:t>85% subsidy for the first cattle equivalent.</w:t>
      </w:r>
    </w:p>
    <w:p w:rsidR="00F47C34" w:rsidRDefault="00940BF5">
      <w:pPr>
        <w:numPr>
          <w:ilvl w:val="0"/>
          <w:numId w:val="4"/>
        </w:numPr>
      </w:pPr>
      <w:r>
        <w:t>75% subsidy for the first cattle equivalent.</w:t>
      </w:r>
    </w:p>
    <w:p w:rsidR="00F47C34" w:rsidRDefault="00940BF5">
      <w:pPr>
        <w:numPr>
          <w:ilvl w:val="0"/>
          <w:numId w:val="4"/>
        </w:numPr>
      </w:pPr>
      <w:r>
        <w:t>65% subsidy for the first cattle equivalent.</w:t>
      </w:r>
    </w:p>
    <w:p w:rsidR="00F47C34" w:rsidRDefault="00940BF5">
      <w:pPr>
        <w:numPr>
          <w:ilvl w:val="0"/>
          <w:numId w:val="4"/>
        </w:numPr>
      </w:pPr>
      <w:r>
        <w:t>50% subsidy for the fir</w:t>
      </w:r>
      <w:r>
        <w:t>st cattle equivalent.</w:t>
      </w:r>
    </w:p>
    <w:p w:rsidR="00F47C34" w:rsidRDefault="00940BF5">
      <w:pPr>
        <w:numPr>
          <w:ilvl w:val="0"/>
          <w:numId w:val="4"/>
        </w:numPr>
      </w:pPr>
      <w:r>
        <w:t>35% subsidy for the first cattle equivalent.</w:t>
      </w:r>
    </w:p>
    <w:p w:rsidR="00F47C34" w:rsidRDefault="00940BF5">
      <w:pPr>
        <w:numPr>
          <w:ilvl w:val="0"/>
          <w:numId w:val="4"/>
        </w:numPr>
      </w:pPr>
      <w:r>
        <w:t>0% subsidy on any further coverage.</w:t>
      </w:r>
    </w:p>
    <w:p w:rsidR="00F47C34" w:rsidRDefault="00F47C34"/>
    <w:p w:rsidR="00F47C34" w:rsidRDefault="00940BF5">
      <w:r>
        <w:t>Scheme C:</w:t>
      </w:r>
    </w:p>
    <w:p w:rsidR="00F47C34" w:rsidRDefault="00940BF5">
      <w:pPr>
        <w:numPr>
          <w:ilvl w:val="0"/>
          <w:numId w:val="4"/>
        </w:numPr>
      </w:pPr>
      <w:r>
        <w:lastRenderedPageBreak/>
        <w:t>30% subsidy for the first cattle equivalent.</w:t>
      </w:r>
    </w:p>
    <w:p w:rsidR="00F47C34" w:rsidRDefault="00940BF5">
      <w:pPr>
        <w:numPr>
          <w:ilvl w:val="0"/>
          <w:numId w:val="4"/>
        </w:numPr>
      </w:pPr>
      <w:r>
        <w:t>50% subsidy for the first cattle equivalent.</w:t>
      </w:r>
    </w:p>
    <w:p w:rsidR="00F47C34" w:rsidRDefault="00940BF5">
      <w:pPr>
        <w:numPr>
          <w:ilvl w:val="0"/>
          <w:numId w:val="4"/>
        </w:numPr>
      </w:pPr>
      <w:r>
        <w:t>65% subsidy for the first cattle equivalent.</w:t>
      </w:r>
    </w:p>
    <w:p w:rsidR="00F47C34" w:rsidRDefault="00940BF5">
      <w:pPr>
        <w:numPr>
          <w:ilvl w:val="0"/>
          <w:numId w:val="4"/>
        </w:numPr>
      </w:pPr>
      <w:r>
        <w:t>75% sub</w:t>
      </w:r>
      <w:r>
        <w:t>sidy for the first cattle equivalent.</w:t>
      </w:r>
    </w:p>
    <w:p w:rsidR="00F47C34" w:rsidRDefault="00940BF5">
      <w:pPr>
        <w:numPr>
          <w:ilvl w:val="0"/>
          <w:numId w:val="4"/>
        </w:numPr>
      </w:pPr>
      <w:r>
        <w:t>85% subsidy for the first cattle equivalent.</w:t>
      </w:r>
    </w:p>
    <w:p w:rsidR="00F47C34" w:rsidRDefault="00940BF5">
      <w:pPr>
        <w:numPr>
          <w:ilvl w:val="0"/>
          <w:numId w:val="4"/>
        </w:numPr>
      </w:pPr>
      <w:r>
        <w:t>95% subsidy for the first cattle equivalent.</w:t>
      </w:r>
    </w:p>
    <w:p w:rsidR="00F47C34" w:rsidRDefault="00940BF5">
      <w:pPr>
        <w:numPr>
          <w:ilvl w:val="0"/>
          <w:numId w:val="4"/>
        </w:numPr>
      </w:pPr>
      <w:r>
        <w:t>0% subsidy on any further coverage.</w:t>
      </w:r>
    </w:p>
    <w:p w:rsidR="00F47C34" w:rsidRDefault="00F47C34">
      <w:pPr>
        <w:rPr>
          <w:b/>
        </w:rPr>
      </w:pPr>
    </w:p>
    <w:p w:rsidR="00F47C34" w:rsidRDefault="00940BF5">
      <w:r>
        <w:t>To achieve these sample sizes, we will require a total of 66 communities selected from the 7 mentor areas in Samburu where BOMA is rolling out the REAP program in early 2018. In each community, the sample will be comprised of the following:</w:t>
      </w:r>
    </w:p>
    <w:p w:rsidR="00F47C34" w:rsidRDefault="00940BF5">
      <w:pPr>
        <w:numPr>
          <w:ilvl w:val="0"/>
          <w:numId w:val="5"/>
        </w:numPr>
      </w:pPr>
      <w:r>
        <w:t>One woman selec</w:t>
      </w:r>
      <w:r>
        <w:t>ted at random from each of the 10, 3-women businesses that REAP will initiate in rollout waves 1-4. Half of these women—and their households—will be allocated the insurance treatment. That is, the survey sample will consist of 660 women who across the firs</w:t>
      </w:r>
      <w:r>
        <w:t>t four waves will receive the BOMA treatment, of which 330 will also receive the insurance treatment available from the outset.</w:t>
      </w:r>
    </w:p>
    <w:p w:rsidR="00F47C34" w:rsidRDefault="00940BF5">
      <w:pPr>
        <w:numPr>
          <w:ilvl w:val="0"/>
          <w:numId w:val="5"/>
        </w:numPr>
      </w:pPr>
      <w:r>
        <w:t>Ten women selected at random from the women randomized into the “control households” group. Half of these women—and their househ</w:t>
      </w:r>
      <w:r>
        <w:t>olds—will be offered the insurance treatment.</w:t>
      </w:r>
      <w:r w:rsidR="00FC36BD">
        <w:t xml:space="preserve"> </w:t>
      </w:r>
      <w:r>
        <w:t>That is, the survey sample will consist of 660 BOMA eligible women who will not receive treatment during the duration of the study. Of these, 330 will receive the insurance treatment available from the outset.</w:t>
      </w:r>
    </w:p>
    <w:p w:rsidR="00F47C34" w:rsidRDefault="00940BF5">
      <w:pPr>
        <w:numPr>
          <w:ilvl w:val="0"/>
          <w:numId w:val="5"/>
        </w:numPr>
      </w:pPr>
      <w:r>
        <w:t>In wave 5, 100 of the 660 women who had previously been classified as sample “control households” will be selected to join BOMA groups and thus will switch to the BOMA treated category in the sample. Half of these women (50) will have been treated with ins</w:t>
      </w:r>
      <w:r>
        <w:t>urance and 50 will not. This transition, happening in March 2020, will occur just after the midline. As indicated in Table A2.2 below, this will mean 760 of the sample households will be BOMA-treated at endline, and 560 will remain untreated.</w:t>
      </w:r>
    </w:p>
    <w:p w:rsidR="00F47C34" w:rsidRDefault="00940BF5">
      <w:pPr>
        <w:numPr>
          <w:ilvl w:val="0"/>
          <w:numId w:val="5"/>
        </w:numPr>
      </w:pPr>
      <w:r>
        <w:t>Five women fr</w:t>
      </w:r>
      <w:r>
        <w:t>om Group 2 (the vulnerable women from the REAP-ineligible group). Half of these women (2 or 3)—and their households—will be offered the insurance treatment. Specifically, as shown in Table A2.3, the survey will consist of a sample of 330 group 2 women, hal</w:t>
      </w:r>
      <w:r>
        <w:t>f of which (165) will receive the insurance treatment.</w:t>
      </w:r>
    </w:p>
    <w:p w:rsidR="00F47C34" w:rsidRDefault="00940BF5">
      <w:pPr>
        <w:numPr>
          <w:ilvl w:val="0"/>
          <w:numId w:val="5"/>
        </w:numPr>
      </w:pPr>
      <w:r>
        <w:t>The italicized numbers in the lower half of Table A2.1 show the distribution of treatment durations that the above procedures will obtain at midline. We discuss in the power calculation section below h</w:t>
      </w:r>
      <w:r>
        <w:t xml:space="preserve">ow we will analyze these different treatment durations. Table A2.2 shows these modified numbers as well as the implied distribution of treatment durations at endline </w:t>
      </w:r>
    </w:p>
    <w:p w:rsidR="00F47C34" w:rsidRDefault="00F47C34">
      <w:pPr>
        <w:ind w:left="720"/>
      </w:pPr>
    </w:p>
    <w:p w:rsidR="00F47C34" w:rsidRDefault="00940BF5">
      <w:pPr>
        <w:rPr>
          <w:b/>
        </w:rPr>
      </w:pPr>
      <w:r>
        <w:rPr>
          <w:b/>
        </w:rPr>
        <w:t xml:space="preserve">Experimental Design: Differential Saturation at the Community Level  </w:t>
      </w:r>
    </w:p>
    <w:p w:rsidR="00F47C34" w:rsidRDefault="00940BF5">
      <w:r>
        <w:t>As discussed above</w:t>
      </w:r>
      <w:r>
        <w:t xml:space="preserve"> there are a number of important and highly policy-relevant questions about the spillovers of both the business creation and also the intensive personal mentoring that are hallmarks of BOMA’s REAP program. To study the impact of spillovers (be they positiv</w:t>
      </w:r>
      <w:r>
        <w:t xml:space="preserve">e, negative or non-monotonic), our research design will use the wave rollout structure of the BOMA implementation model to create differential program saturation in communities over the </w:t>
      </w:r>
      <w:r>
        <w:lastRenderedPageBreak/>
        <w:t>baseline to midline period. The saturation design is subject to the fo</w:t>
      </w:r>
      <w:r>
        <w:t xml:space="preserve">llowing constraint imposed by BOMA’s program implementation logic:  </w:t>
      </w:r>
    </w:p>
    <w:p w:rsidR="00F47C34" w:rsidRDefault="00F47C34"/>
    <w:p w:rsidR="00F47C34" w:rsidRDefault="00940BF5">
      <w:r>
        <w:t xml:space="preserve">Table A2.4 lays out the proposed saturation scheme. Constraint 3 (above) and Constraint 7 impose limits on the saturation design. Saturation Scheme A in Table A2.4 is the largest amount </w:t>
      </w:r>
      <w:r>
        <w:t xml:space="preserve">of saturation that can be realized given these constraints, whereas Saturation Scheme B is the minimum amount of saturation that can be realized. Saturations Schemes C and D are less extreme than A and B. The far-right column of the table shows the number </w:t>
      </w:r>
      <w:r>
        <w:t>of communities in each mentor area that would be allocated to each saturation scheme.</w:t>
      </w:r>
    </w:p>
    <w:p w:rsidR="00F47C34" w:rsidRDefault="00F47C34"/>
    <w:p w:rsidR="00F47C34" w:rsidRDefault="00940BF5">
      <w:r>
        <w:t xml:space="preserve">The figures in the square brackets in the first column of Table A2.4 give two alternative measures of the total treatment intensity or saturation under each scheme. The </w:t>
      </w:r>
      <w:r>
        <w:t>first figure in each row (which ranges from 180 to 540) is the total number of months that women in the community would have been enrolled in the REAP program by the time of the midline survey.</w:t>
      </w:r>
      <w:r>
        <w:rPr>
          <w:sz w:val="14"/>
          <w:szCs w:val="14"/>
        </w:rPr>
        <w:t xml:space="preserve">8 </w:t>
      </w:r>
      <w:r>
        <w:t>The second indicator variable (ranging from 3 to 8) is the to</w:t>
      </w:r>
      <w:r>
        <w:t>tal number of new REAP businesses that would have been started by the time of the midline. Here we assume that a new business does not become operational until 6 months of program enrollment. Hence only the businesses from waves 1-3 would be operational by</w:t>
      </w:r>
      <w:r>
        <w:t xml:space="preserve"> the time of the midline survey.</w:t>
      </w:r>
    </w:p>
    <w:p w:rsidR="00F47C34" w:rsidRDefault="00F47C34"/>
    <w:p w:rsidR="00F47C34" w:rsidRDefault="00940BF5">
      <w:r>
        <w:t>While there is no single best measure of saturation level within a community, the first measure (total treatment months) may be more appropriate for gauging aspirational and other psychological spillovers to non-treated wo</w:t>
      </w:r>
      <w:r>
        <w:t>men, while the second measure may be more relevant for gauging pecuniary externalities that economically affect treated and non-treated households. Note that an equal rollout strategy across all communities would imply 360 treatment women months in all vil</w:t>
      </w:r>
      <w:r>
        <w:t>lages and 6 new businesses at midline. In contrast, the variable saturation rate strategy implies variation in both saturation measures. Specifically, under the variable rollout scheme, 60% of treated communities will have 360 women months of treatment, wh</w:t>
      </w:r>
      <w:r>
        <w:t xml:space="preserve">ile 20% will have 50% more treatment (540 months) and 20% will have 50% less (180 months). In terms of new businesses formed by REAP, 50% of communities will have 6 new businesses, 30% will have 8, and 20% will have only 3.  </w:t>
      </w:r>
    </w:p>
    <w:p w:rsidR="00F47C34" w:rsidRDefault="00940BF5">
      <w:r>
        <w:rPr>
          <w:noProof/>
        </w:rPr>
        <w:lastRenderedPageBreak/>
        <w:drawing>
          <wp:inline distT="114300" distB="114300" distL="114300" distR="114300">
            <wp:extent cx="5838825" cy="218122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838825" cy="2181225"/>
                    </a:xfrm>
                    <a:prstGeom prst="rect">
                      <a:avLst/>
                    </a:prstGeom>
                    <a:ln/>
                  </pic:spPr>
                </pic:pic>
              </a:graphicData>
            </a:graphic>
          </wp:inline>
        </w:drawing>
      </w:r>
      <w:r>
        <w:rPr>
          <w:noProof/>
        </w:rPr>
        <w:drawing>
          <wp:inline distT="114300" distB="114300" distL="114300" distR="114300">
            <wp:extent cx="5629275" cy="24288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629275" cy="2428875"/>
                    </a:xfrm>
                    <a:prstGeom prst="rect">
                      <a:avLst/>
                    </a:prstGeom>
                    <a:ln/>
                  </pic:spPr>
                </pic:pic>
              </a:graphicData>
            </a:graphic>
          </wp:inline>
        </w:drawing>
      </w:r>
      <w:r>
        <w:rPr>
          <w:noProof/>
        </w:rPr>
        <w:drawing>
          <wp:inline distT="114300" distB="114300" distL="114300" distR="114300">
            <wp:extent cx="5705475" cy="9334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05475" cy="933450"/>
                    </a:xfrm>
                    <a:prstGeom prst="rect">
                      <a:avLst/>
                    </a:prstGeom>
                    <a:ln/>
                  </pic:spPr>
                </pic:pic>
              </a:graphicData>
            </a:graphic>
          </wp:inline>
        </w:drawing>
      </w:r>
    </w:p>
    <w:p w:rsidR="00F47C34" w:rsidRDefault="00940BF5">
      <w:r>
        <w:rPr>
          <w:noProof/>
        </w:rPr>
        <w:lastRenderedPageBreak/>
        <w:drawing>
          <wp:inline distT="114300" distB="114300" distL="114300" distR="114300">
            <wp:extent cx="5943600" cy="27051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2705100"/>
                    </a:xfrm>
                    <a:prstGeom prst="rect">
                      <a:avLst/>
                    </a:prstGeom>
                    <a:ln/>
                  </pic:spPr>
                </pic:pic>
              </a:graphicData>
            </a:graphic>
          </wp:inline>
        </w:drawing>
      </w:r>
    </w:p>
    <w:p w:rsidR="00F47C34" w:rsidRDefault="00F47C34">
      <w:pPr>
        <w:ind w:left="720"/>
      </w:pPr>
    </w:p>
    <w:p w:rsidR="00F47C34" w:rsidRDefault="00940BF5">
      <w:pPr>
        <w:rPr>
          <w:b/>
        </w:rPr>
      </w:pPr>
      <w:r>
        <w:rPr>
          <w:b/>
        </w:rPr>
        <w:t>IRB</w:t>
      </w:r>
    </w:p>
    <w:p w:rsidR="00F47C34" w:rsidRDefault="00F47C34"/>
    <w:p w:rsidR="00F47C34" w:rsidRDefault="00940BF5">
      <w:r>
        <w:t>The research desig</w:t>
      </w:r>
      <w:r>
        <w:t>n and  data collection for this study was reviewed and approved by UC Davis’ Institutional Review Board and ILRI’s Institutional Research Ethics Committee (Reference number Ref: ILRI-IREC2017-40)</w:t>
      </w:r>
    </w:p>
    <w:p w:rsidR="00F47C34" w:rsidRDefault="00F47C34"/>
    <w:p w:rsidR="00F47C34" w:rsidRDefault="00940BF5">
      <w:pPr>
        <w:rPr>
          <w:b/>
        </w:rPr>
      </w:pPr>
      <w:r>
        <w:rPr>
          <w:b/>
        </w:rPr>
        <w:t>Network data</w:t>
      </w:r>
    </w:p>
    <w:p w:rsidR="00F47C34" w:rsidRDefault="00F47C34"/>
    <w:p w:rsidR="00F47C34" w:rsidRDefault="00940BF5">
      <w:r>
        <w:t>At the time of midline survey, a network modu</w:t>
      </w:r>
      <w:r>
        <w:t>le will be added to the survey asking each respondent in the study to list her closest psychological friends and to provide some basic information about these friends. Up to six psychologically close friends</w:t>
      </w:r>
      <w:r>
        <w:rPr>
          <w:vertAlign w:val="superscript"/>
        </w:rPr>
        <w:footnoteReference w:id="2"/>
      </w:r>
      <w:r>
        <w:t xml:space="preserve"> are elicited together with five types of intera</w:t>
      </w:r>
      <w:r>
        <w:t>ctions for a given survey respondent: (1) who visit her house and whose house(s) she visits, (2) from whom she borrows or to whom she lends food if in urgent need (</w:t>
      </w:r>
      <w:proofErr w:type="spellStart"/>
      <w:r>
        <w:t>e.g.unga</w:t>
      </w:r>
      <w:proofErr w:type="spellEnd"/>
      <w:r>
        <w:t>, maize or rice) (3) with whom she discusses on financial issues (4) whom she welcom</w:t>
      </w:r>
      <w:r>
        <w:t>ed when the person moved to this village because of marriage and (5) who welcomed her when she moved to this village because of marriage. Answers to these five questions provide a broad description of the interactions across households. Those mentioned fri</w:t>
      </w:r>
      <w:r>
        <w:t xml:space="preserve">ends’ names then will be matched with the study sample and a link exists between households if any member of a household is linked to any other member of another household in at least one of the above ways. </w:t>
      </w:r>
    </w:p>
    <w:p w:rsidR="00F47C34" w:rsidRDefault="00940BF5">
      <w:pPr>
        <w:pStyle w:val="Heading1"/>
      </w:pPr>
      <w:bookmarkStart w:id="3" w:name="_dnnmsm2aqvwd" w:colFirst="0" w:colLast="0"/>
      <w:bookmarkEnd w:id="3"/>
      <w:r>
        <w:lastRenderedPageBreak/>
        <w:t>Analysis Plan</w:t>
      </w:r>
    </w:p>
    <w:p w:rsidR="00F47C34" w:rsidRDefault="00940BF5">
      <w:pPr>
        <w:pStyle w:val="Heading2"/>
      </w:pPr>
      <w:bookmarkStart w:id="4" w:name="_ck2rihntymcj" w:colFirst="0" w:colLast="0"/>
      <w:bookmarkEnd w:id="4"/>
      <w:r>
        <w:t>Treatment Effects and Saturation</w:t>
      </w:r>
    </w:p>
    <w:p w:rsidR="00F47C34" w:rsidRDefault="00940BF5">
      <w:pPr>
        <w:spacing w:before="240" w:after="240"/>
      </w:pPr>
      <w:r>
        <w:t>C</w:t>
      </w:r>
      <w:r>
        <w:t>onsider, for example, the following ANCOVA regression equation for analyzing the impacts of the proposed interventions in Samburu County, on the livings standards of the poorest quartile of households (</w:t>
      </w:r>
      <m:oMath>
        <m:sSub>
          <m:sSubPr>
            <m:ctrlPr>
              <w:rPr>
                <w:rFonts w:ascii="Cambria Math" w:hAnsi="Cambria Math"/>
              </w:rPr>
            </m:ctrlPr>
          </m:sSubPr>
          <m:e>
            <m:sSubSup>
              <m:sSubSupPr>
                <m:ctrlPr>
                  <w:rPr>
                    <w:rFonts w:ascii="Cambria Math" w:hAnsi="Cambria Math"/>
                  </w:rPr>
                </m:ctrlPr>
              </m:sSubSupPr>
              <m:e>
                <m:r>
                  <w:rPr>
                    <w:rFonts w:ascii="Cambria Math" w:hAnsi="Cambria Math"/>
                  </w:rPr>
                  <m:t>y</m:t>
                </m:r>
              </m:e>
              <m:sub>
                <m:r>
                  <w:rPr>
                    <w:rFonts w:ascii="Cambria Math" w:hAnsi="Cambria Math"/>
                  </w:rPr>
                  <m:t>h</m:t>
                </m:r>
                <m:r>
                  <w:rPr>
                    <w:rFonts w:ascii="Cambria Math" w:hAnsi="Cambria Math"/>
                  </w:rPr>
                  <m:t>vt</m:t>
                </m:r>
              </m:sub>
              <m:sup>
                <m:r>
                  <w:rPr>
                    <w:rFonts w:ascii="Cambria Math" w:hAnsi="Cambria Math"/>
                  </w:rPr>
                  <m:t>1</m:t>
                </m:r>
              </m:sup>
            </m:sSubSup>
          </m:e>
          <m:sub/>
        </m:sSub>
      </m:oMath>
      <w:r>
        <w:t>):</w:t>
      </w:r>
      <w:r>
        <w:tab/>
      </w:r>
    </w:p>
    <w:p w:rsidR="00F47C34" w:rsidRDefault="00940BF5">
      <w:pPr>
        <w:spacing w:before="240" w:after="240"/>
        <w:jc w:val="center"/>
      </w:pPr>
      <m:oMath>
        <m:sSub>
          <m:sSubPr>
            <m:ctrlPr>
              <w:rPr>
                <w:rFonts w:ascii="Cambria Math" w:hAnsi="Cambria Math"/>
              </w:rPr>
            </m:ctrlPr>
          </m:sSubPr>
          <m:e>
            <m:sSubSup>
              <m:sSubSupPr>
                <m:ctrlPr>
                  <w:rPr>
                    <w:rFonts w:ascii="Cambria Math" w:hAnsi="Cambria Math"/>
                  </w:rPr>
                </m:ctrlPr>
              </m:sSubSupPr>
              <m:e>
                <m:r>
                  <w:rPr>
                    <w:rFonts w:ascii="Cambria Math" w:hAnsi="Cambria Math"/>
                  </w:rPr>
                  <m:t>y</m:t>
                </m:r>
              </m:e>
              <m:sub>
                <m:r>
                  <w:rPr>
                    <w:rFonts w:ascii="Cambria Math" w:hAnsi="Cambria Math"/>
                  </w:rPr>
                  <m:t>h</m:t>
                </m:r>
                <m:r>
                  <w:rPr>
                    <w:rFonts w:ascii="Cambria Math" w:hAnsi="Cambria Math"/>
                  </w:rPr>
                  <m:t>vt</m:t>
                </m:r>
              </m:sub>
              <m:sup>
                <m:r>
                  <w:rPr>
                    <w:rFonts w:ascii="Cambria Math" w:hAnsi="Cambria Math"/>
                  </w:rPr>
                  <m:t>1</m:t>
                </m:r>
              </m:sup>
            </m:sSubSup>
          </m:e>
          <m:sub/>
        </m:sSub>
        <m:r>
          <w:rPr>
            <w:rFonts w:ascii="Cambria Math" w:hAnsi="Cambria Math"/>
          </w:rPr>
          <m:t>=</m:t>
        </m:r>
        <m:sSub>
          <m:sSubPr>
            <m:ctrlPr>
              <w:rPr>
                <w:rFonts w:ascii="Cambria Math" w:hAnsi="Cambria Math"/>
              </w:rPr>
            </m:ctrlPr>
          </m:sSubPr>
          <m:e>
            <m:r>
              <w:rPr>
                <w:rFonts w:ascii="Cambria Math" w:hAnsi="Cambria Math"/>
              </w:rPr>
              <m:t>ɑ</m:t>
            </m:r>
          </m:e>
          <m:sub>
            <m:r>
              <w:rPr>
                <w:rFonts w:ascii="Cambria Math" w:hAnsi="Cambria Math"/>
              </w:rPr>
              <m:t>1</m:t>
            </m:r>
          </m:sub>
        </m:sSub>
        <m:sSub>
          <m:sSubPr>
            <m:ctrlPr>
              <w:rPr>
                <w:rFonts w:ascii="Cambria Math" w:hAnsi="Cambria Math"/>
              </w:rPr>
            </m:ctrlPr>
          </m:sSubPr>
          <m:e>
            <m:sSubSup>
              <m:sSubSupPr>
                <m:ctrlPr>
                  <w:rPr>
                    <w:rFonts w:ascii="Cambria Math" w:hAnsi="Cambria Math"/>
                  </w:rPr>
                </m:ctrlPr>
              </m:sSubSupPr>
              <m:e>
                <m:r>
                  <w:rPr>
                    <w:rFonts w:ascii="Cambria Math" w:hAnsi="Cambria Math"/>
                  </w:rPr>
                  <m:t>y</m:t>
                </m:r>
              </m:e>
              <m:sub>
                <m:r>
                  <w:rPr>
                    <w:rFonts w:ascii="Cambria Math" w:hAnsi="Cambria Math"/>
                  </w:rPr>
                  <m:t>h</m:t>
                </m:r>
                <m:r>
                  <w:rPr>
                    <w:rFonts w:ascii="Cambria Math" w:hAnsi="Cambria Math"/>
                  </w:rPr>
                  <m:t>0</m:t>
                </m:r>
              </m:sub>
              <m:sup>
                <m:r>
                  <w:rPr>
                    <w:rFonts w:ascii="Cambria Math" w:hAnsi="Cambria Math"/>
                  </w:rPr>
                  <m:t>1</m:t>
                </m:r>
              </m:sup>
            </m:sSubSup>
          </m:e>
          <m:sub/>
        </m:sSub>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I</m:t>
            </m:r>
          </m:sub>
        </m:sSub>
        <m:sSub>
          <m:sSubPr>
            <m:ctrlPr>
              <w:rPr>
                <w:rFonts w:ascii="Cambria Math" w:hAnsi="Cambria Math"/>
              </w:rPr>
            </m:ctrlPr>
          </m:sSubPr>
          <m:e>
            <m:r>
              <w:rPr>
                <w:rFonts w:ascii="Cambria Math" w:hAnsi="Cambria Math"/>
              </w:rPr>
              <m:t>I</m:t>
            </m:r>
          </m:e>
          <m:sub>
            <m:r>
              <w:rPr>
                <w:rFonts w:ascii="Cambria Math" w:hAnsi="Cambria Math"/>
              </w:rPr>
              <m:t>h</m:t>
            </m:r>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G</m:t>
            </m:r>
          </m:sub>
        </m:sSub>
        <m:sSub>
          <m:sSubPr>
            <m:ctrlPr>
              <w:rPr>
                <w:rFonts w:ascii="Cambria Math" w:hAnsi="Cambria Math"/>
              </w:rPr>
            </m:ctrlPr>
          </m:sSubPr>
          <m:e>
            <m:r>
              <w:rPr>
                <w:rFonts w:ascii="Cambria Math" w:hAnsi="Cambria Math"/>
              </w:rPr>
              <m:t>G</m:t>
            </m:r>
          </m:e>
          <m:sub>
            <m:r>
              <w:rPr>
                <w:rFonts w:ascii="Cambria Math" w:hAnsi="Cambria Math"/>
              </w:rPr>
              <m:t>h</m:t>
            </m:r>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I</m:t>
            </m:r>
            <m:r>
              <w:rPr>
                <w:rFonts w:ascii="Cambria Math" w:hAnsi="Cambria Math"/>
              </w:rPr>
              <m:t>G</m:t>
            </m:r>
          </m:sub>
        </m:sSub>
        <m:sSub>
          <m:sSubPr>
            <m:ctrlPr>
              <w:rPr>
                <w:rFonts w:ascii="Cambria Math" w:hAnsi="Cambria Math"/>
              </w:rPr>
            </m:ctrlPr>
          </m:sSubPr>
          <m:e>
            <m:r>
              <w:rPr>
                <w:rFonts w:ascii="Cambria Math" w:hAnsi="Cambria Math"/>
              </w:rPr>
              <m:t>I</m:t>
            </m:r>
          </m:e>
          <m:sub>
            <m:r>
              <w:rPr>
                <w:rFonts w:ascii="Cambria Math" w:hAnsi="Cambria Math"/>
              </w:rPr>
              <m:t>h</m:t>
            </m:r>
            <m:r>
              <w:rPr>
                <w:rFonts w:ascii="Cambria Math" w:hAnsi="Cambria Math"/>
              </w:rPr>
              <m:t>t</m:t>
            </m:r>
          </m:sub>
        </m:sSub>
        <m:sSub>
          <m:sSubPr>
            <m:ctrlPr>
              <w:rPr>
                <w:rFonts w:ascii="Cambria Math" w:hAnsi="Cambria Math"/>
              </w:rPr>
            </m:ctrlPr>
          </m:sSubPr>
          <m:e>
            <m:r>
              <w:rPr>
                <w:rFonts w:ascii="Cambria Math" w:hAnsi="Cambria Math"/>
              </w:rPr>
              <m:t>G</m:t>
            </m:r>
          </m:e>
          <m:sub>
            <m:r>
              <w:rPr>
                <w:rFonts w:ascii="Cambria Math" w:hAnsi="Cambria Math"/>
              </w:rPr>
              <m:t>h</m:t>
            </m:r>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δ</m:t>
            </m:r>
          </m:e>
          <m:sub>
            <m:r>
              <w:rPr>
                <w:rFonts w:ascii="Cambria Math" w:hAnsi="Cambria Math"/>
              </w:rPr>
              <m:t>1</m:t>
            </m:r>
          </m:sub>
        </m:sSub>
        <m:sSub>
          <m:sSubPr>
            <m:ctrlPr>
              <w:rPr>
                <w:rFonts w:ascii="Cambria Math" w:hAnsi="Cambria Math"/>
              </w:rPr>
            </m:ctrlPr>
          </m:sSubPr>
          <m:e>
            <m:r>
              <w:rPr>
                <w:rFonts w:ascii="Cambria Math" w:hAnsi="Cambria Math"/>
              </w:rPr>
              <m:t>S</m:t>
            </m:r>
          </m:e>
          <m:sub>
            <m:r>
              <w:rPr>
                <w:rFonts w:ascii="Cambria Math" w:hAnsi="Cambria Math"/>
              </w:rPr>
              <m:t>vt</m:t>
            </m:r>
          </m:sub>
        </m:sSub>
        <m:r>
          <w:rPr>
            <w:rFonts w:ascii="Cambria Math" w:hAnsi="Cambria Math"/>
          </w:rPr>
          <m:t>+</m:t>
        </m:r>
        <m:sSub>
          <m:sSubPr>
            <m:ctrlPr>
              <w:rPr>
                <w:rFonts w:ascii="Cambria Math" w:hAnsi="Cambria Math"/>
              </w:rPr>
            </m:ctrlPr>
          </m:sSubPr>
          <m:e>
            <m:r>
              <w:rPr>
                <w:rFonts w:ascii="Cambria Math" w:hAnsi="Cambria Math"/>
              </w:rPr>
              <m:t>δ</m:t>
            </m:r>
          </m:e>
          <m:sub>
            <m:r>
              <w:rPr>
                <w:rFonts w:ascii="Cambria Math" w:hAnsi="Cambria Math"/>
              </w:rPr>
              <m:t>2</m:t>
            </m:r>
          </m:sub>
        </m:sSub>
        <m:sSub>
          <m:sSubPr>
            <m:ctrlPr>
              <w:rPr>
                <w:rFonts w:ascii="Cambria Math" w:hAnsi="Cambria Math"/>
              </w:rPr>
            </m:ctrlPr>
          </m:sSubPr>
          <m:e>
            <m:r>
              <w:rPr>
                <w:rFonts w:ascii="Cambria Math" w:hAnsi="Cambria Math"/>
              </w:rPr>
              <m:t>S</m:t>
            </m:r>
          </m:e>
          <m:sub>
            <m:r>
              <w:rPr>
                <w:rFonts w:ascii="Cambria Math" w:hAnsi="Cambria Math"/>
              </w:rPr>
              <m:t>vt</m:t>
            </m:r>
          </m:sub>
        </m:sSub>
        <m:sSub>
          <m:sSubPr>
            <m:ctrlPr>
              <w:rPr>
                <w:rFonts w:ascii="Cambria Math" w:hAnsi="Cambria Math"/>
              </w:rPr>
            </m:ctrlPr>
          </m:sSubPr>
          <m:e>
            <m:r>
              <w:rPr>
                <w:rFonts w:ascii="Cambria Math" w:hAnsi="Cambria Math"/>
              </w:rPr>
              <m:t>G</m:t>
            </m:r>
          </m:e>
          <m:sub>
            <m:r>
              <w:rPr>
                <w:rFonts w:ascii="Cambria Math" w:hAnsi="Cambria Math"/>
              </w:rPr>
              <m:t>h</m:t>
            </m:r>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ϵ</m:t>
            </m:r>
          </m:e>
          <m:sub>
            <m:r>
              <w:rPr>
                <w:rFonts w:ascii="Cambria Math" w:hAnsi="Cambria Math"/>
              </w:rPr>
              <m:t>h</m:t>
            </m:r>
            <m:r>
              <w:rPr>
                <w:rFonts w:ascii="Cambria Math" w:hAnsi="Cambria Math"/>
              </w:rPr>
              <m:t>t</m:t>
            </m:r>
          </m:sub>
        </m:sSub>
      </m:oMath>
      <w:r>
        <w:t xml:space="preserve"> </w:t>
      </w:r>
    </w:p>
    <w:p w:rsidR="00F47C34" w:rsidRDefault="00940BF5">
      <w:pPr>
        <w:spacing w:before="240" w:after="240"/>
      </w:pPr>
      <w:r>
        <w:t xml:space="preserve">where the subscript </w:t>
      </w:r>
      <m:oMath>
        <m:r>
          <w:rPr>
            <w:rFonts w:ascii="Cambria Math" w:hAnsi="Cambria Math"/>
          </w:rPr>
          <m:t>h</m:t>
        </m:r>
      </m:oMath>
      <w:r>
        <w:rPr>
          <w:i/>
        </w:rPr>
        <w:t xml:space="preserve"> </w:t>
      </w:r>
      <w:r>
        <w:t xml:space="preserve">designates household, </w:t>
      </w:r>
      <m:oMath>
        <m:r>
          <w:rPr>
            <w:rFonts w:ascii="Cambria Math" w:hAnsi="Cambria Math"/>
          </w:rPr>
          <m:t>v</m:t>
        </m:r>
      </m:oMath>
      <w:r>
        <w:rPr>
          <w:i/>
        </w:rPr>
        <w:t xml:space="preserve"> </w:t>
      </w:r>
      <w:r>
        <w:t xml:space="preserve">indicates village, </w:t>
      </w:r>
      <m:oMath>
        <m:r>
          <w:rPr>
            <w:rFonts w:ascii="Cambria Math" w:hAnsi="Cambria Math"/>
          </w:rPr>
          <m:t>t</m:t>
        </m:r>
      </m:oMath>
      <w:r>
        <w:rPr>
          <w:i/>
        </w:rPr>
        <w:t xml:space="preserve"> </w:t>
      </w:r>
      <w:r>
        <w:t xml:space="preserve">denotes time period and the superscript indicates quartile of the household. The binary treatment variable </w:t>
      </w:r>
      <m:oMath>
        <m:sSub>
          <m:sSubPr>
            <m:ctrlPr>
              <w:rPr>
                <w:rFonts w:ascii="Cambria Math" w:hAnsi="Cambria Math"/>
              </w:rPr>
            </m:ctrlPr>
          </m:sSubPr>
          <m:e>
            <m:r>
              <w:rPr>
                <w:rFonts w:ascii="Cambria Math" w:hAnsi="Cambria Math"/>
              </w:rPr>
              <m:t>I</m:t>
            </m:r>
          </m:e>
          <m:sub>
            <m:r>
              <w:rPr>
                <w:rFonts w:ascii="Cambria Math" w:hAnsi="Cambria Math"/>
              </w:rPr>
              <m:t>h</m:t>
            </m:r>
            <m:r>
              <w:rPr>
                <w:rFonts w:ascii="Cambria Math" w:hAnsi="Cambria Math"/>
              </w:rPr>
              <m:t>t</m:t>
            </m:r>
          </m:sub>
        </m:sSub>
      </m:oMath>
      <w:r>
        <w:rPr>
          <w:sz w:val="16"/>
          <w:szCs w:val="16"/>
        </w:rPr>
        <w:t xml:space="preserve"> </w:t>
      </w:r>
      <w:r>
        <w:t xml:space="preserve">takes on the value of 1 if household </w:t>
      </w:r>
      <m:oMath>
        <m:r>
          <w:rPr>
            <w:rFonts w:ascii="Cambria Math" w:hAnsi="Cambria Math"/>
          </w:rPr>
          <m:t>h</m:t>
        </m:r>
      </m:oMath>
      <w:r>
        <w:rPr>
          <w:i/>
        </w:rPr>
        <w:t xml:space="preserve"> </w:t>
      </w:r>
      <w:r>
        <w:t xml:space="preserve">receives the insurance premium discount coupon treatment in period </w:t>
      </w:r>
      <m:oMath>
        <m:r>
          <w:rPr>
            <w:rFonts w:ascii="Cambria Math" w:hAnsi="Cambria Math"/>
          </w:rPr>
          <m:t>t</m:t>
        </m:r>
      </m:oMath>
      <w:r>
        <w:t xml:space="preserve">, </w:t>
      </w:r>
      <m:oMath>
        <m:sSub>
          <m:sSubPr>
            <m:ctrlPr>
              <w:rPr>
                <w:rFonts w:ascii="Cambria Math" w:hAnsi="Cambria Math"/>
              </w:rPr>
            </m:ctrlPr>
          </m:sSubPr>
          <m:e>
            <m:r>
              <w:rPr>
                <w:rFonts w:ascii="Cambria Math" w:hAnsi="Cambria Math"/>
              </w:rPr>
              <m:t>G</m:t>
            </m:r>
          </m:e>
          <m:sub>
            <m:r>
              <w:rPr>
                <w:rFonts w:ascii="Cambria Math" w:hAnsi="Cambria Math"/>
              </w:rPr>
              <m:t>h</m:t>
            </m:r>
            <m:r>
              <w:rPr>
                <w:rFonts w:ascii="Cambria Math" w:hAnsi="Cambria Math"/>
              </w:rPr>
              <m:t>t</m:t>
            </m:r>
          </m:sub>
        </m:sSub>
      </m:oMath>
      <w:r>
        <w:t>does the same for households</w:t>
      </w:r>
      <w:r>
        <w:t xml:space="preserve"> offered the REAP graduation program. The saturation variable, </w:t>
      </w:r>
      <m:oMath>
        <m:sSub>
          <m:sSubPr>
            <m:ctrlPr>
              <w:rPr>
                <w:rFonts w:ascii="Cambria Math" w:hAnsi="Cambria Math"/>
              </w:rPr>
            </m:ctrlPr>
          </m:sSubPr>
          <m:e>
            <m:r>
              <w:rPr>
                <w:rFonts w:ascii="Cambria Math" w:hAnsi="Cambria Math"/>
              </w:rPr>
              <m:t>S</m:t>
            </m:r>
          </m:e>
          <m:sub>
            <m:r>
              <w:rPr>
                <w:rFonts w:ascii="Cambria Math" w:hAnsi="Cambria Math"/>
              </w:rPr>
              <m:t>vt</m:t>
            </m:r>
          </m:sub>
        </m:sSub>
      </m:oMath>
      <w:r>
        <w:t>, measures the fraction of eligible households in a village that were offered the graduation program. This simple model allows us to measure the basic impacts of the three programs (</w:t>
      </w:r>
      <m:oMath>
        <m:sSub>
          <m:sSubPr>
            <m:ctrlPr>
              <w:rPr>
                <w:rFonts w:ascii="Cambria Math" w:hAnsi="Cambria Math"/>
              </w:rPr>
            </m:ctrlPr>
          </m:sSubPr>
          <m:e>
            <m:r>
              <w:rPr>
                <w:rFonts w:ascii="Cambria Math" w:hAnsi="Cambria Math"/>
              </w:rPr>
              <m:t>β</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G</m:t>
            </m:r>
          </m:sub>
        </m:sSub>
      </m:oMath>
      <w:r>
        <w:t>) and any household level complementarities between programs (</w:t>
      </w:r>
      <m:oMath>
        <m:sSub>
          <m:sSubPr>
            <m:ctrlPr>
              <w:rPr>
                <w:rFonts w:ascii="Cambria Math" w:hAnsi="Cambria Math"/>
              </w:rPr>
            </m:ctrlPr>
          </m:sSubPr>
          <m:e>
            <m:r>
              <w:rPr>
                <w:rFonts w:ascii="Cambria Math" w:hAnsi="Cambria Math"/>
              </w:rPr>
              <m:t>β</m:t>
            </m:r>
          </m:e>
          <m:sub>
            <m:r>
              <w:rPr>
                <w:rFonts w:ascii="Cambria Math" w:hAnsi="Cambria Math"/>
              </w:rPr>
              <m:t>IG</m:t>
            </m:r>
          </m:sub>
        </m:sSub>
      </m:oMath>
      <w:r>
        <w:t xml:space="preserve">). The term </w:t>
      </w:r>
      <m:oMath>
        <m:sSub>
          <m:sSubPr>
            <m:ctrlPr>
              <w:rPr>
                <w:rFonts w:ascii="Cambria Math" w:hAnsi="Cambria Math"/>
              </w:rPr>
            </m:ctrlPr>
          </m:sSubPr>
          <m:e>
            <m:r>
              <w:rPr>
                <w:rFonts w:ascii="Cambria Math" w:hAnsi="Cambria Math"/>
              </w:rPr>
              <m:t>δ</m:t>
            </m:r>
          </m:e>
          <m:sub>
            <m:r>
              <w:rPr>
                <w:rFonts w:ascii="Cambria Math" w:hAnsi="Cambria Math"/>
              </w:rPr>
              <m:t>1</m:t>
            </m:r>
          </m:sub>
        </m:sSub>
      </m:oMath>
      <w:r>
        <w:t xml:space="preserve">allows us to measure whether graduation training spills over to non-treated households, while </w:t>
      </w:r>
      <m:oMath>
        <m:sSub>
          <m:sSubPr>
            <m:ctrlPr>
              <w:rPr>
                <w:rFonts w:ascii="Cambria Math" w:hAnsi="Cambria Math"/>
              </w:rPr>
            </m:ctrlPr>
          </m:sSubPr>
          <m:e>
            <m:r>
              <w:rPr>
                <w:rFonts w:ascii="Cambria Math" w:hAnsi="Cambria Math"/>
              </w:rPr>
              <m:t>δ</m:t>
            </m:r>
          </m:e>
          <m:sub>
            <m:r>
              <w:rPr>
                <w:rFonts w:ascii="Cambria Math" w:hAnsi="Cambria Math"/>
              </w:rPr>
              <m:t>2</m:t>
            </m:r>
          </m:sub>
        </m:sSub>
      </m:oMath>
      <w:r>
        <w:rPr>
          <w:sz w:val="16"/>
          <w:szCs w:val="16"/>
        </w:rPr>
        <w:t xml:space="preserve"> </w:t>
      </w:r>
      <w:r>
        <w:t>allows us to see if spillovers occur between households selected for graduation. A similar equation can be written for quartile 2 households.</w:t>
      </w:r>
    </w:p>
    <w:p w:rsidR="00F47C34" w:rsidRDefault="00940BF5">
      <w:pPr>
        <w:spacing w:before="240" w:after="240"/>
      </w:pPr>
      <w:r>
        <w:t>A similar but si</w:t>
      </w:r>
      <w:r>
        <w:t>mpler expression can be written for vulnerable, non-poor households (quartile 3) which are not eligible for the REAP graduation program:</w:t>
      </w:r>
      <w:r>
        <w:tab/>
      </w:r>
      <w:r>
        <w:tab/>
      </w:r>
    </w:p>
    <w:p w:rsidR="00F47C34" w:rsidRDefault="00940BF5">
      <w:pPr>
        <w:spacing w:before="240" w:after="240"/>
        <w:jc w:val="center"/>
      </w:pPr>
      <m:oMathPara>
        <m:oMath>
          <m:sSub>
            <m:sSubPr>
              <m:ctrlPr>
                <w:rPr>
                  <w:rFonts w:ascii="Cambria Math" w:hAnsi="Cambria Math"/>
                </w:rPr>
              </m:ctrlPr>
            </m:sSubPr>
            <m:e>
              <m:sSubSup>
                <m:sSubSupPr>
                  <m:ctrlPr>
                    <w:rPr>
                      <w:rFonts w:ascii="Cambria Math" w:hAnsi="Cambria Math"/>
                    </w:rPr>
                  </m:ctrlPr>
                </m:sSubSupPr>
                <m:e>
                  <m:r>
                    <w:rPr>
                      <w:rFonts w:ascii="Cambria Math" w:hAnsi="Cambria Math"/>
                    </w:rPr>
                    <m:t>y</m:t>
                  </m:r>
                </m:e>
                <m:sub>
                  <m:r>
                    <w:rPr>
                      <w:rFonts w:ascii="Cambria Math" w:hAnsi="Cambria Math"/>
                    </w:rPr>
                    <m:t>h</m:t>
                  </m:r>
                  <m:r>
                    <w:rPr>
                      <w:rFonts w:ascii="Cambria Math" w:hAnsi="Cambria Math"/>
                    </w:rPr>
                    <m:t>vt</m:t>
                  </m:r>
                </m:sub>
                <m:sup>
                  <m:r>
                    <w:rPr>
                      <w:rFonts w:ascii="Cambria Math" w:hAnsi="Cambria Math"/>
                    </w:rPr>
                    <m:t>3</m:t>
                  </m:r>
                </m:sup>
              </m:sSubSup>
            </m:e>
            <m:sub/>
          </m:sSub>
          <m:r>
            <w:rPr>
              <w:rFonts w:ascii="Cambria Math" w:hAnsi="Cambria Math"/>
            </w:rPr>
            <m:t>=</m:t>
          </m:r>
          <m:sSub>
            <m:sSubPr>
              <m:ctrlPr>
                <w:rPr>
                  <w:rFonts w:ascii="Cambria Math" w:hAnsi="Cambria Math"/>
                </w:rPr>
              </m:ctrlPr>
            </m:sSubPr>
            <m:e>
              <m:r>
                <w:rPr>
                  <w:rFonts w:ascii="Cambria Math" w:hAnsi="Cambria Math"/>
                </w:rPr>
                <m:t>ɑ</m:t>
              </m:r>
            </m:e>
            <m:sub>
              <m:r>
                <w:rPr>
                  <w:rFonts w:ascii="Cambria Math" w:hAnsi="Cambria Math"/>
                </w:rPr>
                <m:t>1</m:t>
              </m:r>
            </m:sub>
          </m:sSub>
          <m:sSub>
            <m:sSubPr>
              <m:ctrlPr>
                <w:rPr>
                  <w:rFonts w:ascii="Cambria Math" w:hAnsi="Cambria Math"/>
                </w:rPr>
              </m:ctrlPr>
            </m:sSubPr>
            <m:e>
              <m:sSubSup>
                <m:sSubSupPr>
                  <m:ctrlPr>
                    <w:rPr>
                      <w:rFonts w:ascii="Cambria Math" w:hAnsi="Cambria Math"/>
                    </w:rPr>
                  </m:ctrlPr>
                </m:sSubSupPr>
                <m:e>
                  <m:r>
                    <w:rPr>
                      <w:rFonts w:ascii="Cambria Math" w:hAnsi="Cambria Math"/>
                    </w:rPr>
                    <m:t>y</m:t>
                  </m:r>
                </m:e>
                <m:sub>
                  <m:r>
                    <w:rPr>
                      <w:rFonts w:ascii="Cambria Math" w:hAnsi="Cambria Math"/>
                    </w:rPr>
                    <m:t>h</m:t>
                  </m:r>
                  <m:r>
                    <w:rPr>
                      <w:rFonts w:ascii="Cambria Math" w:hAnsi="Cambria Math"/>
                    </w:rPr>
                    <m:t>0</m:t>
                  </m:r>
                </m:sub>
                <m:sup>
                  <m:r>
                    <w:rPr>
                      <w:rFonts w:ascii="Cambria Math" w:hAnsi="Cambria Math"/>
                    </w:rPr>
                    <m:t>3</m:t>
                  </m:r>
                </m:sup>
              </m:sSubSup>
            </m:e>
            <m:sub/>
          </m:sSub>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I</m:t>
              </m:r>
            </m:sub>
          </m:sSub>
          <m:sSub>
            <m:sSubPr>
              <m:ctrlPr>
                <w:rPr>
                  <w:rFonts w:ascii="Cambria Math" w:hAnsi="Cambria Math"/>
                </w:rPr>
              </m:ctrlPr>
            </m:sSubPr>
            <m:e>
              <m:r>
                <w:rPr>
                  <w:rFonts w:ascii="Cambria Math" w:hAnsi="Cambria Math"/>
                </w:rPr>
                <m:t>I</m:t>
              </m:r>
            </m:e>
            <m:sub>
              <m:r>
                <w:rPr>
                  <w:rFonts w:ascii="Cambria Math" w:hAnsi="Cambria Math"/>
                </w:rPr>
                <m:t>h</m:t>
              </m:r>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ϵ</m:t>
              </m:r>
            </m:e>
            <m:sub>
              <m:r>
                <w:rPr>
                  <w:rFonts w:ascii="Cambria Math" w:hAnsi="Cambria Math"/>
                </w:rPr>
                <m:t>h</m:t>
              </m:r>
              <m:r>
                <w:rPr>
                  <w:rFonts w:ascii="Cambria Math" w:hAnsi="Cambria Math"/>
                </w:rPr>
                <m:t>t</m:t>
              </m:r>
            </m:sub>
          </m:sSub>
        </m:oMath>
      </m:oMathPara>
    </w:p>
    <w:p w:rsidR="00F47C34" w:rsidRDefault="00940BF5">
      <w:pPr>
        <w:spacing w:before="240" w:after="240"/>
      </w:pPr>
      <w:r>
        <w:t xml:space="preserve">The coefficient </w:t>
      </w:r>
      <m:oMath>
        <m:sSub>
          <m:sSubPr>
            <m:ctrlPr>
              <w:rPr>
                <w:rFonts w:ascii="Cambria Math" w:hAnsi="Cambria Math"/>
              </w:rPr>
            </m:ctrlPr>
          </m:sSubPr>
          <m:e>
            <m:r>
              <w:rPr>
                <w:rFonts w:ascii="Cambria Math" w:hAnsi="Cambria Math"/>
              </w:rPr>
              <m:t>β</m:t>
            </m:r>
          </m:e>
          <m:sub>
            <m:r>
              <w:rPr>
                <w:rFonts w:ascii="Cambria Math" w:hAnsi="Cambria Math"/>
              </w:rPr>
              <m:t>I</m:t>
            </m:r>
          </m:sub>
        </m:sSub>
      </m:oMath>
      <w:r>
        <w:t xml:space="preserve"> is the primary coefficients of interest for this group of house</w:t>
      </w:r>
      <w:r>
        <w:t>holds, indicating the impact of the insurance treatment. The other key parameter of interest is the slopes of the saturation rate terms (</w:t>
      </w:r>
      <m:oMath>
        <m:sSub>
          <m:sSubPr>
            <m:ctrlPr>
              <w:rPr>
                <w:rFonts w:ascii="Cambria Math" w:hAnsi="Cambria Math"/>
              </w:rPr>
            </m:ctrlPr>
          </m:sSubPr>
          <m:e>
            <m:r>
              <w:rPr>
                <w:rFonts w:ascii="Cambria Math" w:hAnsi="Cambria Math"/>
              </w:rPr>
              <m:t>δ</m:t>
            </m:r>
          </m:e>
          <m:sub>
            <m:r>
              <w:rPr>
                <w:rFonts w:ascii="Cambria Math" w:hAnsi="Cambria Math"/>
              </w:rPr>
              <m:t>1</m:t>
            </m:r>
          </m:sub>
        </m:sSub>
      </m:oMath>
      <w:r>
        <w:t xml:space="preserve">and </w:t>
      </w:r>
      <m:oMath>
        <m:sSub>
          <m:sSubPr>
            <m:ctrlPr>
              <w:rPr>
                <w:rFonts w:ascii="Cambria Math" w:hAnsi="Cambria Math"/>
              </w:rPr>
            </m:ctrlPr>
          </m:sSubPr>
          <m:e>
            <m:r>
              <w:rPr>
                <w:rFonts w:ascii="Cambria Math" w:hAnsi="Cambria Math"/>
              </w:rPr>
              <m:t>δ</m:t>
            </m:r>
          </m:e>
          <m:sub>
            <m:r>
              <w:rPr>
                <w:rFonts w:ascii="Cambria Math" w:hAnsi="Cambria Math"/>
              </w:rPr>
              <m:t>2</m:t>
            </m:r>
          </m:sub>
        </m:sSub>
      </m:oMath>
      <w:r>
        <w:t>), which measure spillover effects from the program.</w:t>
      </w:r>
    </w:p>
    <w:p w:rsidR="00F47C34" w:rsidRDefault="00940BF5">
      <w:pPr>
        <w:pStyle w:val="Heading2"/>
      </w:pPr>
      <w:bookmarkStart w:id="5" w:name="_oi3v3fic5ybc" w:colFirst="0" w:colLast="0"/>
      <w:bookmarkEnd w:id="5"/>
      <w:r>
        <w:t>Duration or Continuous Treatment Analysis</w:t>
      </w:r>
    </w:p>
    <w:p w:rsidR="00F47C34" w:rsidRDefault="00940BF5">
      <w:r>
        <w:t>While binary t</w:t>
      </w:r>
      <w:r>
        <w:t>reatment impacts over a defined time horizon can be informative, programs like REAP and IBLI are interesting precisely because they are hypothesized to induce learning, asset accumulation and behavioral changes that play out over time. Several recent studi</w:t>
      </w:r>
      <w:r>
        <w:t xml:space="preserve">es have shown the power of continuous treatment or duration analysis to identify the nature of these patterns. To give one example, Carter and </w:t>
      </w:r>
      <w:proofErr w:type="spellStart"/>
      <w:r>
        <w:t>Keswell</w:t>
      </w:r>
      <w:proofErr w:type="spellEnd"/>
      <w:r>
        <w:t xml:space="preserve"> (2014) show that a land redistribution program in South Africa induced a short-term consumption decrease </w:t>
      </w:r>
      <w:r>
        <w:t xml:space="preserve">and a long-term or asymptotic consumption increase that was 70% higher than the impacts implied by conventional binary treatment estimates. </w:t>
      </w:r>
    </w:p>
    <w:p w:rsidR="00F47C34" w:rsidRDefault="00F47C34"/>
    <w:p w:rsidR="00F47C34" w:rsidRDefault="00940BF5">
      <w:r>
        <w:t>The rollout waves employed by BOMA in the REAP program present the perfect opportunity to explore the intertempora</w:t>
      </w:r>
      <w:r>
        <w:t xml:space="preserve">l impact patterns which are at the heart of the graduation and insurance </w:t>
      </w:r>
      <w:r>
        <w:lastRenderedPageBreak/>
        <w:t>program logics. Under the randomized allocation of households to rollout waves summarized above, we will enjoy the following distributions of treatment durations and midline and endli</w:t>
      </w:r>
      <w:r>
        <w:t xml:space="preserve">ne for the REAP-eligible households who do NOT receive the insurance treatment: </w:t>
      </w:r>
    </w:p>
    <w:p w:rsidR="00F47C34" w:rsidRDefault="00940BF5">
      <w:r>
        <w:rPr>
          <w:noProof/>
        </w:rPr>
        <w:drawing>
          <wp:inline distT="114300" distB="114300" distL="114300" distR="114300">
            <wp:extent cx="5943600" cy="20574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2057400"/>
                    </a:xfrm>
                    <a:prstGeom prst="rect">
                      <a:avLst/>
                    </a:prstGeom>
                    <a:ln/>
                  </pic:spPr>
                </pic:pic>
              </a:graphicData>
            </a:graphic>
          </wp:inline>
        </w:drawing>
      </w:r>
    </w:p>
    <w:p w:rsidR="00F47C34" w:rsidRDefault="00F47C34"/>
    <w:p w:rsidR="00F47C34" w:rsidRDefault="00940BF5">
      <w:r>
        <w:t xml:space="preserve">Letting </w:t>
      </w:r>
      <m:oMath>
        <m:sSub>
          <m:sSubPr>
            <m:ctrlPr>
              <w:rPr>
                <w:rFonts w:ascii="Cambria Math" w:hAnsi="Cambria Math"/>
              </w:rPr>
            </m:ctrlPr>
          </m:sSubPr>
          <m:e>
            <m:r>
              <w:rPr>
                <w:rFonts w:ascii="Cambria Math" w:hAnsi="Cambria Math"/>
              </w:rPr>
              <m:t>m</m:t>
            </m:r>
          </m:e>
          <m:sub>
            <m:r>
              <w:rPr>
                <w:rFonts w:ascii="Cambria Math" w:hAnsi="Cambria Math"/>
              </w:rPr>
              <m:t>h</m:t>
            </m:r>
            <m:r>
              <w:rPr>
                <w:rFonts w:ascii="Cambria Math" w:hAnsi="Cambria Math"/>
              </w:rPr>
              <m:t>ct</m:t>
            </m:r>
          </m:sub>
        </m:sSub>
      </m:oMath>
      <w:r>
        <w:t xml:space="preserve"> denote the months since enrollment in REAP by household h, in community c in time period t, we can write a simple continuous treatment model (ignoring fixed</w:t>
      </w:r>
      <w:r>
        <w:t xml:space="preserve"> effects and other potential control variables) as: </w:t>
      </w:r>
    </w:p>
    <w:p w:rsidR="00F47C34" w:rsidRDefault="00940BF5">
      <m:oMath>
        <m:sSubSup>
          <m:sSubSupPr>
            <m:ctrlPr>
              <w:rPr>
                <w:rFonts w:ascii="Cambria Math" w:hAnsi="Cambria Math"/>
              </w:rPr>
            </m:ctrlPr>
          </m:sSubSupPr>
          <m:e>
            <m:r>
              <w:rPr>
                <w:rFonts w:ascii="Cambria Math" w:hAnsi="Cambria Math"/>
              </w:rPr>
              <m:t>y</m:t>
            </m:r>
          </m:e>
          <m:sub>
            <m:r>
              <w:rPr>
                <w:rFonts w:ascii="Cambria Math" w:hAnsi="Cambria Math"/>
              </w:rPr>
              <m:t>h</m:t>
            </m:r>
            <m:r>
              <w:rPr>
                <w:rFonts w:ascii="Cambria Math" w:hAnsi="Cambria Math"/>
              </w:rPr>
              <m:t>ct</m:t>
            </m:r>
          </m:sub>
          <m:sup>
            <m:r>
              <w:rPr>
                <w:rFonts w:ascii="Cambria Math" w:hAnsi="Cambria Math"/>
              </w:rPr>
              <m:t>p</m:t>
            </m:r>
          </m:sup>
        </m:sSubSup>
        <m:r>
          <w:rPr>
            <w:rFonts w:ascii="Cambria Math" w:hAnsi="Cambria Math"/>
          </w:rPr>
          <m:t>=</m:t>
        </m:r>
        <m:r>
          <w:rPr>
            <w:rFonts w:ascii="Cambria Math" w:hAnsi="Cambria Math"/>
          </w:rPr>
          <m:t>f</m:t>
        </m:r>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h</m:t>
            </m:r>
            <m:r>
              <w:rPr>
                <w:rFonts w:ascii="Cambria Math" w:hAnsi="Cambria Math"/>
              </w:rPr>
              <m:t>ct</m:t>
            </m:r>
          </m:sub>
        </m:sSub>
        <m:r>
          <w:rPr>
            <w:rFonts w:ascii="Cambria Math" w:hAnsi="Cambria Math"/>
          </w:rPr>
          <m:t>)+</m:t>
        </m:r>
        <m:r>
          <w:rPr>
            <w:rFonts w:ascii="Cambria Math" w:hAnsi="Cambria Math"/>
          </w:rPr>
          <m:t>λt</m:t>
        </m:r>
        <m:r>
          <w:rPr>
            <w:rFonts w:ascii="Cambria Math" w:hAnsi="Cambria Math"/>
          </w:rPr>
          <m:t>+</m:t>
        </m:r>
        <m:sSub>
          <m:sSubPr>
            <m:ctrlPr>
              <w:rPr>
                <w:rFonts w:ascii="Cambria Math" w:hAnsi="Cambria Math"/>
              </w:rPr>
            </m:ctrlPr>
          </m:sSubPr>
          <m:e>
            <m:r>
              <w:rPr>
                <w:rFonts w:ascii="Cambria Math" w:hAnsi="Cambria Math"/>
              </w:rPr>
              <m:t>ϵ</m:t>
            </m:r>
          </m:e>
          <m:sub>
            <m:r>
              <w:rPr>
                <w:rFonts w:ascii="Cambria Math" w:hAnsi="Cambria Math"/>
              </w:rPr>
              <m:t>h</m:t>
            </m:r>
            <m:r>
              <w:rPr>
                <w:rFonts w:ascii="Cambria Math" w:hAnsi="Cambria Math"/>
              </w:rPr>
              <m:t>ct</m:t>
            </m:r>
          </m:sub>
        </m:sSub>
        <m:sSub>
          <m:sSubPr>
            <m:ctrlPr>
              <w:rPr>
                <w:rFonts w:ascii="Cambria Math" w:hAnsi="Cambria Math"/>
              </w:rPr>
            </m:ctrlPr>
          </m:sSubPr>
          <m:e/>
          <m:sub/>
        </m:sSub>
        <m:r>
          <w:rPr>
            <w:rFonts w:ascii="Cambria Math" w:hAnsi="Cambria Math"/>
          </w:rPr>
          <m:t>,</m:t>
        </m:r>
      </m:oMath>
      <w:r>
        <w:t xml:space="preserve">  </w:t>
      </w:r>
    </w:p>
    <w:p w:rsidR="00F47C34" w:rsidRDefault="00F47C34"/>
    <w:p w:rsidR="00F47C34" w:rsidRDefault="00940BF5">
      <w:r>
        <w:t xml:space="preserve">where the function </w:t>
      </w:r>
      <w:r>
        <w:t>𝑓</w:t>
      </w:r>
      <w:r>
        <w:t xml:space="preserve"> is a flexible parametric or non-parametric function (see </w:t>
      </w:r>
      <w:proofErr w:type="spellStart"/>
      <w:r>
        <w:t>Tjernström</w:t>
      </w:r>
      <w:proofErr w:type="spellEnd"/>
      <w:r>
        <w:t xml:space="preserve"> et al., 2013 and Carter et al. 2017 for uses of these methods for the anal</w:t>
      </w:r>
      <w:r>
        <w:t xml:space="preserve">ysis of continuous treatment data in the case of an RCT). </w:t>
      </w:r>
    </w:p>
    <w:p w:rsidR="00F47C34" w:rsidRDefault="00940BF5">
      <w:pPr>
        <w:pStyle w:val="Heading2"/>
        <w:pBdr>
          <w:top w:val="nil"/>
          <w:left w:val="nil"/>
          <w:bottom w:val="nil"/>
          <w:right w:val="nil"/>
          <w:between w:val="nil"/>
        </w:pBdr>
      </w:pPr>
      <w:bookmarkStart w:id="6" w:name="_gmsa2jfvcbfp" w:colFirst="0" w:colLast="0"/>
      <w:bookmarkEnd w:id="6"/>
      <w:r>
        <w:t>Network Analysis</w:t>
      </w:r>
    </w:p>
    <w:p w:rsidR="00F47C34" w:rsidRDefault="00940BF5">
      <w:r>
        <w:t>An additional benefit of a Randomization Saturation design (Baird et al, 2018) is that it also creates exogenous variation in the saturation of any overlapping network in which two</w:t>
      </w:r>
      <w:r>
        <w:t xml:space="preserve"> individuals in the same cluster have a higher probability of being linked than two individuals in two different clusters.</w:t>
      </w:r>
    </w:p>
    <w:p w:rsidR="00F47C34" w:rsidRDefault="00F47C34"/>
    <w:p w:rsidR="00F47C34" w:rsidRDefault="00940BF5">
      <w:r>
        <w:t>However, the finding of weak spillovers within relatively large spatial units could mask the existence of stronger spillovers within</w:t>
      </w:r>
      <w:r>
        <w:t xml:space="preserve"> social networks. Since we used different saturation schemes in the experimental design, there is a positive correlation between the outcomes of the study participants and of their friends in the same cluster. However, the random saturation schemes still g</w:t>
      </w:r>
      <w:r>
        <w:t xml:space="preserve">enerate exogenous variation in treatment intensity within each individual's social network.     </w:t>
      </w:r>
    </w:p>
    <w:p w:rsidR="00F47C34" w:rsidRDefault="00F47C34"/>
    <w:p w:rsidR="00F47C34" w:rsidRDefault="00940BF5">
      <w:r>
        <w:t>Using data collected at the midline on the closest friends of each study participant, we plan to extend our analysis to study the spillover effects onto the n</w:t>
      </w:r>
      <w:r>
        <w:t>on-REAP treated women in the manyattas by accounting for this more intimate social network in the following specification:</w:t>
      </w:r>
    </w:p>
    <w:p w:rsidR="00F47C34" w:rsidRDefault="00940BF5">
      <m:oMathPara>
        <m:oMath>
          <m:sSub>
            <m:sSubPr>
              <m:ctrlPr>
                <w:rPr>
                  <w:rFonts w:ascii="Cambria Math" w:hAnsi="Cambria Math"/>
                </w:rPr>
              </m:ctrlPr>
            </m:sSubPr>
            <m:e>
              <m:r>
                <w:rPr>
                  <w:rFonts w:ascii="Cambria Math" w:hAnsi="Cambria Math"/>
                </w:rPr>
                <m:t>y</m:t>
              </m:r>
            </m:e>
            <m:sub>
              <m:r>
                <w:rPr>
                  <w:rFonts w:ascii="Cambria Math" w:hAnsi="Cambria Math"/>
                </w:rPr>
                <m:t>h</m:t>
              </m:r>
              <m:r>
                <w:rPr>
                  <w:rFonts w:ascii="Cambria Math" w:hAnsi="Cambria Math"/>
                </w:rPr>
                <m:t>v</m:t>
              </m:r>
            </m:sub>
          </m:sSub>
          <m:r>
            <w:rPr>
              <w:rFonts w:ascii="Cambria Math" w:hAnsi="Cambria Math"/>
            </w:rPr>
            <m:t>=</m:t>
          </m:r>
          <m:sSub>
            <m:sSubPr>
              <m:ctrlPr>
                <w:rPr>
                  <w:rFonts w:ascii="Cambria Math" w:hAnsi="Cambria Math"/>
                </w:rPr>
              </m:ctrlPr>
            </m:sSubPr>
            <m:e>
              <m:r>
                <w:rPr>
                  <w:rFonts w:ascii="Cambria Math" w:hAnsi="Cambria Math"/>
                </w:rPr>
                <m:t>τ</m:t>
              </m:r>
            </m:e>
            <m:sub>
              <m:r>
                <w:rPr>
                  <w:rFonts w:ascii="Cambria Math" w:hAnsi="Cambria Math"/>
                </w:rPr>
                <m:t>0</m:t>
              </m:r>
            </m:sub>
          </m:sSub>
          <m:r>
            <w:rPr>
              <w:rFonts w:ascii="Cambria Math" w:hAnsi="Cambria Math"/>
            </w:rPr>
            <m:t>+</m:t>
          </m:r>
          <m:sSub>
            <m:sSubPr>
              <m:ctrlPr>
                <w:rPr>
                  <w:rFonts w:ascii="Cambria Math" w:hAnsi="Cambria Math"/>
                </w:rPr>
              </m:ctrlPr>
            </m:sSubPr>
            <m:e>
              <m:r>
                <w:rPr>
                  <w:rFonts w:ascii="Cambria Math" w:hAnsi="Cambria Math"/>
                </w:rPr>
                <m:t>τ</m:t>
              </m:r>
            </m:e>
            <m:sub>
              <m:r>
                <w:rPr>
                  <w:rFonts w:ascii="Cambria Math" w:hAnsi="Cambria Math"/>
                </w:rPr>
                <m:t>1</m:t>
              </m:r>
            </m:sub>
          </m:sSub>
          <m:nary>
            <m:naryPr>
              <m:chr m:val="∑"/>
              <m:ctrlPr>
                <w:rPr>
                  <w:rFonts w:ascii="Cambria Math" w:hAnsi="Cambria Math"/>
                </w:rPr>
              </m:ctrlPr>
            </m:naryPr>
            <m:sub>
              <m:r>
                <w:rPr>
                  <w:rFonts w:ascii="Cambria Math" w:hAnsi="Cambria Math"/>
                </w:rPr>
                <m:t>j</m:t>
              </m:r>
            </m:sub>
            <m:sup/>
            <m:e/>
          </m:nary>
          <m:sSub>
            <m:sSubPr>
              <m:ctrlPr>
                <w:rPr>
                  <w:rFonts w:ascii="Cambria Math" w:hAnsi="Cambria Math"/>
                </w:rPr>
              </m:ctrlPr>
            </m:sSubPr>
            <m:e>
              <m:r>
                <w:rPr>
                  <w:rFonts w:ascii="Cambria Math" w:hAnsi="Cambria Math"/>
                </w:rPr>
                <m:t>W</m:t>
              </m:r>
            </m:e>
            <m:sub>
              <m:r>
                <w:rPr>
                  <w:rFonts w:ascii="Cambria Math" w:hAnsi="Cambria Math"/>
                </w:rPr>
                <m:t>h</m:t>
              </m:r>
              <m:r>
                <w:rPr>
                  <w:rFonts w:ascii="Cambria Math" w:hAnsi="Cambria Math"/>
                </w:rPr>
                <m:t>j</m:t>
              </m:r>
              <m:r>
                <w:rPr>
                  <w:rFonts w:ascii="Cambria Math" w:hAnsi="Cambria Math"/>
                </w:rPr>
                <m:t>,</m:t>
              </m:r>
              <m:r>
                <w:rPr>
                  <w:rFonts w:ascii="Cambria Math" w:hAnsi="Cambria Math"/>
                </w:rPr>
                <m:t>v</m:t>
              </m:r>
            </m:sub>
          </m:sSub>
          <m:r>
            <w:rPr>
              <w:rFonts w:ascii="Cambria Math" w:hAnsi="Cambria Math"/>
            </w:rPr>
            <m:t>+</m:t>
          </m:r>
          <m:sSub>
            <m:sSubPr>
              <m:ctrlPr>
                <w:rPr>
                  <w:rFonts w:ascii="Cambria Math" w:hAnsi="Cambria Math"/>
                </w:rPr>
              </m:ctrlPr>
            </m:sSubPr>
            <m:e>
              <m:r>
                <w:rPr>
                  <w:rFonts w:ascii="Cambria Math" w:hAnsi="Cambria Math"/>
                </w:rPr>
                <m:t>τ</m:t>
              </m:r>
            </m:e>
            <m:sub>
              <m:r>
                <w:rPr>
                  <w:rFonts w:ascii="Cambria Math" w:hAnsi="Cambria Math"/>
                </w:rPr>
                <m:t>2</m:t>
              </m:r>
            </m:sub>
          </m:sSub>
          <m:sSub>
            <m:sSubPr>
              <m:ctrlPr>
                <w:rPr>
                  <w:rFonts w:ascii="Cambria Math" w:hAnsi="Cambria Math"/>
                </w:rPr>
              </m:ctrlPr>
            </m:sSubPr>
            <m:e>
              <m:r>
                <w:rPr>
                  <w:rFonts w:ascii="Cambria Math" w:hAnsi="Cambria Math"/>
                </w:rPr>
                <m:t>NetControl</m:t>
              </m:r>
            </m:e>
            <m:sub>
              <m:r>
                <w:rPr>
                  <w:rFonts w:ascii="Cambria Math" w:hAnsi="Cambria Math"/>
                </w:rPr>
                <m:t>h</m:t>
              </m:r>
              <m:r>
                <w:rPr>
                  <w:rFonts w:ascii="Cambria Math" w:hAnsi="Cambria Math"/>
                </w:rPr>
                <m:t>v</m:t>
              </m:r>
            </m:sub>
          </m:sSub>
          <m:r>
            <w:rPr>
              <w:rFonts w:ascii="Cambria Math" w:hAnsi="Cambria Math"/>
            </w:rPr>
            <m:t>+</m:t>
          </m:r>
          <m:sSup>
            <m:sSupPr>
              <m:ctrlPr>
                <w:rPr>
                  <w:rFonts w:ascii="Cambria Math" w:hAnsi="Cambria Math"/>
                </w:rPr>
              </m:ctrlPr>
            </m:sSupPr>
            <m:e>
              <m:sSub>
                <m:sSubPr>
                  <m:ctrlPr>
                    <w:rPr>
                      <w:rFonts w:ascii="Cambria Math" w:hAnsi="Cambria Math"/>
                    </w:rPr>
                  </m:ctrlPr>
                </m:sSubPr>
                <m:e>
                  <m:r>
                    <w:rPr>
                      <w:rFonts w:ascii="Cambria Math" w:hAnsi="Cambria Math"/>
                    </w:rPr>
                    <m:t>τ</m:t>
                  </m:r>
                </m:e>
                <m:sub/>
              </m:sSub>
              <m:r>
                <w:rPr>
                  <w:rFonts w:ascii="Cambria Math" w:hAnsi="Cambria Math"/>
                </w:rPr>
                <m:t>'</m:t>
              </m:r>
            </m:e>
            <m:sup/>
          </m:sSup>
          <m:sSub>
            <m:sSubPr>
              <m:ctrlPr>
                <w:rPr>
                  <w:rFonts w:ascii="Cambria Math" w:hAnsi="Cambria Math"/>
                </w:rPr>
              </m:ctrlPr>
            </m:sSubPr>
            <m:e>
              <m:r>
                <w:rPr>
                  <w:rFonts w:ascii="Cambria Math" w:hAnsi="Cambria Math"/>
                </w:rPr>
                <m:t>X</m:t>
              </m:r>
            </m:e>
            <m:sub>
              <m:r>
                <w:rPr>
                  <w:rFonts w:ascii="Cambria Math" w:hAnsi="Cambria Math"/>
                </w:rPr>
                <m:t>h</m:t>
              </m:r>
              <m:r>
                <w:rPr>
                  <w:rFonts w:ascii="Cambria Math" w:hAnsi="Cambria Math"/>
                </w:rPr>
                <m:t>v</m:t>
              </m:r>
            </m:sub>
          </m:sSub>
          <m:r>
            <w:rPr>
              <w:rFonts w:ascii="Cambria Math" w:hAnsi="Cambria Math"/>
            </w:rPr>
            <m:t>+</m:t>
          </m:r>
          <m:sSub>
            <m:sSubPr>
              <m:ctrlPr>
                <w:rPr>
                  <w:rFonts w:ascii="Cambria Math" w:hAnsi="Cambria Math"/>
                </w:rPr>
              </m:ctrlPr>
            </m:sSubPr>
            <m:e>
              <m:r>
                <w:rPr>
                  <w:rFonts w:ascii="Cambria Math" w:hAnsi="Cambria Math"/>
                </w:rPr>
                <m:t>ε</m:t>
              </m:r>
            </m:e>
            <m:sub>
              <m:r>
                <w:rPr>
                  <w:rFonts w:ascii="Cambria Math" w:hAnsi="Cambria Math"/>
                </w:rPr>
                <m:t>h</m:t>
              </m:r>
              <m:r>
                <w:rPr>
                  <w:rFonts w:ascii="Cambria Math" w:hAnsi="Cambria Math"/>
                </w:rPr>
                <m:t>v</m:t>
              </m:r>
            </m:sub>
          </m:sSub>
        </m:oMath>
      </m:oMathPara>
    </w:p>
    <w:p w:rsidR="00F47C34" w:rsidRDefault="00940BF5">
      <w:pPr>
        <w:spacing w:before="240" w:after="240"/>
      </w:pPr>
      <w:r>
        <w:lastRenderedPageBreak/>
        <w:t xml:space="preserve">where </w:t>
      </w:r>
      <m:oMath>
        <m:sSub>
          <m:sSubPr>
            <m:ctrlPr>
              <w:rPr>
                <w:rFonts w:ascii="Cambria Math" w:hAnsi="Cambria Math"/>
              </w:rPr>
            </m:ctrlPr>
          </m:sSubPr>
          <m:e>
            <m:r>
              <w:rPr>
                <w:rFonts w:ascii="Cambria Math" w:hAnsi="Cambria Math"/>
              </w:rPr>
              <m:t>y</m:t>
            </m:r>
          </m:e>
          <m:sub>
            <m:r>
              <w:rPr>
                <w:rFonts w:ascii="Cambria Math" w:hAnsi="Cambria Math"/>
              </w:rPr>
              <m:t>h</m:t>
            </m:r>
            <m:r>
              <w:rPr>
                <w:rFonts w:ascii="Cambria Math" w:hAnsi="Cambria Math"/>
              </w:rPr>
              <m:t>v</m:t>
            </m:r>
          </m:sub>
        </m:sSub>
      </m:oMath>
      <w:r>
        <w:t xml:space="preserve"> indicates the primary or secondary outcome for househol</w:t>
      </w:r>
      <w:r>
        <w:t xml:space="preserve">d h in village v at the midline,  </w:t>
      </w:r>
      <m:oMath>
        <m:sSub>
          <m:sSubPr>
            <m:ctrlPr>
              <w:rPr>
                <w:rFonts w:ascii="Cambria Math" w:hAnsi="Cambria Math"/>
              </w:rPr>
            </m:ctrlPr>
          </m:sSubPr>
          <m:e>
            <m:r>
              <w:rPr>
                <w:rFonts w:ascii="Cambria Math" w:hAnsi="Cambria Math"/>
              </w:rPr>
              <m:t>W</m:t>
            </m:r>
          </m:e>
          <m:sub>
            <m:r>
              <w:rPr>
                <w:rFonts w:ascii="Cambria Math" w:hAnsi="Cambria Math"/>
              </w:rPr>
              <m:t>h</m:t>
            </m:r>
            <m:r>
              <w:rPr>
                <w:rFonts w:ascii="Cambria Math" w:hAnsi="Cambria Math"/>
              </w:rPr>
              <m:t>j</m:t>
            </m:r>
            <m:r>
              <w:rPr>
                <w:rFonts w:ascii="Cambria Math" w:hAnsi="Cambria Math"/>
              </w:rPr>
              <m:t>,</m:t>
            </m:r>
            <m:r>
              <w:rPr>
                <w:rFonts w:ascii="Cambria Math" w:hAnsi="Cambria Math"/>
              </w:rPr>
              <m:t>v</m:t>
            </m:r>
          </m:sub>
        </m:sSub>
      </m:oMath>
      <w:r>
        <w:t xml:space="preserve"> is a binary indicator variable equal to 1 if respondent h has a friend j who has joined BOMA business groups during the time of the study and living in the same manyatta v. Fully flexible controls for the distribu</w:t>
      </w:r>
      <w:r>
        <w:t>tion of the number of matched friends will be included to control for the potential endogenous variation in our ability to link friends in the study sample. After controlling for household characteristics (</w:t>
      </w:r>
      <m:oMath>
        <m:sSub>
          <m:sSubPr>
            <m:ctrlPr>
              <w:rPr>
                <w:rFonts w:ascii="Cambria Math" w:hAnsi="Cambria Math"/>
              </w:rPr>
            </m:ctrlPr>
          </m:sSubPr>
          <m:e>
            <m:r>
              <w:rPr>
                <w:rFonts w:ascii="Cambria Math" w:hAnsi="Cambria Math"/>
              </w:rPr>
              <m:t>X</m:t>
            </m:r>
          </m:e>
          <m:sub>
            <m:r>
              <w:rPr>
                <w:rFonts w:ascii="Cambria Math" w:hAnsi="Cambria Math"/>
              </w:rPr>
              <m:t>h</m:t>
            </m:r>
            <m:r>
              <w:rPr>
                <w:rFonts w:ascii="Cambria Math" w:hAnsi="Cambria Math"/>
              </w:rPr>
              <m:t>v</m:t>
            </m:r>
          </m:sub>
        </m:sSub>
      </m:oMath>
      <w:r>
        <w:t xml:space="preserve">) and manyatta level fixed effects, </w:t>
      </w:r>
      <m:oMath>
        <m:sSub>
          <m:sSubPr>
            <m:ctrlPr>
              <w:rPr>
                <w:rFonts w:ascii="Cambria Math" w:hAnsi="Cambria Math"/>
              </w:rPr>
            </m:ctrlPr>
          </m:sSubPr>
          <m:e>
            <m:r>
              <w:rPr>
                <w:rFonts w:ascii="Cambria Math" w:hAnsi="Cambria Math"/>
              </w:rPr>
              <m:t>τ</m:t>
            </m:r>
          </m:e>
          <m:sub>
            <m:r>
              <w:rPr>
                <w:rFonts w:ascii="Cambria Math" w:hAnsi="Cambria Math"/>
              </w:rPr>
              <m:t>1</m:t>
            </m:r>
          </m:sub>
        </m:sSub>
      </m:oMath>
      <w:r>
        <w:t>sugges</w:t>
      </w:r>
      <w:r>
        <w:t>ts the impact of having 1 additional friend join BOMA program on the outcome variables of the non-BOMA treated women.</w:t>
      </w:r>
    </w:p>
    <w:p w:rsidR="00F47C34" w:rsidRDefault="00940BF5">
      <w:pPr>
        <w:pStyle w:val="Heading1"/>
        <w:spacing w:before="240" w:after="240"/>
      </w:pPr>
      <w:bookmarkStart w:id="7" w:name="_4u2l0vvdkpcg" w:colFirst="0" w:colLast="0"/>
      <w:bookmarkEnd w:id="7"/>
      <w:r>
        <w:t>References</w:t>
      </w:r>
    </w:p>
    <w:p w:rsidR="00F47C34" w:rsidRDefault="00940BF5">
      <w:pPr>
        <w:pBdr>
          <w:top w:val="nil"/>
          <w:left w:val="nil"/>
          <w:bottom w:val="nil"/>
          <w:right w:val="nil"/>
          <w:between w:val="nil"/>
        </w:pBdr>
        <w:spacing w:before="240" w:after="240"/>
      </w:pPr>
      <w:r>
        <w:t xml:space="preserve">Baird, S., J.A. </w:t>
      </w:r>
      <w:proofErr w:type="spellStart"/>
      <w:r>
        <w:t>Bohren</w:t>
      </w:r>
      <w:proofErr w:type="spellEnd"/>
      <w:r>
        <w:t xml:space="preserve">, C. McIntosh, and </w:t>
      </w:r>
      <w:proofErr w:type="spellStart"/>
      <w:r>
        <w:t>B.Ozler</w:t>
      </w:r>
      <w:proofErr w:type="spellEnd"/>
      <w:r>
        <w:t>. 2018. “Optimal Design of Experiments in the Presence of Interference.” The Review of Economics and Statistics 100:844–860.</w:t>
      </w:r>
    </w:p>
    <w:p w:rsidR="00F47C34" w:rsidRDefault="00940BF5">
      <w:proofErr w:type="spellStart"/>
      <w:r>
        <w:t>Chernozhukov</w:t>
      </w:r>
      <w:proofErr w:type="spellEnd"/>
      <w:r>
        <w:t xml:space="preserve">, V., </w:t>
      </w:r>
      <w:proofErr w:type="spellStart"/>
      <w:r>
        <w:t>Demirer</w:t>
      </w:r>
      <w:proofErr w:type="spellEnd"/>
      <w:r>
        <w:t xml:space="preserve">, M., </w:t>
      </w:r>
      <w:proofErr w:type="spellStart"/>
      <w:r>
        <w:t>Duflo</w:t>
      </w:r>
      <w:proofErr w:type="spellEnd"/>
      <w:r>
        <w:t xml:space="preserve">, E., &amp; Fernandez-Val, I. (2018). </w:t>
      </w:r>
      <w:r>
        <w:rPr>
          <w:i/>
        </w:rPr>
        <w:t>Generic machi</w:t>
      </w:r>
      <w:r>
        <w:rPr>
          <w:i/>
        </w:rPr>
        <w:t>ne learning inference on heterogenous treatment effects in randomized experiments</w:t>
      </w:r>
      <w:r>
        <w:t xml:space="preserve"> (No. w24678). National Bureau of Economic Research.</w:t>
      </w:r>
    </w:p>
    <w:p w:rsidR="00F47C34" w:rsidRDefault="00F47C34"/>
    <w:p w:rsidR="00F47C34" w:rsidRDefault="00940BF5">
      <w:r>
        <w:t xml:space="preserve">Dupont, W. D., &amp; Plummer Jr, W. D. (1998). Power and sample size calculations for studies involving linear regression. </w:t>
      </w:r>
      <w:r>
        <w:rPr>
          <w:i/>
        </w:rPr>
        <w:t>Co</w:t>
      </w:r>
      <w:r>
        <w:rPr>
          <w:i/>
        </w:rPr>
        <w:t>ntrolled clinical trials</w:t>
      </w:r>
      <w:r>
        <w:t xml:space="preserve">, </w:t>
      </w:r>
      <w:r>
        <w:rPr>
          <w:i/>
        </w:rPr>
        <w:t>19</w:t>
      </w:r>
      <w:r>
        <w:t>(6), 589-601.</w:t>
      </w:r>
    </w:p>
    <w:p w:rsidR="00F47C34" w:rsidRDefault="00F47C34"/>
    <w:p w:rsidR="00F47C34" w:rsidRDefault="00940BF5">
      <w:pPr>
        <w:rPr>
          <w:color w:val="222222"/>
          <w:highlight w:val="white"/>
        </w:rPr>
      </w:pPr>
      <w:proofErr w:type="spellStart"/>
      <w:r>
        <w:rPr>
          <w:color w:val="222222"/>
          <w:highlight w:val="white"/>
        </w:rPr>
        <w:t>Gobin</w:t>
      </w:r>
      <w:proofErr w:type="spellEnd"/>
      <w:r>
        <w:rPr>
          <w:color w:val="222222"/>
          <w:highlight w:val="white"/>
        </w:rPr>
        <w:t xml:space="preserve">, V. J., Santos, P., &amp; Toth, R. (2017). No longer trapped? Promoting entrepreneurship through cash transfers to ultra-poor women in northern Kenya. </w:t>
      </w:r>
      <w:r>
        <w:rPr>
          <w:i/>
          <w:color w:val="222222"/>
          <w:highlight w:val="white"/>
        </w:rPr>
        <w:t>American Journal of Agricultural Economics</w:t>
      </w:r>
      <w:r>
        <w:rPr>
          <w:color w:val="222222"/>
          <w:highlight w:val="white"/>
        </w:rPr>
        <w:t xml:space="preserve">, </w:t>
      </w:r>
      <w:r>
        <w:rPr>
          <w:i/>
          <w:color w:val="222222"/>
          <w:highlight w:val="white"/>
        </w:rPr>
        <w:t>99</w:t>
      </w:r>
      <w:r>
        <w:rPr>
          <w:color w:val="222222"/>
          <w:highlight w:val="white"/>
        </w:rPr>
        <w:t>(5), 1362-1383.</w:t>
      </w:r>
    </w:p>
    <w:p w:rsidR="00F47C34" w:rsidRDefault="00F47C34">
      <w:pPr>
        <w:rPr>
          <w:color w:val="222222"/>
          <w:highlight w:val="white"/>
        </w:rPr>
      </w:pPr>
    </w:p>
    <w:p w:rsidR="00F47C34" w:rsidRDefault="00940BF5">
      <w:pPr>
        <w:rPr>
          <w:color w:val="222222"/>
          <w:highlight w:val="white"/>
        </w:rPr>
      </w:pPr>
      <w:r>
        <w:rPr>
          <w:color w:val="222222"/>
          <w:highlight w:val="white"/>
        </w:rPr>
        <w:t xml:space="preserve">Janzen, S. A., &amp; Carter, M. R. (2019). After the drought: The impact of microinsurance on consumption smoothing and asset protection. </w:t>
      </w:r>
      <w:r>
        <w:rPr>
          <w:i/>
          <w:color w:val="222222"/>
          <w:highlight w:val="white"/>
        </w:rPr>
        <w:t>American Journal of Agricultural Economics</w:t>
      </w:r>
      <w:r>
        <w:rPr>
          <w:color w:val="222222"/>
          <w:highlight w:val="white"/>
        </w:rPr>
        <w:t xml:space="preserve">, </w:t>
      </w:r>
      <w:r>
        <w:rPr>
          <w:i/>
          <w:color w:val="222222"/>
          <w:highlight w:val="white"/>
        </w:rPr>
        <w:t>101</w:t>
      </w:r>
      <w:r>
        <w:rPr>
          <w:color w:val="222222"/>
          <w:highlight w:val="white"/>
        </w:rPr>
        <w:t>(3), 651-671.</w:t>
      </w:r>
    </w:p>
    <w:p w:rsidR="00F47C34" w:rsidRDefault="00F47C34">
      <w:pPr>
        <w:rPr>
          <w:color w:val="222222"/>
          <w:highlight w:val="white"/>
        </w:rPr>
      </w:pPr>
    </w:p>
    <w:p w:rsidR="00F47C34" w:rsidRDefault="00940BF5">
      <w:pPr>
        <w:rPr>
          <w:color w:val="222222"/>
          <w:highlight w:val="white"/>
        </w:rPr>
      </w:pPr>
      <w:r>
        <w:rPr>
          <w:color w:val="222222"/>
          <w:highlight w:val="white"/>
        </w:rPr>
        <w:t>Jensen, N. D., Barrett, C. B., &amp; Mude, A. G</w:t>
      </w:r>
      <w:r>
        <w:rPr>
          <w:color w:val="222222"/>
          <w:highlight w:val="white"/>
        </w:rPr>
        <w:t xml:space="preserve">. (2017). Cash transfers and index insurance: A comparative impact analysis from northern Kenya. </w:t>
      </w:r>
      <w:r>
        <w:rPr>
          <w:i/>
          <w:color w:val="222222"/>
          <w:highlight w:val="white"/>
        </w:rPr>
        <w:t>Journal of Development Economics</w:t>
      </w:r>
      <w:r>
        <w:rPr>
          <w:color w:val="222222"/>
          <w:highlight w:val="white"/>
        </w:rPr>
        <w:t xml:space="preserve">, </w:t>
      </w:r>
      <w:r>
        <w:rPr>
          <w:i/>
          <w:color w:val="222222"/>
          <w:highlight w:val="white"/>
        </w:rPr>
        <w:t>129</w:t>
      </w:r>
      <w:r>
        <w:rPr>
          <w:color w:val="222222"/>
          <w:highlight w:val="white"/>
        </w:rPr>
        <w:t>, 14-28.</w:t>
      </w:r>
    </w:p>
    <w:p w:rsidR="00F47C34" w:rsidRDefault="00F47C34">
      <w:pPr>
        <w:rPr>
          <w:color w:val="222222"/>
          <w:highlight w:val="white"/>
        </w:rPr>
      </w:pPr>
    </w:p>
    <w:p w:rsidR="00F47C34" w:rsidRDefault="00940BF5">
      <w:pPr>
        <w:rPr>
          <w:color w:val="222222"/>
          <w:highlight w:val="white"/>
        </w:rPr>
      </w:pPr>
      <w:r>
        <w:rPr>
          <w:color w:val="222222"/>
          <w:highlight w:val="white"/>
        </w:rPr>
        <w:t xml:space="preserve">Matsuda, A., Takahashi, K., &amp; Ikegami, M. (2019). Direct and indirect impact of index-based livestock insurance </w:t>
      </w:r>
      <w:r>
        <w:rPr>
          <w:color w:val="222222"/>
          <w:highlight w:val="white"/>
        </w:rPr>
        <w:t xml:space="preserve">in Southern Ethiopia. </w:t>
      </w:r>
      <w:r>
        <w:rPr>
          <w:i/>
          <w:color w:val="222222"/>
          <w:highlight w:val="white"/>
        </w:rPr>
        <w:t>The Geneva Papers on Risk and Insurance-Issues and Practice</w:t>
      </w:r>
      <w:r>
        <w:rPr>
          <w:color w:val="222222"/>
          <w:highlight w:val="white"/>
        </w:rPr>
        <w:t xml:space="preserve">, </w:t>
      </w:r>
      <w:r>
        <w:rPr>
          <w:i/>
          <w:color w:val="222222"/>
          <w:highlight w:val="white"/>
        </w:rPr>
        <w:t>44</w:t>
      </w:r>
      <w:r>
        <w:rPr>
          <w:color w:val="222222"/>
          <w:highlight w:val="white"/>
        </w:rPr>
        <w:t>(3), 481-502.</w:t>
      </w:r>
    </w:p>
    <w:p w:rsidR="00F47C34" w:rsidRDefault="00F47C34"/>
    <w:p w:rsidR="00F47C34" w:rsidRDefault="00940BF5">
      <w:r>
        <w:t xml:space="preserve">Wager, S., &amp; </w:t>
      </w:r>
      <w:proofErr w:type="spellStart"/>
      <w:r>
        <w:t>Athey</w:t>
      </w:r>
      <w:proofErr w:type="spellEnd"/>
      <w:r>
        <w:t xml:space="preserve">, S. (2018). Estimation and inference of heterogeneous treatment effects using random forests. </w:t>
      </w:r>
      <w:r>
        <w:rPr>
          <w:i/>
        </w:rPr>
        <w:t>Journal of the American Statistical Associa</w:t>
      </w:r>
      <w:r>
        <w:rPr>
          <w:i/>
        </w:rPr>
        <w:t>tion</w:t>
      </w:r>
      <w:r>
        <w:t xml:space="preserve">, </w:t>
      </w:r>
      <w:r>
        <w:rPr>
          <w:i/>
        </w:rPr>
        <w:t>113</w:t>
      </w:r>
      <w:r>
        <w:t>(523), 1228-1242.</w:t>
      </w:r>
    </w:p>
    <w:sectPr w:rsidR="00F47C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0BF5" w:rsidRDefault="00940BF5">
      <w:pPr>
        <w:spacing w:line="240" w:lineRule="auto"/>
      </w:pPr>
      <w:r>
        <w:separator/>
      </w:r>
    </w:p>
  </w:endnote>
  <w:endnote w:type="continuationSeparator" w:id="0">
    <w:p w:rsidR="00940BF5" w:rsidRDefault="00940B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0BF5" w:rsidRDefault="00940BF5">
      <w:pPr>
        <w:spacing w:line="240" w:lineRule="auto"/>
      </w:pPr>
      <w:r>
        <w:separator/>
      </w:r>
    </w:p>
  </w:footnote>
  <w:footnote w:type="continuationSeparator" w:id="0">
    <w:p w:rsidR="00940BF5" w:rsidRDefault="00940BF5">
      <w:pPr>
        <w:spacing w:line="240" w:lineRule="auto"/>
      </w:pPr>
      <w:r>
        <w:continuationSeparator/>
      </w:r>
    </w:p>
  </w:footnote>
  <w:footnote w:id="1">
    <w:p w:rsidR="00F47C34" w:rsidRDefault="00940BF5">
      <w:pPr>
        <w:spacing w:line="240" w:lineRule="auto"/>
        <w:rPr>
          <w:sz w:val="20"/>
          <w:szCs w:val="20"/>
        </w:rPr>
      </w:pPr>
      <w:r>
        <w:rPr>
          <w:vertAlign w:val="superscript"/>
        </w:rPr>
        <w:footnoteRef/>
      </w:r>
      <w:r>
        <w:rPr>
          <w:sz w:val="20"/>
          <w:szCs w:val="20"/>
        </w:rPr>
        <w:t xml:space="preserve"> First, BOMA implements a Participatory Rural Appraisal (PRA) for classifying all households in each village into 4-6 wealth categories using village-defined wealth categories. Regardless of the criteria used by the village for </w:t>
      </w:r>
      <w:r>
        <w:rPr>
          <w:sz w:val="20"/>
          <w:szCs w:val="20"/>
        </w:rPr>
        <w:t xml:space="preserve">the wealth categories, only women in categories 1 and 2 (the poorest two categories) can be eligible for the REAP. Based on BOMA’s previous experience in Marsabit County and Samburu East and West </w:t>
      </w:r>
      <w:proofErr w:type="spellStart"/>
      <w:r>
        <w:rPr>
          <w:sz w:val="20"/>
          <w:szCs w:val="20"/>
        </w:rPr>
        <w:t>subcounties</w:t>
      </w:r>
      <w:proofErr w:type="spellEnd"/>
      <w:r>
        <w:rPr>
          <w:sz w:val="20"/>
          <w:szCs w:val="20"/>
        </w:rPr>
        <w:t>, we expect 50% of the women will fall into these</w:t>
      </w:r>
      <w:r>
        <w:rPr>
          <w:sz w:val="20"/>
          <w:szCs w:val="20"/>
        </w:rPr>
        <w:t xml:space="preserve"> lowest two wealth categories. Those women are then further screened for their interest and capability to potentially succeed in the REAP program using the Participant Targeting Tool (PTT) and BOMA Locational Committees (BLC). If a potential candidate is d</w:t>
      </w:r>
      <w:r>
        <w:rPr>
          <w:sz w:val="20"/>
          <w:szCs w:val="20"/>
        </w:rPr>
        <w:t>eemed not appropriate, the BLC will request that BOMA replace them</w:t>
      </w:r>
    </w:p>
    <w:p w:rsidR="00F47C34" w:rsidRDefault="00940BF5">
      <w:pPr>
        <w:spacing w:line="240" w:lineRule="auto"/>
        <w:rPr>
          <w:sz w:val="20"/>
          <w:szCs w:val="20"/>
        </w:rPr>
      </w:pPr>
      <w:r>
        <w:rPr>
          <w:sz w:val="20"/>
          <w:szCs w:val="20"/>
        </w:rPr>
        <w:t xml:space="preserve">with a new candidate.  </w:t>
      </w:r>
    </w:p>
    <w:p w:rsidR="00F47C34" w:rsidRDefault="00F47C34">
      <w:pPr>
        <w:spacing w:line="240" w:lineRule="auto"/>
        <w:rPr>
          <w:sz w:val="20"/>
          <w:szCs w:val="20"/>
        </w:rPr>
      </w:pPr>
    </w:p>
  </w:footnote>
  <w:footnote w:id="2">
    <w:p w:rsidR="00F47C34" w:rsidRDefault="00940BF5">
      <w:pPr>
        <w:spacing w:line="240" w:lineRule="auto"/>
        <w:rPr>
          <w:sz w:val="20"/>
          <w:szCs w:val="20"/>
        </w:rPr>
      </w:pPr>
      <w:r>
        <w:rPr>
          <w:vertAlign w:val="superscript"/>
        </w:rPr>
        <w:footnoteRef/>
      </w:r>
      <w:r>
        <w:rPr>
          <w:sz w:val="20"/>
          <w:szCs w:val="20"/>
        </w:rPr>
        <w:t xml:space="preserve"> </w:t>
      </w:r>
      <w:r>
        <w:t>The question we used to elicit the friendship is “Who would you discuss with about your personal issues (including problems about your private life such as sharing a personal problem, emotional feelings, your plan for the futur</w:t>
      </w:r>
      <w:r>
        <w:t>e, your aspirations etc.?”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12CD"/>
    <w:multiLevelType w:val="multilevel"/>
    <w:tmpl w:val="021C41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43866C3"/>
    <w:multiLevelType w:val="multilevel"/>
    <w:tmpl w:val="39F85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E1213A"/>
    <w:multiLevelType w:val="multilevel"/>
    <w:tmpl w:val="B7E2F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820CDA"/>
    <w:multiLevelType w:val="multilevel"/>
    <w:tmpl w:val="70B69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16434DB"/>
    <w:multiLevelType w:val="multilevel"/>
    <w:tmpl w:val="FFE0B7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8DE0B5B"/>
    <w:multiLevelType w:val="multilevel"/>
    <w:tmpl w:val="9CD41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203929"/>
    <w:multiLevelType w:val="multilevel"/>
    <w:tmpl w:val="0EA2A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2"/>
  </w:num>
  <w:num w:numId="3">
    <w:abstractNumId w:val="6"/>
  </w:num>
  <w:num w:numId="4">
    <w:abstractNumId w:val="3"/>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C34"/>
    <w:rsid w:val="00940BF5"/>
    <w:rsid w:val="00E402C3"/>
    <w:rsid w:val="00E46AA0"/>
    <w:rsid w:val="00F47C34"/>
    <w:rsid w:val="00FC36B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4BC5A"/>
  <w15:docId w15:val="{ADD03834-8399-43D1-8684-C19F51A4A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KE"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C36B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36BD"/>
    <w:rPr>
      <w:rFonts w:ascii="Segoe UI" w:hAnsi="Segoe UI" w:cs="Segoe UI"/>
      <w:sz w:val="18"/>
      <w:szCs w:val="18"/>
    </w:rPr>
  </w:style>
  <w:style w:type="character" w:styleId="Hyperlink">
    <w:name w:val="Hyperlink"/>
    <w:basedOn w:val="DefaultParagraphFont"/>
    <w:uiPriority w:val="99"/>
    <w:unhideWhenUsed/>
    <w:rsid w:val="00E402C3"/>
    <w:rPr>
      <w:color w:val="0000FF" w:themeColor="hyperlink"/>
      <w:u w:val="single"/>
    </w:rPr>
  </w:style>
  <w:style w:type="character" w:styleId="UnresolvedMention">
    <w:name w:val="Unresolved Mention"/>
    <w:basedOn w:val="DefaultParagraphFont"/>
    <w:uiPriority w:val="99"/>
    <w:semiHidden/>
    <w:unhideWhenUsed/>
    <w:rsid w:val="00E40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jensen@cgiar.org"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3831</Words>
  <Characters>21840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Jensen, Nathaniel (ILRI)</dc:creator>
  <cp:lastModifiedBy>Jensen, Nathaniel (ILRI)</cp:lastModifiedBy>
  <cp:revision>3</cp:revision>
  <dcterms:created xsi:type="dcterms:W3CDTF">2020-05-10T17:19:00Z</dcterms:created>
  <dcterms:modified xsi:type="dcterms:W3CDTF">2020-05-10T17:21:00Z</dcterms:modified>
</cp:coreProperties>
</file>