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7EFBAF" w14:textId="77777777" w:rsidR="008C400D" w:rsidRPr="003679C3" w:rsidRDefault="008C400D" w:rsidP="008C400D">
      <w:pPr>
        <w:pStyle w:val="Title"/>
      </w:pPr>
      <w:r w:rsidRPr="003679C3">
        <w:t xml:space="preserve">Prespecification of Analyses for </w:t>
      </w:r>
      <w:r>
        <w:t>Connect for Health Colorado Experiment</w:t>
      </w:r>
    </w:p>
    <w:p w14:paraId="158A15FC" w14:textId="77777777" w:rsidR="008C400D" w:rsidRPr="009E05C2" w:rsidRDefault="008C400D" w:rsidP="008C400D">
      <w:pPr>
        <w:pStyle w:val="Subtitle"/>
        <w:rPr>
          <w:rFonts w:ascii="Calibri Light" w:hAnsi="Calibri Light"/>
        </w:rPr>
      </w:pPr>
      <w:r>
        <w:rPr>
          <w:rFonts w:ascii="Calibri Light" w:hAnsi="Calibri Light"/>
        </w:rPr>
        <w:t>Keith Ericson, Jon Kingsdale, Timothy Layton, and Adam Sacarny</w:t>
      </w:r>
    </w:p>
    <w:p w14:paraId="6D7A1ADE" w14:textId="346E10A9" w:rsidR="00162014" w:rsidRDefault="008C400D" w:rsidP="00162014">
      <w:pPr>
        <w:rPr>
          <w:rFonts w:ascii="Calibri Light" w:eastAsia="Times New Roman" w:hAnsi="Calibri Light" w:cs="Times New Roman"/>
          <w:i/>
          <w:iCs/>
        </w:rPr>
      </w:pPr>
      <w:r>
        <w:rPr>
          <w:rFonts w:ascii="Calibri Light" w:eastAsia="Times New Roman" w:hAnsi="Calibri Light" w:cs="Times New Roman"/>
          <w:i/>
          <w:iCs/>
        </w:rPr>
        <w:t xml:space="preserve">March </w:t>
      </w:r>
      <w:r w:rsidR="00451D35">
        <w:rPr>
          <w:rFonts w:ascii="Calibri Light" w:eastAsia="Times New Roman" w:hAnsi="Calibri Light" w:cs="Times New Roman"/>
          <w:i/>
          <w:iCs/>
        </w:rPr>
        <w:t>28</w:t>
      </w:r>
      <w:r>
        <w:rPr>
          <w:rFonts w:ascii="Calibri Light" w:eastAsia="Times New Roman" w:hAnsi="Calibri Light" w:cs="Times New Roman"/>
          <w:i/>
          <w:iCs/>
        </w:rPr>
        <w:t>, 2016</w:t>
      </w:r>
    </w:p>
    <w:p w14:paraId="0065AAF1" w14:textId="77777777" w:rsidR="00162014" w:rsidRDefault="00162014" w:rsidP="00162014">
      <w:pPr>
        <w:pStyle w:val="Heading1"/>
      </w:pPr>
      <w:r>
        <w:t>Introduction</w:t>
      </w:r>
    </w:p>
    <w:p w14:paraId="575B8F6E" w14:textId="2D8FD374" w:rsidR="003228C2" w:rsidRDefault="003228C2" w:rsidP="003228C2">
      <w:r>
        <w:t>In this document, we describe an analysis plan for a study on the effects of letters and emails containing personalized information on potential savings to consumers from switching to a lower-cost health insurance plan in the Colorado Health Insurance Marketplace, Connect for Health Colorado (C4). At the time of writing this document, we have only observed pre-intervention data (used to assign households to treatment and control groups and generate the letters and emails). We may perform additional analyses in the course of the study; when analyses were not pre-specified in this document we will make note of that fact.</w:t>
      </w:r>
    </w:p>
    <w:p w14:paraId="6E9A4B6C" w14:textId="2F20EB2F" w:rsidR="003228C2" w:rsidRDefault="00A01C3F" w:rsidP="003228C2">
      <w:r>
        <w:t>The study used a sample of</w:t>
      </w:r>
      <w:r w:rsidR="00C1423E">
        <w:t xml:space="preserve"> 15,534</w:t>
      </w:r>
      <w:r w:rsidR="00262E15">
        <w:t xml:space="preserve"> households that were enrolled in a health insurance plan</w:t>
      </w:r>
      <w:r>
        <w:t xml:space="preserve"> through C4</w:t>
      </w:r>
      <w:r w:rsidR="00C1423E">
        <w:t>. One-third (N=5,178</w:t>
      </w:r>
      <w:r w:rsidR="00262E15">
        <w:t xml:space="preserve">) of these households </w:t>
      </w:r>
      <w:r w:rsidR="00D57398">
        <w:t xml:space="preserve">were randomly </w:t>
      </w:r>
      <w:r w:rsidR="00262E15">
        <w:t xml:space="preserve">allocated to an “as-usual” arm and received no intervention due to the study. </w:t>
      </w:r>
      <w:r w:rsidR="003228C2">
        <w:t>In November and December 2015, we sent two letters and two emails to</w:t>
      </w:r>
      <w:r w:rsidR="00262E15">
        <w:t xml:space="preserve"> the remaining</w:t>
      </w:r>
      <w:r w:rsidR="003228C2">
        <w:t xml:space="preserve"> 10,</w:t>
      </w:r>
      <w:r w:rsidR="00C1423E">
        <w:t>356</w:t>
      </w:r>
      <w:r w:rsidR="003228C2">
        <w:t xml:space="preserve"> households. </w:t>
      </w:r>
      <w:r w:rsidR="00C1423E">
        <w:t>N=</w:t>
      </w:r>
      <w:r w:rsidR="003228C2">
        <w:t>5,</w:t>
      </w:r>
      <w:r w:rsidR="00C1423E">
        <w:t>178</w:t>
      </w:r>
      <w:r w:rsidR="003228C2">
        <w:t xml:space="preserve"> of these households (Treatment Group 1) </w:t>
      </w:r>
      <w:r w:rsidR="00D57398">
        <w:t xml:space="preserve">were randomly assigned to </w:t>
      </w:r>
      <w:r w:rsidR="003228C2">
        <w:t xml:space="preserve">receive letters and emails that included a </w:t>
      </w:r>
      <w:r w:rsidR="00262E15">
        <w:t xml:space="preserve">generic </w:t>
      </w:r>
      <w:r w:rsidR="003228C2">
        <w:t>message encouraging them to return to the C4 website</w:t>
      </w:r>
      <w:r w:rsidR="00262E15">
        <w:t xml:space="preserve"> </w:t>
      </w:r>
      <w:r w:rsidR="00271013">
        <w:t>to look for savings on their plan premiums by switching plans</w:t>
      </w:r>
      <w:r w:rsidR="003228C2">
        <w:t xml:space="preserve">. The other </w:t>
      </w:r>
      <w:r w:rsidR="00C1423E">
        <w:t>N=</w:t>
      </w:r>
      <w:r w:rsidR="003228C2">
        <w:t>5,</w:t>
      </w:r>
      <w:r w:rsidR="00C1423E">
        <w:t>178</w:t>
      </w:r>
      <w:r w:rsidR="003228C2">
        <w:t xml:space="preserve"> households (Treatment Group 2) </w:t>
      </w:r>
      <w:r w:rsidR="00D57398">
        <w:t xml:space="preserve">were randomly assigned to receive </w:t>
      </w:r>
      <w:r w:rsidR="003228C2">
        <w:t xml:space="preserve">letters and emails that were identical to the letters sent to Treatment Group 1 in every way except that these letters also </w:t>
      </w:r>
      <w:r w:rsidR="00262E15">
        <w:t>included personalized</w:t>
      </w:r>
      <w:r w:rsidR="003228C2">
        <w:t xml:space="preserve"> information about the amount the household could potentially save by switching to the lowest-price plan in their metal tier.</w:t>
      </w:r>
      <w:r w:rsidR="003228C2">
        <w:rPr>
          <w:rStyle w:val="FootnoteReference"/>
        </w:rPr>
        <w:footnoteReference w:id="1"/>
      </w:r>
    </w:p>
    <w:p w14:paraId="304C5C01" w14:textId="77777777" w:rsidR="000C752A" w:rsidRDefault="000C752A" w:rsidP="003228C2">
      <w:r>
        <w:t>There are two goals of the study. The first goal is to determine whether additional “touches” in the form of letters and emails encouraging enrollees to return to the Marketplace website and “shop,” are effective for increasing the rates of active shopping and plan switching among Marketplace enrollees. The second goal is to determine whether personalized information about potential savings has an incremental effect on shopping and switching above and beyond the effect of the additional “touches.”</w:t>
      </w:r>
    </w:p>
    <w:p w14:paraId="79E6E390" w14:textId="06D665AE" w:rsidR="00CF36B6" w:rsidRPr="003228C2" w:rsidRDefault="00D3724C" w:rsidP="003228C2">
      <w:r>
        <w:lastRenderedPageBreak/>
        <w:t>All analyses will be performed using enrollment data from the Colorado Health Insurance Marketplace. This data includes individual and household information such as age, gender, zip code, etc. as well as information about the household’s plan choices for 2014, 2015, and 2016</w:t>
      </w:r>
      <w:r w:rsidR="00262E15">
        <w:t>.</w:t>
      </w:r>
    </w:p>
    <w:p w14:paraId="29B4FF14" w14:textId="77777777" w:rsidR="008C400D" w:rsidRDefault="00CF36B6" w:rsidP="008C400D">
      <w:pPr>
        <w:pStyle w:val="Heading1"/>
      </w:pPr>
      <w:bookmarkStart w:id="0" w:name="_Ref283394297"/>
      <w:r>
        <w:t xml:space="preserve">Identification of the Study Sample and </w:t>
      </w:r>
      <w:r w:rsidR="008C400D">
        <w:t>Randomization</w:t>
      </w:r>
      <w:bookmarkEnd w:id="0"/>
    </w:p>
    <w:p w14:paraId="1FAA6E2C" w14:textId="77777777" w:rsidR="00CF36B6" w:rsidRPr="00CF36B6" w:rsidRDefault="00CF36B6" w:rsidP="00CF36B6">
      <w:r>
        <w:t>See study protocol document.</w:t>
      </w:r>
    </w:p>
    <w:p w14:paraId="68514188" w14:textId="77777777" w:rsidR="008C400D" w:rsidRDefault="008C400D" w:rsidP="008C400D">
      <w:pPr>
        <w:pStyle w:val="Heading1"/>
      </w:pPr>
      <w:r>
        <w:t>Overview</w:t>
      </w:r>
    </w:p>
    <w:p w14:paraId="104BFD6A" w14:textId="77777777" w:rsidR="007A6B18" w:rsidRPr="00774E25" w:rsidRDefault="00774E25" w:rsidP="00774E25">
      <w:r>
        <w:t>Here we provide detains on the types of analyses we will perform, including specifications of the regression models we will use to estimate treatment effects. We will also discuss the sets of control variables we will use in our analyses.</w:t>
      </w:r>
    </w:p>
    <w:p w14:paraId="4E457A6A" w14:textId="77777777" w:rsidR="008C400D" w:rsidRDefault="008C400D" w:rsidP="008C400D">
      <w:pPr>
        <w:pStyle w:val="Heading2"/>
      </w:pPr>
      <w:r>
        <w:t>Form of regressions</w:t>
      </w:r>
    </w:p>
    <w:p w14:paraId="5A76031B" w14:textId="77777777" w:rsidR="007A6B18" w:rsidRDefault="007A6B18" w:rsidP="007A6B18">
      <w:r>
        <w:t>All regressions will be performed at the level of the household, as the household is the choice-making unit in this market. The household-level regressions will be of the form:</w:t>
      </w:r>
    </w:p>
    <w:p w14:paraId="7C621166" w14:textId="77777777" w:rsidR="007A6B18" w:rsidRPr="007A6B18" w:rsidRDefault="00110966" w:rsidP="007A6B18">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=α+</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trea</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treat</m:t>
          </m:r>
          <m:sSub>
            <m:sSubPr>
              <m:ctrlPr>
                <w:rPr>
                  <w:rFonts w:ascii="Cambria Math" w:hAnsi="Cambria Math"/>
                  <w:i/>
                </w:rPr>
              </m:ctrlPr>
            </m:sSubPr>
            <m:e>
              <m:r>
                <w:rPr>
                  <w:rFonts w:ascii="Cambria Math" w:hAnsi="Cambria Math"/>
                </w:rPr>
                <m:t>2</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Γ</m:t>
          </m:r>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59427A27" w14:textId="77777777" w:rsidR="007A6B18" w:rsidRPr="007A6B18" w:rsidRDefault="00DF5D8F" w:rsidP="007A6B18">
      <w:r>
        <w:t xml:space="preserve">where </w:t>
      </w:r>
      <m:oMath>
        <m:r>
          <w:rPr>
            <w:rFonts w:ascii="Cambria Math" w:hAnsi="Cambria Math"/>
          </w:rPr>
          <m:t>i</m:t>
        </m:r>
      </m:oMath>
      <w:r>
        <w:t xml:space="preserve"> indexes households,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t xml:space="preserve"> is the outcome (shopping or switching), </w:t>
      </w:r>
      <m:oMath>
        <m:r>
          <w:rPr>
            <w:rFonts w:ascii="Cambria Math" w:hAnsi="Cambria Math"/>
          </w:rPr>
          <m:t>trea</m:t>
        </m:r>
        <m:sSub>
          <m:sSubPr>
            <m:ctrlPr>
              <w:rPr>
                <w:rFonts w:ascii="Cambria Math" w:hAnsi="Cambria Math"/>
                <w:i/>
              </w:rPr>
            </m:ctrlPr>
          </m:sSubPr>
          <m:e>
            <m:r>
              <w:rPr>
                <w:rFonts w:ascii="Cambria Math" w:hAnsi="Cambria Math"/>
              </w:rPr>
              <m:t>t</m:t>
            </m:r>
          </m:e>
          <m:sub>
            <m:r>
              <w:rPr>
                <w:rFonts w:ascii="Cambria Math" w:hAnsi="Cambria Math"/>
              </w:rPr>
              <m:t>i</m:t>
            </m:r>
          </m:sub>
        </m:sSub>
      </m:oMath>
      <w:r>
        <w:t xml:space="preserve"> is an indicator for household </w:t>
      </w:r>
      <m:oMath>
        <m:r>
          <w:rPr>
            <w:rFonts w:ascii="Cambria Math" w:hAnsi="Cambria Math"/>
          </w:rPr>
          <m:t>i</m:t>
        </m:r>
      </m:oMath>
      <w:r>
        <w:t xml:space="preserve"> being assigned to either Treatment Group 1 or Treatment Group 2, </w:t>
      </w:r>
      <m:oMath>
        <m:r>
          <w:rPr>
            <w:rFonts w:ascii="Cambria Math" w:hAnsi="Cambria Math"/>
          </w:rPr>
          <m:t>treat</m:t>
        </m:r>
        <m:sSub>
          <m:sSubPr>
            <m:ctrlPr>
              <w:rPr>
                <w:rFonts w:ascii="Cambria Math" w:hAnsi="Cambria Math"/>
                <w:i/>
              </w:rPr>
            </m:ctrlPr>
          </m:sSubPr>
          <m:e>
            <m:r>
              <w:rPr>
                <w:rFonts w:ascii="Cambria Math" w:hAnsi="Cambria Math"/>
              </w:rPr>
              <m:t>2</m:t>
            </m:r>
          </m:e>
          <m:sub>
            <m:r>
              <w:rPr>
                <w:rFonts w:ascii="Cambria Math" w:hAnsi="Cambria Math"/>
              </w:rPr>
              <m:t>i</m:t>
            </m:r>
          </m:sub>
        </m:sSub>
      </m:oMath>
      <w:r>
        <w:t xml:space="preserve"> is an indicator for </w:t>
      </w:r>
      <m:oMath>
        <m:r>
          <w:rPr>
            <w:rFonts w:ascii="Cambria Math" w:hAnsi="Cambria Math"/>
          </w:rPr>
          <m:t>i</m:t>
        </m:r>
      </m:oMath>
      <w:r>
        <w:t xml:space="preserve"> being assigned to Treatment Group 2, and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t xml:space="preserve"> is the set of household controls. </w:t>
      </w:r>
      <m:oMath>
        <m:sSub>
          <m:sSubPr>
            <m:ctrlPr>
              <w:rPr>
                <w:rFonts w:ascii="Cambria Math" w:hAnsi="Cambria Math"/>
                <w:i/>
              </w:rPr>
            </m:ctrlPr>
          </m:sSubPr>
          <m:e>
            <m:r>
              <w:rPr>
                <w:rFonts w:ascii="Cambria Math" w:hAnsi="Cambria Math"/>
              </w:rPr>
              <m:t>β</m:t>
            </m:r>
          </m:e>
          <m:sub>
            <m:r>
              <w:rPr>
                <w:rFonts w:ascii="Cambria Math" w:hAnsi="Cambria Math"/>
              </w:rPr>
              <m:t>1</m:t>
            </m:r>
          </m:sub>
        </m:sSub>
      </m:oMath>
      <w:r>
        <w:t xml:space="preserve"> will be interpreted as the effect of the</w:t>
      </w:r>
      <w:r w:rsidR="00262E15">
        <w:t xml:space="preserve"> generic</w:t>
      </w:r>
      <w:r>
        <w:t xml:space="preserve"> letters and emails and </w:t>
      </w:r>
      <m:oMath>
        <m:sSub>
          <m:sSubPr>
            <m:ctrlPr>
              <w:rPr>
                <w:rFonts w:ascii="Cambria Math" w:hAnsi="Cambria Math"/>
                <w:i/>
              </w:rPr>
            </m:ctrlPr>
          </m:sSubPr>
          <m:e>
            <m:r>
              <w:rPr>
                <w:rFonts w:ascii="Cambria Math" w:hAnsi="Cambria Math"/>
              </w:rPr>
              <m:t>β</m:t>
            </m:r>
          </m:e>
          <m:sub>
            <m:r>
              <w:rPr>
                <w:rFonts w:ascii="Cambria Math" w:hAnsi="Cambria Math"/>
              </w:rPr>
              <m:t>2</m:t>
            </m:r>
          </m:sub>
        </m:sSub>
      </m:oMath>
      <w:r>
        <w:t xml:space="preserve"> will be interpreted as the incremental effect of the personalized information</w:t>
      </w:r>
      <w:r w:rsidR="00262E15">
        <w:t xml:space="preserve"> above and beyond the generic information</w:t>
      </w:r>
      <w:r>
        <w:t>.</w:t>
      </w:r>
    </w:p>
    <w:p w14:paraId="66550CFF" w14:textId="77777777" w:rsidR="008C400D" w:rsidRDefault="008C400D" w:rsidP="008C400D">
      <w:pPr>
        <w:pStyle w:val="Heading2"/>
      </w:pPr>
      <w:bookmarkStart w:id="1" w:name="_Ref273726717"/>
      <w:r w:rsidRPr="003679C3">
        <w:t>Controls</w:t>
      </w:r>
      <w:bookmarkEnd w:id="1"/>
    </w:p>
    <w:p w14:paraId="67E082E1" w14:textId="6A0778F5" w:rsidR="005A6284" w:rsidRDefault="00262E15" w:rsidP="00DF5D8F">
      <w:r>
        <w:t xml:space="preserve">To ensure proper coverage intervals of standard errors, all analyses will include controls </w:t>
      </w:r>
      <w:r w:rsidR="00FA0095">
        <w:t xml:space="preserve">for the stratification groups and </w:t>
      </w:r>
      <w:r w:rsidR="00C1423E">
        <w:t xml:space="preserve">balancing </w:t>
      </w:r>
      <w:r w:rsidR="00FA0095">
        <w:t>variables on which we re-randomized.</w:t>
      </w:r>
      <w:r w:rsidR="00C1423E">
        <w:t xml:space="preserve"> There were 418 strata and 23 balancing variables.</w:t>
      </w:r>
    </w:p>
    <w:p w14:paraId="2B09CF53" w14:textId="77777777" w:rsidR="005A6284" w:rsidRDefault="005A6284" w:rsidP="00DF5D8F">
      <w:r>
        <w:t>We stratified by constructing 8 categorical variables. Then we used th</w:t>
      </w:r>
      <w:r w:rsidR="00715119">
        <w:t>e categorical variables, one by one, to divide and further subdivide the sample into blocks.</w:t>
      </w:r>
      <w:r>
        <w:t xml:space="preserve"> The procedure was as follows. </w:t>
      </w:r>
    </w:p>
    <w:p w14:paraId="326377F9" w14:textId="0B9B7D57" w:rsidR="005A6284" w:rsidRPr="005B699A" w:rsidRDefault="005A6284" w:rsidP="005A6284">
      <w:r>
        <w:t>W</w:t>
      </w:r>
      <w:r w:rsidRPr="005B699A">
        <w:t xml:space="preserve">e start with blocks for </w:t>
      </w:r>
      <w:r w:rsidR="00715119">
        <w:t xml:space="preserve">each category of </w:t>
      </w:r>
      <w:r w:rsidRPr="005B699A">
        <w:t xml:space="preserve">the first </w:t>
      </w:r>
      <w:r w:rsidR="00715119" w:rsidRPr="00715119">
        <w:t>variable</w:t>
      </w:r>
      <w:r w:rsidRPr="005B699A">
        <w:t>,</w:t>
      </w:r>
      <w:r w:rsidR="00715119" w:rsidRPr="00715119">
        <w:t xml:space="preserve"> then split each of these blocks</w:t>
      </w:r>
      <w:r w:rsidRPr="005B699A">
        <w:t xml:space="preserve"> into sub</w:t>
      </w:r>
      <w:r w:rsidR="00715119">
        <w:t>-</w:t>
      </w:r>
      <w:r w:rsidRPr="005B699A">
        <w:t xml:space="preserve">blocks along the dimension of the second </w:t>
      </w:r>
      <w:r w:rsidR="00715119">
        <w:t>variable</w:t>
      </w:r>
      <w:r w:rsidRPr="005B699A">
        <w:t xml:space="preserve"> </w:t>
      </w:r>
      <w:r w:rsidR="00715119">
        <w:t xml:space="preserve">so long as </w:t>
      </w:r>
      <w:r w:rsidRPr="005B699A">
        <w:t>each of the sub</w:t>
      </w:r>
      <w:r w:rsidR="00715119">
        <w:t>-</w:t>
      </w:r>
      <w:r w:rsidR="00715119" w:rsidRPr="00715119">
        <w:t xml:space="preserve">blocks would have at least 6 observations. If </w:t>
      </w:r>
      <w:r w:rsidRPr="005B699A">
        <w:t>1 or more sub</w:t>
      </w:r>
      <w:r w:rsidR="00715119">
        <w:t>-</w:t>
      </w:r>
      <w:r w:rsidRPr="005B699A">
        <w:t xml:space="preserve">blocks would </w:t>
      </w:r>
      <w:r w:rsidR="00715119">
        <w:t>have less than 6</w:t>
      </w:r>
      <w:r w:rsidRPr="005B699A">
        <w:t xml:space="preserve"> observations, t</w:t>
      </w:r>
      <w:r w:rsidR="00715119" w:rsidRPr="00715119">
        <w:t>he parent block is not split. (</w:t>
      </w:r>
      <w:r w:rsidR="00715119">
        <w:t>If a s</w:t>
      </w:r>
      <w:r w:rsidRPr="005B699A">
        <w:t>ub</w:t>
      </w:r>
      <w:r w:rsidR="00715119">
        <w:t>-</w:t>
      </w:r>
      <w:r w:rsidRPr="005B699A">
        <w:t xml:space="preserve">block </w:t>
      </w:r>
      <w:r w:rsidR="00715119">
        <w:t>would have</w:t>
      </w:r>
      <w:r w:rsidRPr="005B699A">
        <w:t xml:space="preserve"> zero </w:t>
      </w:r>
      <w:r w:rsidR="00715119">
        <w:t xml:space="preserve">observations, the parent block is still split – </w:t>
      </w:r>
      <w:r w:rsidRPr="005B699A">
        <w:t>this poses no problem for blocked randomization as the zero observation block needs no randomized allocation</w:t>
      </w:r>
      <w:r w:rsidR="00B41A0D">
        <w:t>.</w:t>
      </w:r>
      <w:r w:rsidRPr="005B699A">
        <w:t>)</w:t>
      </w:r>
    </w:p>
    <w:p w14:paraId="2CFE569D" w14:textId="77777777" w:rsidR="005A6284" w:rsidRPr="005B699A" w:rsidRDefault="00715119" w:rsidP="005A6284">
      <w:r w:rsidRPr="00715119">
        <w:lastRenderedPageBreak/>
        <w:t>W</w:t>
      </w:r>
      <w:r w:rsidR="005A6284" w:rsidRPr="005B699A">
        <w:t>e then repeat this process for each of the sub</w:t>
      </w:r>
      <w:r>
        <w:t>-</w:t>
      </w:r>
      <w:r w:rsidR="005A6284" w:rsidRPr="005B699A">
        <w:t xml:space="preserve">blocks that were created using the third </w:t>
      </w:r>
      <w:r>
        <w:t>variable</w:t>
      </w:r>
      <w:r w:rsidRPr="00715119">
        <w:t xml:space="preserve">. </w:t>
      </w:r>
      <w:r>
        <w:t>B</w:t>
      </w:r>
      <w:r w:rsidR="005A6284" w:rsidRPr="005B699A">
        <w:t>locks that weren't split in the earlier round are not further split.</w:t>
      </w:r>
    </w:p>
    <w:p w14:paraId="344D7FA1" w14:textId="77777777" w:rsidR="005A6284" w:rsidRPr="00715119" w:rsidRDefault="00715119" w:rsidP="00DF5D8F">
      <w:r w:rsidRPr="00715119">
        <w:t>W</w:t>
      </w:r>
      <w:r w:rsidRPr="005B699A">
        <w:t xml:space="preserve">e continue with the fourth </w:t>
      </w:r>
      <w:r>
        <w:t>variable</w:t>
      </w:r>
      <w:r w:rsidRPr="005B699A">
        <w:t xml:space="preserve"> and so on until we are out of </w:t>
      </w:r>
      <w:r>
        <w:t>variables and/or we run out of sub-blocks to continue splitting</w:t>
      </w:r>
      <w:r w:rsidRPr="005B699A">
        <w:t>.</w:t>
      </w:r>
    </w:p>
    <w:p w14:paraId="1C261EFA" w14:textId="77777777" w:rsidR="00715119" w:rsidRDefault="00715119" w:rsidP="00DF5D8F">
      <w:r>
        <w:t>The categorical variables we used, in order, were:</w:t>
      </w:r>
    </w:p>
    <w:p w14:paraId="7D7F2E57" w14:textId="77777777" w:rsidR="00715119" w:rsidRDefault="00715119" w:rsidP="005B699A">
      <w:pPr>
        <w:pStyle w:val="ListParagraph"/>
        <w:numPr>
          <w:ilvl w:val="0"/>
          <w:numId w:val="20"/>
        </w:numPr>
      </w:pPr>
      <w:r>
        <w:t>Maximum potential savings</w:t>
      </w:r>
      <w:r w:rsidR="00CB6A34">
        <w:t xml:space="preserve"> from switching</w:t>
      </w:r>
      <w:r>
        <w:t xml:space="preserve"> (5 quantiles)</w:t>
      </w:r>
    </w:p>
    <w:p w14:paraId="1321B16D" w14:textId="77777777" w:rsidR="00715119" w:rsidRDefault="00715119" w:rsidP="005B699A">
      <w:pPr>
        <w:pStyle w:val="ListParagraph"/>
        <w:numPr>
          <w:ilvl w:val="0"/>
          <w:numId w:val="20"/>
        </w:numPr>
      </w:pPr>
      <w:r>
        <w:t>Advance Premium Tax Credit (APTC)/Cost-Sharing Reduction (CSR) (No APTC/APTC, no CSR/APTC, CSR)</w:t>
      </w:r>
    </w:p>
    <w:p w14:paraId="0EA052C8" w14:textId="77777777" w:rsidR="00715119" w:rsidRDefault="00715119" w:rsidP="005B699A">
      <w:pPr>
        <w:pStyle w:val="ListParagraph"/>
        <w:numPr>
          <w:ilvl w:val="0"/>
          <w:numId w:val="20"/>
        </w:numPr>
      </w:pPr>
      <w:r>
        <w:t>Rating Area (5 areas, some low-population CO rating areas rolled up into one)</w:t>
      </w:r>
    </w:p>
    <w:p w14:paraId="37946E44" w14:textId="77777777" w:rsidR="00715119" w:rsidRDefault="00715119" w:rsidP="005B699A">
      <w:pPr>
        <w:pStyle w:val="ListParagraph"/>
        <w:numPr>
          <w:ilvl w:val="0"/>
          <w:numId w:val="20"/>
        </w:numPr>
      </w:pPr>
      <w:r>
        <w:t>Method of notification (E-mail preferred / E-mail then snail mail preferred / Snail mail preferred)</w:t>
      </w:r>
    </w:p>
    <w:p w14:paraId="5456F59A" w14:textId="77777777" w:rsidR="00715119" w:rsidRDefault="00715119" w:rsidP="005B699A">
      <w:pPr>
        <w:pStyle w:val="ListParagraph"/>
        <w:numPr>
          <w:ilvl w:val="0"/>
          <w:numId w:val="20"/>
        </w:numPr>
      </w:pPr>
      <w:r>
        <w:t>Age</w:t>
      </w:r>
      <w:r w:rsidR="00CB6A34">
        <w:t xml:space="preserve"> of subscriber</w:t>
      </w:r>
      <w:r>
        <w:t xml:space="preserve"> (8 bins, first bin 0-29, then 5-year bins, last bin 60+)</w:t>
      </w:r>
    </w:p>
    <w:p w14:paraId="2718F90D" w14:textId="77777777" w:rsidR="00715119" w:rsidRDefault="00715119" w:rsidP="005B699A">
      <w:pPr>
        <w:pStyle w:val="ListParagraph"/>
        <w:numPr>
          <w:ilvl w:val="0"/>
          <w:numId w:val="20"/>
        </w:numPr>
      </w:pPr>
      <w:r>
        <w:t xml:space="preserve">Household structure (Single, Couple with no kids/dependents, </w:t>
      </w:r>
      <w:r w:rsidR="00CB6A34">
        <w:t>Single or couple with kids/dependents)</w:t>
      </w:r>
    </w:p>
    <w:p w14:paraId="041734FA" w14:textId="77777777" w:rsidR="00CB6A34" w:rsidRDefault="00CB6A34" w:rsidP="005B699A">
      <w:pPr>
        <w:pStyle w:val="ListParagraph"/>
        <w:numPr>
          <w:ilvl w:val="0"/>
          <w:numId w:val="20"/>
        </w:numPr>
      </w:pPr>
      <w:r>
        <w:t>Metal tier (Catastrophic and bronze / silver / gold and platinum)</w:t>
      </w:r>
    </w:p>
    <w:p w14:paraId="095818B7" w14:textId="77777777" w:rsidR="00CB6A34" w:rsidRDefault="00CB6A34" w:rsidP="005B699A">
      <w:pPr>
        <w:pStyle w:val="ListParagraph"/>
        <w:numPr>
          <w:ilvl w:val="0"/>
          <w:numId w:val="20"/>
        </w:numPr>
      </w:pPr>
      <w:r>
        <w:t>Gender of subscriber (male/female)</w:t>
      </w:r>
    </w:p>
    <w:p w14:paraId="13B8D94F" w14:textId="77777777" w:rsidR="00CB6A34" w:rsidRDefault="00CB6A34" w:rsidP="00CB6A34">
      <w:r>
        <w:t>The balancing variables we used for re-randomization were:</w:t>
      </w:r>
    </w:p>
    <w:p w14:paraId="35756159" w14:textId="77777777" w:rsidR="00CB6A34" w:rsidRDefault="00CB6A34" w:rsidP="005B699A">
      <w:pPr>
        <w:pStyle w:val="ListParagraph"/>
        <w:numPr>
          <w:ilvl w:val="0"/>
          <w:numId w:val="21"/>
        </w:numPr>
      </w:pPr>
      <w:r>
        <w:t>Method of notification categories (as above)</w:t>
      </w:r>
    </w:p>
    <w:p w14:paraId="73246F44" w14:textId="77777777" w:rsidR="00CB6A34" w:rsidRDefault="00CB6A34" w:rsidP="005B699A">
      <w:pPr>
        <w:pStyle w:val="ListParagraph"/>
        <w:numPr>
          <w:ilvl w:val="0"/>
          <w:numId w:val="21"/>
        </w:numPr>
      </w:pPr>
      <w:r>
        <w:t>Age of subscriber categories (as above)</w:t>
      </w:r>
    </w:p>
    <w:p w14:paraId="57CD7F09" w14:textId="77777777" w:rsidR="00CB6A34" w:rsidRDefault="00CB6A34" w:rsidP="005B699A">
      <w:pPr>
        <w:pStyle w:val="ListParagraph"/>
        <w:numPr>
          <w:ilvl w:val="0"/>
          <w:numId w:val="21"/>
        </w:numPr>
      </w:pPr>
      <w:r>
        <w:t>Household structure categories (as above)</w:t>
      </w:r>
    </w:p>
    <w:p w14:paraId="018F5583" w14:textId="77777777" w:rsidR="00CB6A34" w:rsidRDefault="00CB6A34" w:rsidP="005B699A">
      <w:pPr>
        <w:pStyle w:val="ListParagraph"/>
        <w:numPr>
          <w:ilvl w:val="0"/>
          <w:numId w:val="21"/>
        </w:numPr>
      </w:pPr>
      <w:r>
        <w:t>Metal tier categories (as above)</w:t>
      </w:r>
    </w:p>
    <w:p w14:paraId="72D042E0" w14:textId="77777777" w:rsidR="00CB6A34" w:rsidRDefault="00CB6A34" w:rsidP="005B699A">
      <w:pPr>
        <w:pStyle w:val="ListParagraph"/>
        <w:numPr>
          <w:ilvl w:val="0"/>
          <w:numId w:val="21"/>
        </w:numPr>
      </w:pPr>
      <w:r>
        <w:t>Gender of subscriber categories (as above)</w:t>
      </w:r>
    </w:p>
    <w:p w14:paraId="3AA285BC" w14:textId="77777777" w:rsidR="00CB6A34" w:rsidRDefault="00CB6A34" w:rsidP="005B699A">
      <w:pPr>
        <w:pStyle w:val="ListParagraph"/>
        <w:numPr>
          <w:ilvl w:val="0"/>
          <w:numId w:val="21"/>
        </w:numPr>
      </w:pPr>
      <w:r>
        <w:t>Maximum potential savings from switching (included as absolute $ amount)</w:t>
      </w:r>
    </w:p>
    <w:p w14:paraId="07F15424" w14:textId="77777777" w:rsidR="00CB6A34" w:rsidRDefault="00CB6A34" w:rsidP="005B699A">
      <w:pPr>
        <w:pStyle w:val="ListParagraph"/>
        <w:numPr>
          <w:ilvl w:val="0"/>
          <w:numId w:val="21"/>
        </w:numPr>
      </w:pPr>
      <w:r>
        <w:t>Maximum potential savings from switching ($ squared)</w:t>
      </w:r>
    </w:p>
    <w:p w14:paraId="5035B08F" w14:textId="77777777" w:rsidR="00CB6A34" w:rsidRDefault="00CB6A34" w:rsidP="005B699A">
      <w:pPr>
        <w:pStyle w:val="ListParagraph"/>
        <w:numPr>
          <w:ilvl w:val="0"/>
          <w:numId w:val="21"/>
        </w:numPr>
      </w:pPr>
      <w:r>
        <w:t>2016 Projected APTC amount (included as absolute $ amount)</w:t>
      </w:r>
    </w:p>
    <w:p w14:paraId="36C342BB" w14:textId="77777777" w:rsidR="00CB6A34" w:rsidRDefault="00CB6A34" w:rsidP="005B699A">
      <w:pPr>
        <w:pStyle w:val="ListParagraph"/>
        <w:numPr>
          <w:ilvl w:val="0"/>
          <w:numId w:val="21"/>
        </w:numPr>
      </w:pPr>
      <w:r>
        <w:t>Rating area categories (indicators for those categories that were rolled up into one for blocking)</w:t>
      </w:r>
    </w:p>
    <w:p w14:paraId="7BE3BF2B" w14:textId="77777777" w:rsidR="00CB6A34" w:rsidRDefault="00CB6A34" w:rsidP="005B699A">
      <w:pPr>
        <w:pStyle w:val="ListParagraph"/>
        <w:numPr>
          <w:ilvl w:val="0"/>
          <w:numId w:val="21"/>
        </w:numPr>
      </w:pPr>
      <w:r>
        <w:t>Age of subscriber (in years)</w:t>
      </w:r>
    </w:p>
    <w:p w14:paraId="6B29E083" w14:textId="77777777" w:rsidR="00CB6A34" w:rsidRDefault="00CB6A34" w:rsidP="005B699A">
      <w:pPr>
        <w:pStyle w:val="ListParagraph"/>
        <w:numPr>
          <w:ilvl w:val="0"/>
          <w:numId w:val="21"/>
        </w:numPr>
      </w:pPr>
      <w:r>
        <w:t>Age of subscriber (in years squared)</w:t>
      </w:r>
    </w:p>
    <w:p w14:paraId="4096E039" w14:textId="77777777" w:rsidR="00CB6A34" w:rsidRDefault="00CB6A34" w:rsidP="005B699A">
      <w:pPr>
        <w:pStyle w:val="ListParagraph"/>
        <w:numPr>
          <w:ilvl w:val="0"/>
          <w:numId w:val="21"/>
        </w:numPr>
      </w:pPr>
      <w:r>
        <w:t>Household size (in number of members)</w:t>
      </w:r>
    </w:p>
    <w:p w14:paraId="5AF6651D" w14:textId="77777777" w:rsidR="00DF5D8F" w:rsidRPr="00DF5D8F" w:rsidRDefault="00DF5D8F" w:rsidP="00DF5D8F">
      <w:r>
        <w:t>Even without stratification during randomization, controls can increase power by reducing the variance of the error term. We will use three sets of controls. The main specification will be the one with the richest set of controls.</w:t>
      </w:r>
    </w:p>
    <w:p w14:paraId="3991EBC4" w14:textId="77777777" w:rsidR="008C400D" w:rsidRDefault="008C400D" w:rsidP="008C400D">
      <w:pPr>
        <w:pStyle w:val="Heading3"/>
      </w:pPr>
      <w:r w:rsidRPr="003679C3">
        <w:t xml:space="preserve">No controls </w:t>
      </w:r>
    </w:p>
    <w:p w14:paraId="2E0E9D10" w14:textId="5A95745A" w:rsidR="00A57A26" w:rsidRPr="00A57A26" w:rsidRDefault="00A57A26" w:rsidP="00A57A26">
      <w:r>
        <w:t xml:space="preserve">One specification will include no controls </w:t>
      </w:r>
      <w:r w:rsidR="00271013">
        <w:t xml:space="preserve">beyond the stratification groups (included as fixed effects) and </w:t>
      </w:r>
      <w:r w:rsidR="00C1423E">
        <w:t>balancing</w:t>
      </w:r>
      <w:r w:rsidR="00271013">
        <w:t xml:space="preserve"> variables.</w:t>
      </w:r>
    </w:p>
    <w:p w14:paraId="01AC4702" w14:textId="77777777" w:rsidR="008C400D" w:rsidRDefault="008C400D" w:rsidP="008C400D">
      <w:pPr>
        <w:pStyle w:val="Heading3"/>
      </w:pPr>
      <w:bookmarkStart w:id="2" w:name="_Ref446517278"/>
      <w:r>
        <w:lastRenderedPageBreak/>
        <w:t>Lagged outcome controls</w:t>
      </w:r>
      <w:bookmarkEnd w:id="2"/>
    </w:p>
    <w:p w14:paraId="492CC32F" w14:textId="19127EF0" w:rsidR="00486ADB" w:rsidRPr="00486ADB" w:rsidRDefault="00486ADB" w:rsidP="00486ADB">
      <w:r>
        <w:t>This specification will control for lagged measures of the outcome variables from the 2014-2015 open enrollment period</w:t>
      </w:r>
      <w:r w:rsidR="00CB6A34">
        <w:t xml:space="preserve"> when they are available in our data</w:t>
      </w:r>
      <w:r w:rsidR="00B1307F">
        <w:t>.</w:t>
      </w:r>
    </w:p>
    <w:p w14:paraId="5548C967" w14:textId="7D07AFA9" w:rsidR="008C400D" w:rsidRDefault="008C400D" w:rsidP="008C400D">
      <w:pPr>
        <w:pStyle w:val="Heading3"/>
      </w:pPr>
      <w:r>
        <w:t>Lagged outcome</w:t>
      </w:r>
      <w:r w:rsidRPr="003679C3">
        <w:t xml:space="preserve"> controls +</w:t>
      </w:r>
      <w:r>
        <w:t xml:space="preserve"> </w:t>
      </w:r>
      <w:r w:rsidR="00B41A0D">
        <w:t>plan fixed effects</w:t>
      </w:r>
      <w:r w:rsidR="00A27358">
        <w:t xml:space="preserve"> + county fixed effects</w:t>
      </w:r>
    </w:p>
    <w:p w14:paraId="367AA21E" w14:textId="221E8192" w:rsidR="00124C36" w:rsidRPr="005A6284" w:rsidRDefault="00486ADB" w:rsidP="00943F32">
      <w:pPr>
        <w:rPr>
          <w:highlight w:val="yellow"/>
        </w:rPr>
      </w:pPr>
      <w:r>
        <w:t>We will also include specifications</w:t>
      </w:r>
      <w:r w:rsidR="00B41A0D">
        <w:t xml:space="preserve"> with the controls of section </w:t>
      </w:r>
      <w:r w:rsidR="00B41A0D">
        <w:fldChar w:fldCharType="begin"/>
      </w:r>
      <w:r w:rsidR="00B41A0D">
        <w:instrText xml:space="preserve"> REF _Ref446517278 \r \h </w:instrText>
      </w:r>
      <w:r w:rsidR="00B41A0D">
        <w:fldChar w:fldCharType="separate"/>
      </w:r>
      <w:r w:rsidR="00B41A0D">
        <w:t>3.2.2</w:t>
      </w:r>
      <w:r w:rsidR="00B41A0D">
        <w:fldChar w:fldCharType="end"/>
      </w:r>
      <w:r w:rsidR="00B41A0D">
        <w:t xml:space="preserve"> plus a set of fixed effects for the </w:t>
      </w:r>
      <w:r w:rsidR="00985329">
        <w:t>individual’s</w:t>
      </w:r>
      <w:r w:rsidR="00B41A0D">
        <w:t xml:space="preserve"> base year insurance plan</w:t>
      </w:r>
      <w:r w:rsidR="00985329">
        <w:t xml:space="preserve"> and a set of fixed effects for the individual’s county</w:t>
      </w:r>
      <w:r w:rsidR="00B41A0D">
        <w:t>.</w:t>
      </w:r>
    </w:p>
    <w:p w14:paraId="19AA245B" w14:textId="414A5CB2" w:rsidR="008C400D" w:rsidRDefault="008C400D" w:rsidP="008C400D">
      <w:pPr>
        <w:pStyle w:val="Heading2"/>
      </w:pPr>
      <w:r>
        <w:t>Heterogeneous effects</w:t>
      </w:r>
    </w:p>
    <w:p w14:paraId="2F41672A" w14:textId="77777777" w:rsidR="00124C36" w:rsidRDefault="00124C36" w:rsidP="00124C36">
      <w:r>
        <w:t xml:space="preserve">We will test for treatment effect heterogeneity across several groups of households. We will estimate heterogeneous effects by interacting both </w:t>
      </w:r>
      <m:oMath>
        <m:r>
          <w:rPr>
            <w:rFonts w:ascii="Cambria Math" w:hAnsi="Cambria Math"/>
          </w:rPr>
          <m:t>trea</m:t>
        </m:r>
        <m:sSub>
          <m:sSubPr>
            <m:ctrlPr>
              <w:rPr>
                <w:rFonts w:ascii="Cambria Math" w:hAnsi="Cambria Math"/>
                <w:i/>
              </w:rPr>
            </m:ctrlPr>
          </m:sSubPr>
          <m:e>
            <m:r>
              <w:rPr>
                <w:rFonts w:ascii="Cambria Math" w:hAnsi="Cambria Math"/>
              </w:rPr>
              <m:t>t</m:t>
            </m:r>
          </m:e>
          <m:sub>
            <m:r>
              <w:rPr>
                <w:rFonts w:ascii="Cambria Math" w:hAnsi="Cambria Math"/>
              </w:rPr>
              <m:t>i</m:t>
            </m:r>
          </m:sub>
        </m:sSub>
      </m:oMath>
      <w:r>
        <w:t xml:space="preserve"> and </w:t>
      </w:r>
      <m:oMath>
        <m:r>
          <w:rPr>
            <w:rFonts w:ascii="Cambria Math" w:hAnsi="Cambria Math"/>
          </w:rPr>
          <m:t>treat</m:t>
        </m:r>
        <m:sSub>
          <m:sSubPr>
            <m:ctrlPr>
              <w:rPr>
                <w:rFonts w:ascii="Cambria Math" w:hAnsi="Cambria Math"/>
                <w:i/>
              </w:rPr>
            </m:ctrlPr>
          </m:sSubPr>
          <m:e>
            <m:r>
              <w:rPr>
                <w:rFonts w:ascii="Cambria Math" w:hAnsi="Cambria Math"/>
              </w:rPr>
              <m:t>2</m:t>
            </m:r>
          </m:e>
          <m:sub>
            <m:r>
              <w:rPr>
                <w:rFonts w:ascii="Cambria Math" w:hAnsi="Cambria Math"/>
              </w:rPr>
              <m:t>i</m:t>
            </m:r>
          </m:sub>
        </m:sSub>
      </m:oMath>
      <w:r>
        <w:t xml:space="preserve"> with indicators for the relevant groups. The groups we will study are:</w:t>
      </w:r>
    </w:p>
    <w:p w14:paraId="7B1F8142" w14:textId="77777777" w:rsidR="00124C36" w:rsidRDefault="00124C36" w:rsidP="00124C36">
      <w:pPr>
        <w:pStyle w:val="ListParagraph"/>
        <w:numPr>
          <w:ilvl w:val="0"/>
          <w:numId w:val="19"/>
        </w:numPr>
      </w:pPr>
      <w:r>
        <w:t>Old vs. young head of household</w:t>
      </w:r>
    </w:p>
    <w:p w14:paraId="02AEBA5D" w14:textId="77777777" w:rsidR="00124C36" w:rsidRPr="00B1307F" w:rsidRDefault="00755FD7" w:rsidP="00124C36">
      <w:pPr>
        <w:pStyle w:val="ListParagraph"/>
        <w:numPr>
          <w:ilvl w:val="0"/>
          <w:numId w:val="19"/>
        </w:numPr>
      </w:pPr>
      <w:r w:rsidRPr="00B1307F">
        <w:t>Single households vs. families</w:t>
      </w:r>
    </w:p>
    <w:p w14:paraId="36DE129D" w14:textId="7F064877" w:rsidR="00B41A0D" w:rsidRPr="00B1307F" w:rsidRDefault="00B41A0D" w:rsidP="00124C36">
      <w:pPr>
        <w:pStyle w:val="ListParagraph"/>
        <w:numPr>
          <w:ilvl w:val="0"/>
          <w:numId w:val="19"/>
        </w:numPr>
      </w:pPr>
      <w:r w:rsidRPr="00B1307F">
        <w:t>APTC status</w:t>
      </w:r>
    </w:p>
    <w:p w14:paraId="04303F28" w14:textId="69C4D648" w:rsidR="00755FD7" w:rsidRPr="00B1307F" w:rsidRDefault="00755FD7" w:rsidP="00124C36">
      <w:pPr>
        <w:pStyle w:val="ListParagraph"/>
        <w:numPr>
          <w:ilvl w:val="0"/>
          <w:numId w:val="19"/>
        </w:numPr>
      </w:pPr>
      <w:r w:rsidRPr="00B1307F">
        <w:t>CSR status</w:t>
      </w:r>
    </w:p>
    <w:p w14:paraId="1F4C860B" w14:textId="28A1B210" w:rsidR="00755FD7" w:rsidRPr="00B1307F" w:rsidRDefault="00755FD7" w:rsidP="00985329">
      <w:pPr>
        <w:pStyle w:val="ListParagraph"/>
        <w:numPr>
          <w:ilvl w:val="0"/>
          <w:numId w:val="19"/>
        </w:numPr>
      </w:pPr>
      <w:r w:rsidRPr="00B1307F">
        <w:t>Number of carriers in area</w:t>
      </w:r>
      <w:r w:rsidR="003D6DA4" w:rsidRPr="00B1307F">
        <w:t xml:space="preserve"> (binned into gr</w:t>
      </w:r>
      <w:bookmarkStart w:id="3" w:name="_GoBack"/>
      <w:bookmarkEnd w:id="3"/>
      <w:r w:rsidR="003D6DA4" w:rsidRPr="00B1307F">
        <w:t>oups)</w:t>
      </w:r>
    </w:p>
    <w:p w14:paraId="55BF14F5" w14:textId="77777777" w:rsidR="00755FD7" w:rsidRPr="00B1307F" w:rsidRDefault="00755FD7" w:rsidP="00124C36">
      <w:pPr>
        <w:pStyle w:val="ListParagraph"/>
        <w:numPr>
          <w:ilvl w:val="0"/>
          <w:numId w:val="19"/>
        </w:numPr>
      </w:pPr>
      <w:r w:rsidRPr="00B1307F">
        <w:t>Urban/rural</w:t>
      </w:r>
    </w:p>
    <w:p w14:paraId="1E93E75A" w14:textId="77777777" w:rsidR="00755FD7" w:rsidRDefault="00755FD7" w:rsidP="00124C36">
      <w:pPr>
        <w:pStyle w:val="ListParagraph"/>
        <w:numPr>
          <w:ilvl w:val="0"/>
          <w:numId w:val="19"/>
        </w:numPr>
      </w:pPr>
      <w:r>
        <w:t>2015 carrier</w:t>
      </w:r>
    </w:p>
    <w:p w14:paraId="2B1F3433" w14:textId="5E38E621" w:rsidR="00755FD7" w:rsidRDefault="003D6DA4" w:rsidP="00124C36">
      <w:pPr>
        <w:pStyle w:val="ListParagraph"/>
        <w:numPr>
          <w:ilvl w:val="0"/>
          <w:numId w:val="19"/>
        </w:numPr>
      </w:pPr>
      <w:r>
        <w:t>Quantiles</w:t>
      </w:r>
      <w:r>
        <w:t xml:space="preserve"> </w:t>
      </w:r>
      <w:r w:rsidR="00755FD7">
        <w:t>of potential dollars saved</w:t>
      </w:r>
    </w:p>
    <w:p w14:paraId="3DD7C72F" w14:textId="77777777" w:rsidR="00CE35A8" w:rsidRDefault="005A6284" w:rsidP="005B699A">
      <w:pPr>
        <w:pStyle w:val="Heading1"/>
      </w:pPr>
      <w:r>
        <w:t>Study Outcomes</w:t>
      </w:r>
    </w:p>
    <w:p w14:paraId="1A012EDE" w14:textId="77777777" w:rsidR="005A6284" w:rsidRPr="005A6284" w:rsidRDefault="005A6284" w:rsidP="005B699A">
      <w:pPr>
        <w:pStyle w:val="Heading2"/>
      </w:pPr>
      <w:r>
        <w:t>Primary Outcomes</w:t>
      </w:r>
    </w:p>
    <w:p w14:paraId="3A6FB77E" w14:textId="71D9327F" w:rsidR="005A6284" w:rsidRDefault="005A6284" w:rsidP="005A6284">
      <w:r>
        <w:t xml:space="preserve">There are two primary outcomes for this study. The first is </w:t>
      </w:r>
      <w:r w:rsidR="00110E42">
        <w:t>whether</w:t>
      </w:r>
      <w:r>
        <w:t xml:space="preserve"> the household visited the Marketplace website during the 2016 open enrollment period and chose to actively “shop” for a health insurance plan rather than be passively auto-reenrolled in their 2015 plan. The second is </w:t>
      </w:r>
      <w:r w:rsidR="00110E42">
        <w:t>whether</w:t>
      </w:r>
      <w:r>
        <w:t xml:space="preserve"> the household actively chose a different plan for 2016 than the plan they were enrolled in during 2015</w:t>
      </w:r>
      <w:r w:rsidR="00110E42">
        <w:t xml:space="preserve"> (i.e. “switched”)</w:t>
      </w:r>
      <w:r>
        <w:t>.</w:t>
      </w:r>
    </w:p>
    <w:p w14:paraId="6ADF2321" w14:textId="77777777" w:rsidR="005A6284" w:rsidRDefault="005A6284" w:rsidP="005B699A">
      <w:pPr>
        <w:pStyle w:val="Heading2"/>
      </w:pPr>
      <w:r>
        <w:t>Secondary Outcomes</w:t>
      </w:r>
    </w:p>
    <w:p w14:paraId="40FC0191" w14:textId="6BA5B6B1" w:rsidR="00E37E3F" w:rsidRDefault="005A6284" w:rsidP="005A6284">
      <w:r>
        <w:t>We consider</w:t>
      </w:r>
      <w:r w:rsidR="00E37E3F">
        <w:t xml:space="preserve"> the following</w:t>
      </w:r>
      <w:r>
        <w:t xml:space="preserve"> additional outcome</w:t>
      </w:r>
      <w:r w:rsidR="00E37E3F">
        <w:t>s</w:t>
      </w:r>
      <w:r w:rsidR="005165EA">
        <w:t xml:space="preserve"> regarding the individual’s enrollment and plan choice</w:t>
      </w:r>
      <w:r w:rsidR="00E37E3F">
        <w:t>:</w:t>
      </w:r>
    </w:p>
    <w:p w14:paraId="77720B82" w14:textId="7C2D425E" w:rsidR="00E37E3F" w:rsidRDefault="00E37E3F" w:rsidP="00943F32">
      <w:pPr>
        <w:pStyle w:val="ListParagraph"/>
        <w:numPr>
          <w:ilvl w:val="0"/>
          <w:numId w:val="23"/>
        </w:numPr>
      </w:pPr>
      <w:r>
        <w:t>W</w:t>
      </w:r>
      <w:r w:rsidR="00110E42">
        <w:t>hether</w:t>
      </w:r>
      <w:r w:rsidR="005A6284">
        <w:t xml:space="preserve"> the household is enrolled in </w:t>
      </w:r>
      <w:r w:rsidR="005A6284" w:rsidRPr="00E37E3F">
        <w:rPr>
          <w:i/>
        </w:rPr>
        <w:t>any</w:t>
      </w:r>
      <w:r w:rsidR="005A6284">
        <w:t xml:space="preserve"> health insurance plan through the Marketplace as of March 1, 2016</w:t>
      </w:r>
    </w:p>
    <w:p w14:paraId="113BADF9" w14:textId="6F580196" w:rsidR="00E37E3F" w:rsidRDefault="00E37E3F" w:rsidP="00943F32">
      <w:pPr>
        <w:pStyle w:val="ListParagraph"/>
        <w:numPr>
          <w:ilvl w:val="0"/>
          <w:numId w:val="23"/>
        </w:numPr>
      </w:pPr>
      <w:r>
        <w:t>T</w:t>
      </w:r>
      <w:r w:rsidR="005A6284">
        <w:t>he premium of the household’s chosen plan for 2016</w:t>
      </w:r>
    </w:p>
    <w:p w14:paraId="5D548530" w14:textId="1E41D7FF" w:rsidR="00E37E3F" w:rsidRDefault="00E37E3F" w:rsidP="00943F32">
      <w:pPr>
        <w:pStyle w:val="ListParagraph"/>
        <w:numPr>
          <w:ilvl w:val="0"/>
          <w:numId w:val="23"/>
        </w:numPr>
      </w:pPr>
      <w:r>
        <w:t>T</w:t>
      </w:r>
      <w:r w:rsidR="005A6284">
        <w:t>he total dollars saved by the household as a share of the total potential dollars saved</w:t>
      </w:r>
      <w:r>
        <w:t xml:space="preserve"> by switching to the lowest-cost plan in his/her 2015 plan metal tier</w:t>
      </w:r>
    </w:p>
    <w:p w14:paraId="6E592236" w14:textId="77777777" w:rsidR="00E37E3F" w:rsidRDefault="00E37E3F" w:rsidP="00943F32">
      <w:pPr>
        <w:pStyle w:val="ListParagraph"/>
        <w:numPr>
          <w:ilvl w:val="0"/>
          <w:numId w:val="23"/>
        </w:numPr>
      </w:pPr>
      <w:r>
        <w:t>The metal tier of the individual’s chosen plan</w:t>
      </w:r>
    </w:p>
    <w:p w14:paraId="24D21654" w14:textId="77777777" w:rsidR="00E37E3F" w:rsidRDefault="00E37E3F" w:rsidP="00943F32">
      <w:pPr>
        <w:pStyle w:val="ListParagraph"/>
        <w:numPr>
          <w:ilvl w:val="0"/>
          <w:numId w:val="23"/>
        </w:numPr>
      </w:pPr>
      <w:r>
        <w:t>The deductible of the chosen plan</w:t>
      </w:r>
    </w:p>
    <w:p w14:paraId="5A485CA5" w14:textId="77777777" w:rsidR="00E37E3F" w:rsidRDefault="00E37E3F" w:rsidP="00943F32">
      <w:pPr>
        <w:pStyle w:val="ListParagraph"/>
        <w:numPr>
          <w:ilvl w:val="0"/>
          <w:numId w:val="23"/>
        </w:numPr>
      </w:pPr>
      <w:r>
        <w:lastRenderedPageBreak/>
        <w:t>The out-of-pocket maximum of the chosen plan</w:t>
      </w:r>
    </w:p>
    <w:p w14:paraId="395DC4AF" w14:textId="77777777" w:rsidR="00E37E3F" w:rsidRDefault="00E37E3F" w:rsidP="00943F32">
      <w:pPr>
        <w:pStyle w:val="ListParagraph"/>
        <w:numPr>
          <w:ilvl w:val="0"/>
          <w:numId w:val="23"/>
        </w:numPr>
      </w:pPr>
      <w:r>
        <w:t xml:space="preserve">Whether the plan has the </w:t>
      </w:r>
      <w:proofErr w:type="gramStart"/>
      <w:r>
        <w:t>individual’s</w:t>
      </w:r>
      <w:proofErr w:type="gramEnd"/>
      <w:r>
        <w:t xml:space="preserve"> nearest hospital in-network</w:t>
      </w:r>
    </w:p>
    <w:p w14:paraId="282EBDCD" w14:textId="6D3ED913" w:rsidR="00EA5AC5" w:rsidRDefault="00EA5AC5" w:rsidP="00943F32">
      <w:pPr>
        <w:pStyle w:val="ListParagraph"/>
        <w:numPr>
          <w:ilvl w:val="0"/>
          <w:numId w:val="23"/>
        </w:numPr>
      </w:pPr>
      <w:r>
        <w:t>Share of hospitals in individual’s county in-network</w:t>
      </w:r>
    </w:p>
    <w:p w14:paraId="0D539856" w14:textId="5F0818E4" w:rsidR="00110E42" w:rsidRDefault="00EA5AC5" w:rsidP="00943F32">
      <w:pPr>
        <w:pStyle w:val="ListParagraph"/>
        <w:numPr>
          <w:ilvl w:val="0"/>
          <w:numId w:val="23"/>
        </w:numPr>
      </w:pPr>
      <w:r>
        <w:t>Share of physicians in individual’s county in-network</w:t>
      </w:r>
    </w:p>
    <w:p w14:paraId="11F22D01" w14:textId="12B5322B" w:rsidR="00A13F01" w:rsidRDefault="00A13F01" w:rsidP="00943F32">
      <w:pPr>
        <w:pStyle w:val="ListParagraph"/>
        <w:numPr>
          <w:ilvl w:val="0"/>
          <w:numId w:val="23"/>
        </w:numPr>
      </w:pPr>
      <w:r>
        <w:t>Whether the individual switched carriers</w:t>
      </w:r>
    </w:p>
    <w:p w14:paraId="60D2BD8A" w14:textId="1BEE3ACB" w:rsidR="005165EA" w:rsidRDefault="005165EA" w:rsidP="005A6284">
      <w:r>
        <w:t>We also consider the following shopping outcomes:</w:t>
      </w:r>
    </w:p>
    <w:p w14:paraId="1AFC958C" w14:textId="54AFD910" w:rsidR="00A72A8C" w:rsidRDefault="00A72A8C" w:rsidP="00943F32">
      <w:pPr>
        <w:pStyle w:val="ListParagraph"/>
        <w:numPr>
          <w:ilvl w:val="0"/>
          <w:numId w:val="25"/>
        </w:numPr>
      </w:pPr>
      <w:r>
        <w:t>Whether the</w:t>
      </w:r>
      <w:r w:rsidR="005A6284">
        <w:t xml:space="preserve"> individual visited the </w:t>
      </w:r>
      <w:r>
        <w:t xml:space="preserve">C4 </w:t>
      </w:r>
      <w:r w:rsidR="005A6284">
        <w:t>website</w:t>
      </w:r>
      <w:r>
        <w:t xml:space="preserve"> during open enrollment</w:t>
      </w:r>
    </w:p>
    <w:p w14:paraId="5B07CBB8" w14:textId="6EEDB2B2" w:rsidR="00110E42" w:rsidRDefault="00A72A8C" w:rsidP="00943F32">
      <w:pPr>
        <w:pStyle w:val="ListParagraph"/>
        <w:numPr>
          <w:ilvl w:val="0"/>
          <w:numId w:val="25"/>
        </w:numPr>
      </w:pPr>
      <w:r>
        <w:t xml:space="preserve">Whether the individual </w:t>
      </w:r>
      <w:r w:rsidR="005A6284">
        <w:t>called the C4 call center during open enrollment</w:t>
      </w:r>
    </w:p>
    <w:p w14:paraId="5829A4FF" w14:textId="46E58F4E" w:rsidR="00A13F01" w:rsidRDefault="00A13F01" w:rsidP="00943F32">
      <w:pPr>
        <w:pStyle w:val="ListParagraph"/>
        <w:numPr>
          <w:ilvl w:val="0"/>
          <w:numId w:val="25"/>
        </w:numPr>
      </w:pPr>
      <w:r>
        <w:t>Whether the individual went to the website and actively “opted in” for auto-enrollment</w:t>
      </w:r>
    </w:p>
    <w:p w14:paraId="2ADB27B8" w14:textId="5C5CC0B6" w:rsidR="005A6284" w:rsidRPr="005A6284" w:rsidRDefault="00A13F01" w:rsidP="00943F32">
      <w:pPr>
        <w:pStyle w:val="ListParagraph"/>
        <w:numPr>
          <w:ilvl w:val="0"/>
          <w:numId w:val="25"/>
        </w:numPr>
      </w:pPr>
      <w:r>
        <w:t>Whether the individual “opted out” of auto-enrollment</w:t>
      </w:r>
    </w:p>
    <w:sectPr w:rsidR="005A6284" w:rsidRPr="005A628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0FB4F" w14:textId="77777777" w:rsidR="00110966" w:rsidRDefault="00110966" w:rsidP="008C400D">
      <w:pPr>
        <w:spacing w:after="0" w:line="240" w:lineRule="auto"/>
      </w:pPr>
      <w:r>
        <w:separator/>
      </w:r>
    </w:p>
  </w:endnote>
  <w:endnote w:type="continuationSeparator" w:id="0">
    <w:p w14:paraId="0ECB2FDF" w14:textId="77777777" w:rsidR="00110966" w:rsidRDefault="00110966" w:rsidP="008C4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8F12E" w14:textId="77777777" w:rsidR="00110966" w:rsidRDefault="00110966" w:rsidP="008C400D">
      <w:pPr>
        <w:spacing w:after="0" w:line="240" w:lineRule="auto"/>
      </w:pPr>
      <w:r>
        <w:separator/>
      </w:r>
    </w:p>
  </w:footnote>
  <w:footnote w:type="continuationSeparator" w:id="0">
    <w:p w14:paraId="4BB45D67" w14:textId="77777777" w:rsidR="00110966" w:rsidRDefault="00110966" w:rsidP="008C400D">
      <w:pPr>
        <w:spacing w:after="0" w:line="240" w:lineRule="auto"/>
      </w:pPr>
      <w:r>
        <w:continuationSeparator/>
      </w:r>
    </w:p>
  </w:footnote>
  <w:footnote w:id="1">
    <w:p w14:paraId="615A88E4" w14:textId="77777777" w:rsidR="003228C2" w:rsidRPr="005B699A" w:rsidRDefault="003228C2">
      <w:pPr>
        <w:pStyle w:val="FootnoteText"/>
        <w:rPr>
          <w:rFonts w:asciiTheme="minorHAnsi" w:hAnsiTheme="minorHAnsi"/>
        </w:rPr>
      </w:pPr>
      <w:r w:rsidRPr="005B699A">
        <w:rPr>
          <w:rStyle w:val="FootnoteReference"/>
          <w:rFonts w:asciiTheme="minorHAnsi" w:hAnsiTheme="minorHAnsi"/>
        </w:rPr>
        <w:footnoteRef/>
      </w:r>
      <w:r w:rsidRPr="005B699A">
        <w:rPr>
          <w:rFonts w:asciiTheme="minorHAnsi" w:hAnsiTheme="minorHAnsi"/>
        </w:rPr>
        <w:t xml:space="preserve"> In the Marketplaces, plans are categorized into metal tiers (Platinum, Gold, Silver, Bronze) based on cost sharing. Platinum plans have the lowest cost sharing and bronze plans have the highest cost sharing. Minimal variation in cost sharing is allowed among plans in the same tier.</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7788F"/>
    <w:multiLevelType w:val="hybridMultilevel"/>
    <w:tmpl w:val="BD700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D7043"/>
    <w:multiLevelType w:val="hybridMultilevel"/>
    <w:tmpl w:val="1514F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441C"/>
    <w:multiLevelType w:val="hybridMultilevel"/>
    <w:tmpl w:val="36302D80"/>
    <w:lvl w:ilvl="0" w:tplc="A08CB51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125639"/>
    <w:multiLevelType w:val="hybridMultilevel"/>
    <w:tmpl w:val="11D4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403CD"/>
    <w:multiLevelType w:val="hybridMultilevel"/>
    <w:tmpl w:val="DD8CF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35726C"/>
    <w:multiLevelType w:val="hybridMultilevel"/>
    <w:tmpl w:val="CDFE3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6A3456"/>
    <w:multiLevelType w:val="hybridMultilevel"/>
    <w:tmpl w:val="2E2E07C4"/>
    <w:lvl w:ilvl="0" w:tplc="A08CB51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964BE1"/>
    <w:multiLevelType w:val="hybridMultilevel"/>
    <w:tmpl w:val="766EC99C"/>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8">
    <w:nsid w:val="2E1468E7"/>
    <w:multiLevelType w:val="hybridMultilevel"/>
    <w:tmpl w:val="4508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nsid w:val="3AC27548"/>
    <w:multiLevelType w:val="hybridMultilevel"/>
    <w:tmpl w:val="173CA0E6"/>
    <w:lvl w:ilvl="0" w:tplc="A08CB51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85172F"/>
    <w:multiLevelType w:val="hybridMultilevel"/>
    <w:tmpl w:val="39FE46B2"/>
    <w:lvl w:ilvl="0" w:tplc="A08CB51A">
      <w:numFmt w:val="bullet"/>
      <w:lvlText w:val=""/>
      <w:lvlJc w:val="left"/>
      <w:pPr>
        <w:ind w:left="760" w:hanging="360"/>
      </w:pPr>
      <w:rPr>
        <w:rFonts w:ascii="Symbol" w:eastAsiaTheme="minorEastAsia" w:hAnsi="Symbol" w:cstheme="minorBidi"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2">
    <w:nsid w:val="3E673AFE"/>
    <w:multiLevelType w:val="hybridMultilevel"/>
    <w:tmpl w:val="D0C49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EF5F06"/>
    <w:multiLevelType w:val="hybridMultilevel"/>
    <w:tmpl w:val="73842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821D17"/>
    <w:multiLevelType w:val="hybridMultilevel"/>
    <w:tmpl w:val="76E2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64148F"/>
    <w:multiLevelType w:val="hybridMultilevel"/>
    <w:tmpl w:val="ADA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0B7AA4"/>
    <w:multiLevelType w:val="hybridMultilevel"/>
    <w:tmpl w:val="7E52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783EA1"/>
    <w:multiLevelType w:val="hybridMultilevel"/>
    <w:tmpl w:val="B862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E67CF0"/>
    <w:multiLevelType w:val="hybridMultilevel"/>
    <w:tmpl w:val="CB1C9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BA28FF"/>
    <w:multiLevelType w:val="hybridMultilevel"/>
    <w:tmpl w:val="1268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6B3BE9"/>
    <w:multiLevelType w:val="hybridMultilevel"/>
    <w:tmpl w:val="125C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4F1185"/>
    <w:multiLevelType w:val="hybridMultilevel"/>
    <w:tmpl w:val="7EEA5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80791A"/>
    <w:multiLevelType w:val="hybridMultilevel"/>
    <w:tmpl w:val="48EA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462A17"/>
    <w:multiLevelType w:val="hybridMultilevel"/>
    <w:tmpl w:val="E4A6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2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num>
  <w:num w:numId="7">
    <w:abstractNumId w:val="8"/>
  </w:num>
  <w:num w:numId="8">
    <w:abstractNumId w:val="14"/>
  </w:num>
  <w:num w:numId="9">
    <w:abstractNumId w:val="3"/>
  </w:num>
  <w:num w:numId="10">
    <w:abstractNumId w:val="15"/>
  </w:num>
  <w:num w:numId="11">
    <w:abstractNumId w:val="16"/>
  </w:num>
  <w:num w:numId="12">
    <w:abstractNumId w:val="0"/>
  </w:num>
  <w:num w:numId="13">
    <w:abstractNumId w:val="20"/>
  </w:num>
  <w:num w:numId="14">
    <w:abstractNumId w:val="21"/>
  </w:num>
  <w:num w:numId="15">
    <w:abstractNumId w:val="17"/>
  </w:num>
  <w:num w:numId="16">
    <w:abstractNumId w:val="22"/>
  </w:num>
  <w:num w:numId="17">
    <w:abstractNumId w:val="19"/>
  </w:num>
  <w:num w:numId="18">
    <w:abstractNumId w:val="1"/>
  </w:num>
  <w:num w:numId="19">
    <w:abstractNumId w:val="4"/>
  </w:num>
  <w:num w:numId="20">
    <w:abstractNumId w:val="7"/>
  </w:num>
  <w:num w:numId="21">
    <w:abstractNumId w:val="13"/>
  </w:num>
  <w:num w:numId="22">
    <w:abstractNumId w:val="10"/>
  </w:num>
  <w:num w:numId="23">
    <w:abstractNumId w:val="11"/>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00D"/>
    <w:rsid w:val="000A1542"/>
    <w:rsid w:val="000C752A"/>
    <w:rsid w:val="000E0D75"/>
    <w:rsid w:val="00110966"/>
    <w:rsid w:val="00110E42"/>
    <w:rsid w:val="00124C36"/>
    <w:rsid w:val="00162014"/>
    <w:rsid w:val="00173C9E"/>
    <w:rsid w:val="00216CA1"/>
    <w:rsid w:val="00262E15"/>
    <w:rsid w:val="00271013"/>
    <w:rsid w:val="00291FBF"/>
    <w:rsid w:val="003228C2"/>
    <w:rsid w:val="00347CAD"/>
    <w:rsid w:val="003D6DA4"/>
    <w:rsid w:val="00451D35"/>
    <w:rsid w:val="00486ADB"/>
    <w:rsid w:val="005165EA"/>
    <w:rsid w:val="00537BBB"/>
    <w:rsid w:val="005408C4"/>
    <w:rsid w:val="00572F09"/>
    <w:rsid w:val="005A6284"/>
    <w:rsid w:val="005B699A"/>
    <w:rsid w:val="006643FD"/>
    <w:rsid w:val="006B68E1"/>
    <w:rsid w:val="00715119"/>
    <w:rsid w:val="00755FD7"/>
    <w:rsid w:val="00767C48"/>
    <w:rsid w:val="00774E25"/>
    <w:rsid w:val="007A6B18"/>
    <w:rsid w:val="00844200"/>
    <w:rsid w:val="008C400D"/>
    <w:rsid w:val="008E61A4"/>
    <w:rsid w:val="00943F32"/>
    <w:rsid w:val="00985329"/>
    <w:rsid w:val="00A01C3F"/>
    <w:rsid w:val="00A13F01"/>
    <w:rsid w:val="00A27358"/>
    <w:rsid w:val="00A57A26"/>
    <w:rsid w:val="00A72A8C"/>
    <w:rsid w:val="00B1307F"/>
    <w:rsid w:val="00B24034"/>
    <w:rsid w:val="00B41A0D"/>
    <w:rsid w:val="00C1423E"/>
    <w:rsid w:val="00C22A7F"/>
    <w:rsid w:val="00CB6A34"/>
    <w:rsid w:val="00CF36B6"/>
    <w:rsid w:val="00D3724C"/>
    <w:rsid w:val="00D37834"/>
    <w:rsid w:val="00D43760"/>
    <w:rsid w:val="00D57398"/>
    <w:rsid w:val="00DA7C25"/>
    <w:rsid w:val="00DF5D8F"/>
    <w:rsid w:val="00E37E3F"/>
    <w:rsid w:val="00E94947"/>
    <w:rsid w:val="00EA5AC5"/>
    <w:rsid w:val="00EE7A31"/>
    <w:rsid w:val="00F610B6"/>
    <w:rsid w:val="00F834AE"/>
    <w:rsid w:val="00FA0095"/>
    <w:rsid w:val="00FA2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35F4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eastAsiaTheme="minorHAnsi" w:hAnsi="Garamond" w:cstheme="minorBidi"/>
        <w:b/>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00D"/>
    <w:rPr>
      <w:rFonts w:asciiTheme="minorHAnsi" w:eastAsiaTheme="minorEastAsia" w:hAnsiTheme="minorHAnsi"/>
      <w:b w:val="0"/>
      <w:lang w:eastAsia="ja-JP"/>
    </w:rPr>
  </w:style>
  <w:style w:type="paragraph" w:styleId="Heading1">
    <w:name w:val="heading 1"/>
    <w:basedOn w:val="Normal"/>
    <w:next w:val="Normal"/>
    <w:link w:val="Heading1Char"/>
    <w:uiPriority w:val="9"/>
    <w:qFormat/>
    <w:rsid w:val="008C400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400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400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C400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C400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400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400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400D"/>
    <w:pPr>
      <w:keepNext/>
      <w:keepLines/>
      <w:numPr>
        <w:ilvl w:val="7"/>
        <w:numId w:val="1"/>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8C400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00D"/>
    <w:rPr>
      <w:rFonts w:asciiTheme="majorHAnsi" w:eastAsiaTheme="majorEastAsia" w:hAnsiTheme="majorHAnsi" w:cstheme="majorBidi"/>
      <w:bCs/>
      <w:color w:val="365F91" w:themeColor="accent1" w:themeShade="BF"/>
      <w:sz w:val="28"/>
      <w:szCs w:val="28"/>
      <w:lang w:eastAsia="ja-JP"/>
    </w:rPr>
  </w:style>
  <w:style w:type="character" w:customStyle="1" w:styleId="Heading2Char">
    <w:name w:val="Heading 2 Char"/>
    <w:basedOn w:val="DefaultParagraphFont"/>
    <w:link w:val="Heading2"/>
    <w:uiPriority w:val="9"/>
    <w:rsid w:val="008C400D"/>
    <w:rPr>
      <w:rFonts w:asciiTheme="majorHAnsi" w:eastAsiaTheme="majorEastAsia" w:hAnsiTheme="majorHAnsi" w:cstheme="majorBidi"/>
      <w:bCs/>
      <w:color w:val="4F81BD" w:themeColor="accent1"/>
      <w:sz w:val="26"/>
      <w:szCs w:val="26"/>
      <w:lang w:eastAsia="ja-JP"/>
    </w:rPr>
  </w:style>
  <w:style w:type="character" w:customStyle="1" w:styleId="Heading3Char">
    <w:name w:val="Heading 3 Char"/>
    <w:basedOn w:val="DefaultParagraphFont"/>
    <w:link w:val="Heading3"/>
    <w:uiPriority w:val="9"/>
    <w:rsid w:val="008C400D"/>
    <w:rPr>
      <w:rFonts w:asciiTheme="majorHAnsi" w:eastAsiaTheme="majorEastAsia" w:hAnsiTheme="majorHAnsi" w:cstheme="majorBidi"/>
      <w:bCs/>
      <w:color w:val="4F81BD" w:themeColor="accent1"/>
      <w:lang w:eastAsia="ja-JP"/>
    </w:rPr>
  </w:style>
  <w:style w:type="character" w:customStyle="1" w:styleId="Heading4Char">
    <w:name w:val="Heading 4 Char"/>
    <w:basedOn w:val="DefaultParagraphFont"/>
    <w:link w:val="Heading4"/>
    <w:uiPriority w:val="9"/>
    <w:rsid w:val="008C400D"/>
    <w:rPr>
      <w:rFonts w:asciiTheme="majorHAnsi" w:eastAsiaTheme="majorEastAsia" w:hAnsiTheme="majorHAnsi" w:cstheme="majorBidi"/>
      <w:bCs/>
      <w:i/>
      <w:iCs/>
      <w:color w:val="4F81BD" w:themeColor="accent1"/>
      <w:lang w:eastAsia="ja-JP"/>
    </w:rPr>
  </w:style>
  <w:style w:type="character" w:customStyle="1" w:styleId="Heading5Char">
    <w:name w:val="Heading 5 Char"/>
    <w:basedOn w:val="DefaultParagraphFont"/>
    <w:link w:val="Heading5"/>
    <w:uiPriority w:val="9"/>
    <w:rsid w:val="008C400D"/>
    <w:rPr>
      <w:rFonts w:asciiTheme="majorHAnsi" w:eastAsiaTheme="majorEastAsia" w:hAnsiTheme="majorHAnsi" w:cstheme="majorBidi"/>
      <w:b w:val="0"/>
      <w:color w:val="243F60" w:themeColor="accent1" w:themeShade="7F"/>
      <w:lang w:eastAsia="ja-JP"/>
    </w:rPr>
  </w:style>
  <w:style w:type="character" w:customStyle="1" w:styleId="Heading6Char">
    <w:name w:val="Heading 6 Char"/>
    <w:basedOn w:val="DefaultParagraphFont"/>
    <w:link w:val="Heading6"/>
    <w:uiPriority w:val="9"/>
    <w:semiHidden/>
    <w:rsid w:val="008C400D"/>
    <w:rPr>
      <w:rFonts w:asciiTheme="majorHAnsi" w:eastAsiaTheme="majorEastAsia" w:hAnsiTheme="majorHAnsi" w:cstheme="majorBidi"/>
      <w:b w:val="0"/>
      <w:i/>
      <w:iCs/>
      <w:color w:val="243F60" w:themeColor="accent1" w:themeShade="7F"/>
      <w:lang w:eastAsia="ja-JP"/>
    </w:rPr>
  </w:style>
  <w:style w:type="character" w:customStyle="1" w:styleId="Heading7Char">
    <w:name w:val="Heading 7 Char"/>
    <w:basedOn w:val="DefaultParagraphFont"/>
    <w:link w:val="Heading7"/>
    <w:uiPriority w:val="9"/>
    <w:semiHidden/>
    <w:rsid w:val="008C400D"/>
    <w:rPr>
      <w:rFonts w:asciiTheme="majorHAnsi" w:eastAsiaTheme="majorEastAsia" w:hAnsiTheme="majorHAnsi" w:cstheme="majorBidi"/>
      <w:b w:val="0"/>
      <w:i/>
      <w:iCs/>
      <w:color w:val="404040" w:themeColor="text1" w:themeTint="BF"/>
      <w:lang w:eastAsia="ja-JP"/>
    </w:rPr>
  </w:style>
  <w:style w:type="character" w:customStyle="1" w:styleId="Heading8Char">
    <w:name w:val="Heading 8 Char"/>
    <w:basedOn w:val="DefaultParagraphFont"/>
    <w:link w:val="Heading8"/>
    <w:uiPriority w:val="9"/>
    <w:semiHidden/>
    <w:rsid w:val="008C400D"/>
    <w:rPr>
      <w:rFonts w:asciiTheme="majorHAnsi" w:eastAsiaTheme="majorEastAsia" w:hAnsiTheme="majorHAnsi" w:cstheme="majorBidi"/>
      <w:b w:val="0"/>
      <w:color w:val="4F81BD" w:themeColor="accent1"/>
      <w:sz w:val="20"/>
      <w:szCs w:val="20"/>
      <w:lang w:eastAsia="ja-JP"/>
    </w:rPr>
  </w:style>
  <w:style w:type="character" w:customStyle="1" w:styleId="Heading9Char">
    <w:name w:val="Heading 9 Char"/>
    <w:basedOn w:val="DefaultParagraphFont"/>
    <w:link w:val="Heading9"/>
    <w:uiPriority w:val="9"/>
    <w:semiHidden/>
    <w:rsid w:val="008C400D"/>
    <w:rPr>
      <w:rFonts w:asciiTheme="majorHAnsi" w:eastAsiaTheme="majorEastAsia" w:hAnsiTheme="majorHAnsi" w:cstheme="majorBidi"/>
      <w:b w:val="0"/>
      <w:i/>
      <w:iCs/>
      <w:color w:val="404040" w:themeColor="text1" w:themeTint="BF"/>
      <w:sz w:val="20"/>
      <w:szCs w:val="20"/>
      <w:lang w:eastAsia="ja-JP"/>
    </w:rPr>
  </w:style>
  <w:style w:type="character" w:customStyle="1" w:styleId="ecsi-1000">
    <w:name w:val="ecsi-1000"/>
    <w:basedOn w:val="DefaultParagraphFont"/>
    <w:rsid w:val="008C400D"/>
  </w:style>
  <w:style w:type="paragraph" w:styleId="Title">
    <w:name w:val="Title"/>
    <w:basedOn w:val="Normal"/>
    <w:next w:val="Normal"/>
    <w:link w:val="TitleChar"/>
    <w:uiPriority w:val="10"/>
    <w:qFormat/>
    <w:rsid w:val="008C40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400D"/>
    <w:rPr>
      <w:rFonts w:asciiTheme="majorHAnsi" w:eastAsiaTheme="majorEastAsia" w:hAnsiTheme="majorHAnsi" w:cstheme="majorBidi"/>
      <w:b w:val="0"/>
      <w:color w:val="17365D" w:themeColor="text2" w:themeShade="BF"/>
      <w:spacing w:val="5"/>
      <w:kern w:val="28"/>
      <w:sz w:val="52"/>
      <w:szCs w:val="52"/>
      <w:lang w:eastAsia="ja-JP"/>
    </w:rPr>
  </w:style>
  <w:style w:type="character" w:styleId="CommentReference">
    <w:name w:val="annotation reference"/>
    <w:basedOn w:val="DefaultParagraphFont"/>
    <w:uiPriority w:val="99"/>
    <w:semiHidden/>
    <w:unhideWhenUsed/>
    <w:rsid w:val="008C400D"/>
    <w:rPr>
      <w:sz w:val="18"/>
      <w:szCs w:val="18"/>
    </w:rPr>
  </w:style>
  <w:style w:type="paragraph" w:styleId="CommentText">
    <w:name w:val="annotation text"/>
    <w:basedOn w:val="Normal"/>
    <w:link w:val="CommentTextChar"/>
    <w:uiPriority w:val="99"/>
    <w:semiHidden/>
    <w:unhideWhenUsed/>
    <w:rsid w:val="008C400D"/>
    <w:rPr>
      <w:szCs w:val="24"/>
    </w:rPr>
  </w:style>
  <w:style w:type="character" w:customStyle="1" w:styleId="CommentTextChar">
    <w:name w:val="Comment Text Char"/>
    <w:basedOn w:val="DefaultParagraphFont"/>
    <w:link w:val="CommentText"/>
    <w:uiPriority w:val="99"/>
    <w:semiHidden/>
    <w:rsid w:val="008C400D"/>
    <w:rPr>
      <w:rFonts w:asciiTheme="minorHAnsi" w:eastAsiaTheme="minorEastAsia" w:hAnsiTheme="minorHAnsi"/>
      <w:b w:val="0"/>
      <w:szCs w:val="24"/>
      <w:lang w:eastAsia="ja-JP"/>
    </w:rPr>
  </w:style>
  <w:style w:type="paragraph" w:styleId="ListParagraph">
    <w:name w:val="List Paragraph"/>
    <w:basedOn w:val="Normal"/>
    <w:uiPriority w:val="34"/>
    <w:qFormat/>
    <w:rsid w:val="008C400D"/>
    <w:pPr>
      <w:ind w:left="720"/>
      <w:contextualSpacing/>
    </w:pPr>
  </w:style>
  <w:style w:type="paragraph" w:styleId="Subtitle">
    <w:name w:val="Subtitle"/>
    <w:basedOn w:val="Normal"/>
    <w:next w:val="Normal"/>
    <w:link w:val="SubtitleChar"/>
    <w:uiPriority w:val="11"/>
    <w:qFormat/>
    <w:rsid w:val="008C400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8C400D"/>
    <w:rPr>
      <w:rFonts w:asciiTheme="majorHAnsi" w:eastAsiaTheme="majorEastAsia" w:hAnsiTheme="majorHAnsi" w:cstheme="majorBidi"/>
      <w:b w:val="0"/>
      <w:i/>
      <w:iCs/>
      <w:color w:val="4F81BD" w:themeColor="accent1"/>
      <w:spacing w:val="15"/>
      <w:sz w:val="24"/>
      <w:szCs w:val="24"/>
      <w:lang w:eastAsia="ja-JP"/>
    </w:rPr>
  </w:style>
  <w:style w:type="character" w:styleId="FootnoteReference">
    <w:name w:val="footnote reference"/>
    <w:basedOn w:val="DefaultParagraphFont"/>
    <w:uiPriority w:val="99"/>
    <w:rsid w:val="008C400D"/>
    <w:rPr>
      <w:vertAlign w:val="superscript"/>
    </w:rPr>
  </w:style>
  <w:style w:type="paragraph" w:styleId="FootnoteText">
    <w:name w:val="footnote text"/>
    <w:basedOn w:val="Normal"/>
    <w:link w:val="FootnoteTextChar"/>
    <w:uiPriority w:val="99"/>
    <w:unhideWhenUsed/>
    <w:rsid w:val="008C400D"/>
    <w:pPr>
      <w:suppressAutoHyphens/>
      <w:spacing w:after="120" w:line="240" w:lineRule="auto"/>
    </w:pPr>
    <w:rPr>
      <w:rFonts w:ascii="Times New Roman" w:eastAsia="Times New Roman" w:hAnsi="Times New Roman" w:cs="Arial"/>
      <w:sz w:val="20"/>
      <w:szCs w:val="20"/>
      <w:lang w:eastAsia="en-US"/>
    </w:rPr>
  </w:style>
  <w:style w:type="character" w:customStyle="1" w:styleId="FootnoteTextChar">
    <w:name w:val="Footnote Text Char"/>
    <w:basedOn w:val="DefaultParagraphFont"/>
    <w:link w:val="FootnoteText"/>
    <w:uiPriority w:val="99"/>
    <w:rsid w:val="008C400D"/>
    <w:rPr>
      <w:rFonts w:ascii="Times New Roman" w:eastAsia="Times New Roman" w:hAnsi="Times New Roman" w:cs="Arial"/>
      <w:b w:val="0"/>
      <w:sz w:val="20"/>
      <w:szCs w:val="20"/>
    </w:rPr>
  </w:style>
  <w:style w:type="paragraph" w:styleId="BalloonText">
    <w:name w:val="Balloon Text"/>
    <w:basedOn w:val="Normal"/>
    <w:link w:val="BalloonTextChar"/>
    <w:uiPriority w:val="99"/>
    <w:semiHidden/>
    <w:unhideWhenUsed/>
    <w:rsid w:val="008C40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00D"/>
    <w:rPr>
      <w:rFonts w:ascii="Tahoma" w:eastAsiaTheme="minorEastAsia" w:hAnsi="Tahoma" w:cs="Tahoma"/>
      <w:b w:val="0"/>
      <w:sz w:val="16"/>
      <w:szCs w:val="16"/>
      <w:lang w:eastAsia="ja-JP"/>
    </w:rPr>
  </w:style>
  <w:style w:type="paragraph" w:styleId="CommentSubject">
    <w:name w:val="annotation subject"/>
    <w:basedOn w:val="CommentText"/>
    <w:next w:val="CommentText"/>
    <w:link w:val="CommentSubjectChar"/>
    <w:uiPriority w:val="99"/>
    <w:semiHidden/>
    <w:unhideWhenUsed/>
    <w:rsid w:val="00D37834"/>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D37834"/>
    <w:rPr>
      <w:rFonts w:asciiTheme="minorHAnsi" w:eastAsiaTheme="minorEastAsia" w:hAnsiTheme="minorHAnsi"/>
      <w:b/>
      <w:bCs/>
      <w:sz w:val="20"/>
      <w:szCs w:val="20"/>
      <w:lang w:eastAsia="ja-JP"/>
    </w:rPr>
  </w:style>
  <w:style w:type="character" w:styleId="PlaceholderText">
    <w:name w:val="Placeholder Text"/>
    <w:basedOn w:val="DefaultParagraphFont"/>
    <w:uiPriority w:val="99"/>
    <w:semiHidden/>
    <w:rsid w:val="007A6B18"/>
    <w:rPr>
      <w:color w:val="808080"/>
    </w:rPr>
  </w:style>
  <w:style w:type="paragraph" w:styleId="DocumentMap">
    <w:name w:val="Document Map"/>
    <w:basedOn w:val="Normal"/>
    <w:link w:val="DocumentMapChar"/>
    <w:uiPriority w:val="99"/>
    <w:semiHidden/>
    <w:unhideWhenUsed/>
    <w:rsid w:val="005B699A"/>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5B699A"/>
    <w:rPr>
      <w:rFonts w:ascii="Times New Roman" w:eastAsiaTheme="minorEastAsia" w:hAnsi="Times New Roman" w:cs="Times New Roman"/>
      <w:b w:val="0"/>
      <w:sz w:val="24"/>
      <w:szCs w:val="24"/>
      <w:lang w:eastAsia="ja-JP"/>
    </w:rPr>
  </w:style>
  <w:style w:type="paragraph" w:styleId="Revision">
    <w:name w:val="Revision"/>
    <w:hidden/>
    <w:uiPriority w:val="99"/>
    <w:semiHidden/>
    <w:rsid w:val="005B699A"/>
    <w:pPr>
      <w:spacing w:after="0" w:line="240" w:lineRule="auto"/>
    </w:pPr>
    <w:rPr>
      <w:rFonts w:asciiTheme="minorHAnsi" w:eastAsiaTheme="minorEastAsia" w:hAnsiTheme="minorHAnsi"/>
      <w:b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5C089-AC79-3945-AEB9-E831FEC1B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1348</Words>
  <Characters>7690</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Layton</dc:creator>
  <cp:lastModifiedBy>Adam Sacarny</cp:lastModifiedBy>
  <cp:revision>4</cp:revision>
  <dcterms:created xsi:type="dcterms:W3CDTF">2016-03-31T20:17:00Z</dcterms:created>
  <dcterms:modified xsi:type="dcterms:W3CDTF">2016-03-31T21:06:00Z</dcterms:modified>
</cp:coreProperties>
</file>